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6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Определение цены контракта,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6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заключаемого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с единственным поставщиком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6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6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Приобретение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прибора  учета холодного водоснабжения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Управления Росреестра по Владимирской области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6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right="-1" w:firstLine="708"/>
        <w:jc w:val="both"/>
        <w:spacing w:after="6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Нормативный метод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определения цены контракта,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заключаемого с единственным поставщиком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в соответствии с пунктом 2 части 1 статьи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right="-1" w:firstLine="708"/>
        <w:jc w:val="both"/>
        <w:spacing w:after="6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Согласно Приложению № 328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к Нормативным затратам на обеспечение деятельности территориальных органов Федеральн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ой службы государственной регистрации, кадастра и картографии, утвержденным приказом Росреестра от 29.12.2014г. №П/651 «Об утверждении расчетно-нормативных затрат на обеспечение деятельности территориальных органов Федеральной службы государственной регист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рации, кадастра и картографии»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 редакции приказа Росреестра от 31.05.2021 №П/0233 (далее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– Приказ о нормативных затратах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устанавливаются следующие требования к порядку определения нормативных затрат </w:t>
      </w:r>
      <w:r>
        <w:rPr>
          <w:rFonts w:ascii="Times New Roman" w:hAnsi="Times New Roman"/>
          <w:b/>
          <w:sz w:val="28"/>
          <w:szCs w:val="28"/>
        </w:rPr>
        <w:t xml:space="preserve">на приобретение </w:t>
      </w:r>
      <w:r>
        <w:rPr>
          <w:rFonts w:ascii="Times New Roman" w:hAnsi="Times New Roman"/>
          <w:b/>
          <w:sz w:val="28"/>
          <w:szCs w:val="28"/>
        </w:rPr>
        <w:t xml:space="preserve">узлов (приборов) учета тепловой энергии, электроэнергии, водоснабжения, газоснабжения</w:t>
      </w: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Затраты на приобретение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узлов (приборов) учета тепловой энергии, электроэнергии, водоснабжения, газоснабжения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З</w:t>
      </w:r>
      <w:r>
        <w:rPr>
          <w:rFonts w:ascii="Times New Roman" w:hAnsi="Times New Roman" w:eastAsia="Times New Roman"/>
          <w:sz w:val="28"/>
          <w:szCs w:val="28"/>
          <w:vertAlign w:val="subscript"/>
          <w:lang w:eastAsia="ru-RU"/>
        </w:rPr>
        <w:t xml:space="preserve">пу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) определяются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по формуле: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vertAlign w:val="subscript"/>
          <w:lang w:eastAsia="ru-RU"/>
        </w:rPr>
      </w:pPr>
      <w:r/>
      <m:oMathPara>
        <m:oMathParaPr/>
        <m:oMath>
          <m:sSub>
            <m:sSubPr>
              <m:ctrlPr>
                <w:rPr>
                  <w:rFonts w:ascii="Cambria Math" w:hAnsi="Cambria Math" w:eastAsia="Times New Roman"/>
                  <w:sz w:val="28"/>
                  <w:szCs w:val="28"/>
                  <w:vertAlign w:val="subscript"/>
                  <w:lang w:eastAsia="ru-RU"/>
                </w:rPr>
              </m:ctrlPr>
            </m:sSubPr>
            <m:e>
              <m:r>
                <w:rPr>
                  <w:rFonts w:ascii="Cambria Math" w:hAnsi="Cambria Math" w:eastAsia="Times New Roman"/>
                  <w:sz w:val="28"/>
                  <w:szCs w:val="28"/>
                  <w:vertAlign w:val="subscript"/>
                  <w:lang w:eastAsia="ru-RU"/>
                </w:rPr>
                <m:rPr>
                  <m:sty m:val="p"/>
                </m:rPr>
                <m:t>З</m:t>
              </m:r>
            </m:e>
            <m:sub>
              <m:r>
                <w:rPr>
                  <w:rFonts w:ascii="Cambria Math" w:hAnsi="Cambria Math" w:eastAsia="Times New Roman"/>
                  <w:sz w:val="28"/>
                  <w:szCs w:val="28"/>
                  <w:vertAlign w:val="subscript"/>
                  <w:lang w:eastAsia="ru-RU"/>
                </w:rPr>
                <m:rPr>
                  <m:sty m:val="p"/>
                </m:rPr>
                <m:t>пу</m:t>
              </m:r>
            </m:sub>
          </m:sSub>
          <m:r>
            <w:rPr>
              <w:rFonts w:ascii="Cambria Math" w:hAnsi="Cambria Math" w:eastAsia="Times New Roman"/>
              <w:sz w:val="28"/>
              <w:szCs w:val="28"/>
              <w:vertAlign w:val="subscript"/>
              <w:lang w:eastAsia="ru-RU"/>
            </w:rPr>
            <m:rPr>
              <m:sty m:val="p"/>
            </m:rPr>
            <m:t>=</m:t>
          </m:r>
          <m:nary>
            <m:naryPr>
              <m:chr m:val="∑"/>
              <m:grow m:val="off"/>
              <m:limLoc m:val="undOvr"/>
              <m:ctrlPr>
                <w:rPr>
                  <w:rFonts w:ascii="Cambria Math" w:hAnsi="Cambria Math" w:eastAsia="Times New Roman"/>
                  <w:sz w:val="28"/>
                  <w:szCs w:val="28"/>
                  <w:vertAlign w:val="subscript"/>
                  <w:lang w:eastAsia="ru-RU"/>
                </w:rPr>
              </m:ctrlPr>
            </m:naryPr>
            <m:sub>
              <m:r>
                <w:rPr>
                  <w:rFonts w:ascii="Cambria Math" w:hAnsi="Cambria Math" w:eastAsia="Times New Roman"/>
                  <w:sz w:val="28"/>
                  <w:szCs w:val="28"/>
                  <w:vertAlign w:val="subscript"/>
                  <w:lang w:eastAsia="ru-RU"/>
                </w:rPr>
                <m:rPr>
                  <m:sty m:val="p"/>
                </m:rPr>
                <m:t>i=1</m:t>
              </m:r>
            </m:sub>
            <m:sup>
              <m:r>
                <w:rPr>
                  <w:rFonts w:ascii="Cambria Math" w:hAnsi="Cambria Math" w:eastAsia="Times New Roman"/>
                  <w:sz w:val="28"/>
                  <w:szCs w:val="28"/>
                  <w:vertAlign w:val="subscript"/>
                  <w:lang w:val="en-US" w:eastAsia="ru-RU"/>
                </w:rPr>
                <m:rPr>
                  <m:sty m:val="p"/>
                </m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eastAsia="Times New Roman"/>
                      <w:sz w:val="28"/>
                      <w:szCs w:val="28"/>
                      <w:vertAlign w:val="subscript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eastAsia="Times New Roman"/>
                      <w:sz w:val="28"/>
                      <w:szCs w:val="28"/>
                      <w:vertAlign w:val="subscript"/>
                      <w:lang w:eastAsia="ru-RU"/>
                    </w:rPr>
                    <m:rPr>
                      <m:sty m:val="p"/>
                    </m:rPr>
                    <m:t>Q</m:t>
                  </m:r>
                </m:e>
                <m:sub>
                  <m:r>
                    <w:rPr>
                      <w:rFonts w:ascii="Cambria Math" w:hAnsi="Cambria Math" w:eastAsia="Times New Roman"/>
                      <w:sz w:val="28"/>
                      <w:szCs w:val="28"/>
                      <w:vertAlign w:val="subscript"/>
                      <w:lang w:eastAsia="ru-RU"/>
                    </w:rPr>
                    <m:rPr>
                      <m:sty m:val="p"/>
                    </m:rPr>
                    <m:t>i эс </m:t>
                  </m:r>
                </m:sub>
              </m:sSub>
              <m:r>
                <w:rPr>
                  <w:rFonts w:ascii="Cambria Math" w:hAnsi="Cambria Math" w:eastAsia="Times New Roman"/>
                  <w:sz w:val="28"/>
                  <w:szCs w:val="28"/>
                  <w:vertAlign w:val="subscript"/>
                  <w:lang w:eastAsia="ru-RU"/>
                </w:rPr>
                <m:rPr>
                  <m:sty m:val="p"/>
                </m:rPr>
                <m:t>×</m:t>
              </m:r>
              <m:sSub>
                <m:sSubPr>
                  <m:ctrlPr>
                    <w:rPr>
                      <w:rFonts w:ascii="Cambria Math" w:hAnsi="Cambria Math" w:eastAsia="Times New Roman"/>
                      <w:sz w:val="28"/>
                      <w:szCs w:val="28"/>
                      <w:vertAlign w:val="subscript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eastAsia="Times New Roman"/>
                      <w:sz w:val="28"/>
                      <w:szCs w:val="28"/>
                      <w:vertAlign w:val="subscript"/>
                      <w:lang w:eastAsia="ru-RU"/>
                    </w:rPr>
                    <m:rPr>
                      <m:sty m:val="p"/>
                    </m:rPr>
                    <m:t>Р</m:t>
                  </m:r>
                </m:e>
                <m:sub>
                  <m:r>
                    <w:rPr>
                      <w:rFonts w:ascii="Cambria Math" w:hAnsi="Cambria Math" w:eastAsia="Times New Roman"/>
                      <w:sz w:val="28"/>
                      <w:szCs w:val="28"/>
                      <w:vertAlign w:val="subscript"/>
                      <w:lang w:val="en-US" w:eastAsia="ru-RU"/>
                    </w:rPr>
                    <m:rPr>
                      <m:sty m:val="p"/>
                    </m:rPr>
                    <m:t>i </m:t>
                  </m:r>
                  <m:r>
                    <w:rPr>
                      <w:rFonts w:ascii="Cambria Math" w:hAnsi="Cambria Math" w:eastAsia="Times New Roman"/>
                      <w:sz w:val="28"/>
                      <w:szCs w:val="28"/>
                      <w:vertAlign w:val="subscript"/>
                      <w:lang w:eastAsia="ru-RU"/>
                    </w:rPr>
                    <m:rPr>
                      <m:sty m:val="p"/>
                    </m:rPr>
                    <m:t>пу</m:t>
                  </m:r>
                </m:sub>
              </m:sSub>
            </m:e>
          </m:nary>
          <m:r>
            <w:rPr>
              <w:rFonts w:ascii="Cambria Math" w:hAnsi="Cambria Math" w:eastAsia="Times New Roman"/>
              <w:sz w:val="28"/>
              <w:szCs w:val="28"/>
              <w:vertAlign w:val="subscript"/>
              <w:lang w:eastAsia="ru-RU"/>
            </w:rPr>
            <m:rPr>
              <m:sty m:val="p"/>
            </m:rPr>
            <m:t>,</m:t>
          </m:r>
        </m:oMath>
      </m:oMathPara>
      <w:r>
        <w:rPr>
          <w:rFonts w:ascii="Times New Roman" w:hAnsi="Times New Roman" w:eastAsia="Times New Roman"/>
          <w:sz w:val="28"/>
          <w:szCs w:val="28"/>
          <w:vertAlign w:val="subscript"/>
          <w:lang w:eastAsia="ru-RU"/>
        </w:rPr>
      </w:r>
      <w:r>
        <w:rPr>
          <w:rFonts w:ascii="Times New Roman" w:hAnsi="Times New Roman" w:eastAsia="Times New Roman"/>
          <w:sz w:val="28"/>
          <w:szCs w:val="28"/>
          <w:vertAlign w:val="subscript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где: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val="en-US" w:eastAsia="ru-RU"/>
        </w:rPr>
        <w:t xml:space="preserve">Q</w:t>
      </w:r>
      <w:r>
        <w:rPr>
          <w:rFonts w:ascii="Times New Roman" w:hAnsi="Times New Roman" w:eastAsia="Times New Roman"/>
          <w:sz w:val="28"/>
          <w:szCs w:val="28"/>
          <w:vertAlign w:val="subscript"/>
          <w:lang w:val="en-US" w:eastAsia="ru-RU"/>
        </w:rPr>
        <w:t xml:space="preserve">i</w:t>
      </w:r>
      <w:r>
        <w:rPr>
          <w:rFonts w:ascii="Times New Roman" w:hAnsi="Times New Roman" w:eastAsia="Times New Roman"/>
          <w:sz w:val="28"/>
          <w:szCs w:val="28"/>
          <w:vertAlign w:val="subscript"/>
          <w:lang w:eastAsia="ru-RU"/>
        </w:rPr>
        <w:t xml:space="preserve"> эс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– количество </w:t>
      </w:r>
      <w:r>
        <w:rPr>
          <w:rFonts w:ascii="Times New Roman" w:hAnsi="Times New Roman" w:eastAsia="Times New Roman"/>
          <w:sz w:val="28"/>
          <w:szCs w:val="28"/>
          <w:lang w:val="en-US" w:eastAsia="ru-RU"/>
        </w:rPr>
        <w:t xml:space="preserve">i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-х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приборов учета в здании (помещении)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но не более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одного прибора учета на каждый вид энергоресурса, водоснабжения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</w:t>
      </w:r>
      <w:r>
        <w:rPr>
          <w:rFonts w:ascii="Times New Roman" w:hAnsi="Times New Roman" w:eastAsia="Times New Roman"/>
          <w:sz w:val="28"/>
          <w:szCs w:val="28"/>
          <w:vertAlign w:val="subscript"/>
          <w:lang w:val="en-US" w:eastAsia="ru-RU"/>
        </w:rPr>
        <w:t xml:space="preserve">i</w:t>
      </w:r>
      <w:r>
        <w:rPr>
          <w:rFonts w:ascii="Times New Roman" w:hAnsi="Times New Roman" w:eastAsia="Times New Roman"/>
          <w:sz w:val="28"/>
          <w:szCs w:val="28"/>
          <w:vertAlign w:val="subscript"/>
          <w:lang w:eastAsia="ru-RU"/>
        </w:rPr>
        <w:t xml:space="preserve"> </w:t>
      </w:r>
      <w:r>
        <w:rPr>
          <w:rFonts w:ascii="Times New Roman" w:hAnsi="Times New Roman" w:eastAsia="Times New Roman"/>
          <w:sz w:val="28"/>
          <w:szCs w:val="28"/>
          <w:vertAlign w:val="subscript"/>
          <w:lang w:eastAsia="ru-RU"/>
        </w:rPr>
        <w:t xml:space="preserve">пу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–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стоимость одного </w:t>
      </w:r>
      <w:r>
        <w:rPr>
          <w:rFonts w:ascii="Times New Roman" w:hAnsi="Times New Roman" w:eastAsia="Times New Roman"/>
          <w:sz w:val="28"/>
          <w:szCs w:val="28"/>
          <w:lang w:val="en-US" w:eastAsia="ru-RU"/>
        </w:rPr>
        <w:t xml:space="preserve">i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-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го узла (прибора) учета, но не более норматива цены, установленного в таблицах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Расчет</w:t>
      </w:r>
      <w:r>
        <w:rPr>
          <w:rFonts w:ascii="Times New Roman" w:hAnsi="Times New Roman"/>
          <w:sz w:val="28"/>
          <w:szCs w:val="28"/>
        </w:rPr>
        <w:t xml:space="preserve"> затрат на приобретение приборов учета водоснабжения</w:t>
      </w:r>
      <w:r>
        <w:rPr>
          <w:rFonts w:ascii="Times New Roman" w:hAnsi="Times New Roman"/>
          <w:sz w:val="28"/>
          <w:szCs w:val="28"/>
        </w:rPr>
        <w:t xml:space="preserve"> производится в соответствии </w:t>
      </w:r>
      <w:r>
        <w:rPr>
          <w:rFonts w:ascii="Times New Roman" w:hAnsi="Times New Roman"/>
          <w:sz w:val="28"/>
          <w:szCs w:val="28"/>
        </w:rPr>
        <w:t xml:space="preserve">с нормативами согласно</w:t>
      </w:r>
      <w:r>
        <w:rPr>
          <w:rFonts w:ascii="Times New Roman" w:hAnsi="Times New Roman"/>
          <w:sz w:val="28"/>
          <w:szCs w:val="28"/>
        </w:rPr>
        <w:br/>
        <w:t xml:space="preserve">таблице 1.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ascii="Times New Roman" w:hAnsi="Times New Roman"/>
          <w:sz w:val="28"/>
          <w:szCs w:val="28"/>
        </w:rPr>
      </w:pPr>
      <w:r/>
      <w:bookmarkStart w:id="0" w:name="_GoBack"/>
      <w:r/>
      <w:bookmarkEnd w:id="0"/>
      <w:r>
        <w:rPr>
          <w:rFonts w:ascii="Times New Roman" w:hAnsi="Times New Roman"/>
          <w:sz w:val="28"/>
          <w:szCs w:val="28"/>
        </w:rPr>
        <w:t xml:space="preserve">Таблица 1.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tabs>
          <w:tab w:val="left" w:pos="7665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Нормативы, применяемые при расчете затрат на приобретение </w:t>
      </w:r>
      <w:r>
        <w:rPr>
          <w:rFonts w:ascii="Times New Roman" w:hAnsi="Times New Roman"/>
          <w:b/>
          <w:sz w:val="28"/>
          <w:szCs w:val="28"/>
        </w:rPr>
        <w:t xml:space="preserve">приборов учета энергоресурсов, водоснабжения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tbl>
      <w:tblPr>
        <w:tblStyle w:val="839"/>
        <w:tblW w:w="0" w:type="auto"/>
        <w:tblLook w:val="04A0" w:firstRow="1" w:lastRow="0" w:firstColumn="1" w:lastColumn="0" w:noHBand="0" w:noVBand="1"/>
      </w:tblPr>
      <w:tblGrid>
        <w:gridCol w:w="3794"/>
        <w:gridCol w:w="709"/>
        <w:gridCol w:w="1275"/>
        <w:gridCol w:w="1987"/>
        <w:gridCol w:w="1805"/>
      </w:tblGrid>
      <w:tr>
        <w:tblPrEx/>
        <w:trPr>
          <w:trHeight w:val="1244"/>
        </w:trPr>
        <w:tc>
          <w:tcPr>
            <w:tcW w:w="379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прибора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Ед. изм.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сечения трубы, </w:t>
            </w:r>
            <w:r>
              <w:rPr>
                <w:sz w:val="24"/>
                <w:szCs w:val="24"/>
              </w:rPr>
              <w:t xml:space="preserve">мм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полезного действия, лет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0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Предельная максимальная цена,</w:t>
            </w:r>
            <w:r>
              <w:rPr>
                <w:sz w:val="24"/>
                <w:szCs w:val="24"/>
              </w:rPr>
              <w:br/>
              <w:t xml:space="preserve">тыс.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23"/>
        </w:trPr>
        <w:tc>
          <w:tcPr>
            <w:tcW w:w="3794" w:type="dxa"/>
            <w:vAlign w:val="center"/>
            <w:vMerge w:val="restart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Узел (прибор) учета газа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0-20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с техническим паспортом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0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6,70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1"/>
        </w:trPr>
        <w:tc>
          <w:tcPr>
            <w:tcW w:w="3794" w:type="dxa"/>
            <w:vAlign w:val="center"/>
            <w:vMerge w:val="continue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20-50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0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81,40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7"/>
        </w:trPr>
        <w:tc>
          <w:tcPr>
            <w:tcW w:w="3794" w:type="dxa"/>
            <w:vAlign w:val="center"/>
            <w:vMerge w:val="restart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Узел (прибор) учета холодного водоснабжения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0-20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0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27"/>
        </w:trPr>
        <w:tc>
          <w:tcPr>
            <w:tcW w:w="3794" w:type="dxa"/>
            <w:vAlign w:val="center"/>
            <w:vMerge w:val="continue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20-50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0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10,40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9"/>
        </w:trPr>
        <w:tc>
          <w:tcPr>
            <w:tcW w:w="3794" w:type="dxa"/>
            <w:vAlign w:val="center"/>
            <w:vMerge w:val="restart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Узел (прибор) учета горячего водоснабжения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0-20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0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1"/>
        </w:trPr>
        <w:tc>
          <w:tcPr>
            <w:tcW w:w="3794" w:type="dxa"/>
            <w:vAlign w:val="center"/>
            <w:vMerge w:val="continue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20-50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0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17,30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8"/>
        </w:trPr>
        <w:tc>
          <w:tcPr>
            <w:tcW w:w="3794" w:type="dxa"/>
            <w:vAlign w:val="center"/>
            <w:vMerge w:val="restart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Узел (прибор) учета тепловой энергии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0-20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0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48,70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0"/>
        </w:trPr>
        <w:tc>
          <w:tcPr>
            <w:tcW w:w="3794" w:type="dxa"/>
            <w:vAlign w:val="center"/>
            <w:vMerge w:val="continue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20-50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0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75,20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firstLine="708"/>
        <w:jc w:val="right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right="-1" w:firstLine="708"/>
        <w:jc w:val="both"/>
        <w:spacing w:after="6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Таким образом, нормативные затраты на </w:t>
      </w:r>
      <w:r>
        <w:rPr>
          <w:rFonts w:ascii="Times New Roman" w:hAnsi="Times New Roman"/>
          <w:sz w:val="28"/>
          <w:szCs w:val="28"/>
        </w:rPr>
        <w:t xml:space="preserve">приобретение и установку одного прибора учета водоснабжения составят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right="-1" w:firstLine="708"/>
        <w:jc w:val="both"/>
        <w:spacing w:after="6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right="-1" w:firstLine="708"/>
        <w:jc w:val="both"/>
        <w:spacing w:after="6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/>
      <m:oMathPara>
        <m:oMathParaPr/>
        <m:oMath>
          <m:sSub>
            <m:sSubPr>
              <m:ctrlPr>
                <w:rPr>
                  <w:rFonts w:ascii="Cambria Math" w:hAnsi="Cambria Math" w:eastAsia="Times New Roman"/>
                  <w:sz w:val="28"/>
                  <w:szCs w:val="28"/>
                  <w:vertAlign w:val="subscript"/>
                  <w:lang w:eastAsia="ru-RU"/>
                </w:rPr>
              </m:ctrlPr>
            </m:sSubPr>
            <m:e>
              <m:r>
                <w:rPr>
                  <w:rFonts w:ascii="Cambria Math" w:hAnsi="Cambria Math" w:eastAsia="Times New Roman"/>
                  <w:sz w:val="28"/>
                  <w:szCs w:val="28"/>
                  <w:vertAlign w:val="subscript"/>
                  <w:lang w:eastAsia="ru-RU"/>
                </w:rPr>
                <m:rPr>
                  <m:sty m:val="p"/>
                </m:rPr>
                <m:t>З</m:t>
              </m:r>
            </m:e>
            <m:sub>
              <m:r>
                <w:rPr>
                  <w:rFonts w:ascii="Cambria Math" w:hAnsi="Cambria Math" w:eastAsia="Times New Roman"/>
                  <w:sz w:val="28"/>
                  <w:szCs w:val="28"/>
                  <w:vertAlign w:val="subscript"/>
                  <w:lang w:eastAsia="ru-RU"/>
                </w:rPr>
                <m:rPr>
                  <m:sty m:val="p"/>
                </m:rPr>
                <m:t>пу</m:t>
              </m:r>
            </m:sub>
          </m:sSub>
          <m:r>
            <w:rPr>
              <w:rFonts w:ascii="Cambria Math" w:hAnsi="Cambria Math" w:eastAsia="Times New Roman"/>
              <w:sz w:val="28"/>
              <w:szCs w:val="28"/>
              <w:vertAlign w:val="subscript"/>
              <w:lang w:eastAsia="ru-RU"/>
            </w:rPr>
            <m:rPr/>
            <m:t>=1*3300,00=3 300,00 ( руб.)</m:t>
          </m:r>
        </m:oMath>
      </m:oMathPara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right="-1" w:firstLine="708"/>
        <w:jc w:val="both"/>
        <w:spacing w:after="6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r/>
      <w:r/>
    </w:p>
    <w:p>
      <w:r/>
      <w:r/>
    </w:p>
    <w:p>
      <w:pPr>
        <w:jc w:val="both"/>
        <w:spacing w:after="6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Заместитель начальника ФЭО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  <w:t xml:space="preserve">_______________ И.С.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Чорнаморян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r/>
      <w:r/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00603000000000000"/>
  </w:font>
  <w:font w:name="Calibri">
    <w:panose1 w:val="020F05020202040302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5"/>
    <w:next w:val="835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basedOn w:val="836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5"/>
    <w:next w:val="835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basedOn w:val="836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5"/>
    <w:next w:val="835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basedOn w:val="836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5"/>
    <w:next w:val="835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basedOn w:val="836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5"/>
    <w:next w:val="835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basedOn w:val="836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5"/>
    <w:next w:val="835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basedOn w:val="836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5"/>
    <w:next w:val="835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basedOn w:val="836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5"/>
    <w:next w:val="835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basedOn w:val="836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5"/>
    <w:next w:val="835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basedOn w:val="836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List Paragraph"/>
    <w:basedOn w:val="835"/>
    <w:uiPriority w:val="34"/>
    <w:qFormat/>
    <w:pPr>
      <w:contextualSpacing/>
      <w:ind w:left="720"/>
    </w:pPr>
  </w:style>
  <w:style w:type="paragraph" w:styleId="677">
    <w:name w:val="No Spacing"/>
    <w:uiPriority w:val="1"/>
    <w:qFormat/>
    <w:pPr>
      <w:spacing w:before="0" w:after="0" w:line="240" w:lineRule="auto"/>
    </w:pPr>
  </w:style>
  <w:style w:type="paragraph" w:styleId="678">
    <w:name w:val="Title"/>
    <w:basedOn w:val="835"/>
    <w:next w:val="835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basedOn w:val="836"/>
    <w:link w:val="678"/>
    <w:uiPriority w:val="10"/>
    <w:rPr>
      <w:sz w:val="48"/>
      <w:szCs w:val="48"/>
    </w:rPr>
  </w:style>
  <w:style w:type="paragraph" w:styleId="680">
    <w:name w:val="Subtitle"/>
    <w:basedOn w:val="835"/>
    <w:next w:val="835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basedOn w:val="836"/>
    <w:link w:val="680"/>
    <w:uiPriority w:val="11"/>
    <w:rPr>
      <w:sz w:val="24"/>
      <w:szCs w:val="24"/>
    </w:rPr>
  </w:style>
  <w:style w:type="paragraph" w:styleId="682">
    <w:name w:val="Quote"/>
    <w:basedOn w:val="835"/>
    <w:next w:val="835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5"/>
    <w:next w:val="835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5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basedOn w:val="836"/>
    <w:link w:val="686"/>
    <w:uiPriority w:val="99"/>
  </w:style>
  <w:style w:type="paragraph" w:styleId="688">
    <w:name w:val="Footer"/>
    <w:basedOn w:val="835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basedOn w:val="836"/>
    <w:link w:val="688"/>
    <w:uiPriority w:val="99"/>
  </w:style>
  <w:style w:type="paragraph" w:styleId="690">
    <w:name w:val="Caption"/>
    <w:basedOn w:val="835"/>
    <w:next w:val="83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basedOn w:val="690"/>
    <w:link w:val="688"/>
    <w:uiPriority w:val="99"/>
  </w:style>
  <w:style w:type="table" w:styleId="692">
    <w:name w:val="Table Grid Light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1">
    <w:name w:val="List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2">
    <w:name w:val="List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3">
    <w:name w:val="List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4">
    <w:name w:val="List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5">
    <w:name w:val="List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6">
    <w:name w:val="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8">
    <w:name w:val="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9">
    <w:name w:val="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0">
    <w:name w:val="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1">
    <w:name w:val="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2">
    <w:name w:val="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3">
    <w:name w:val="Bordered &amp; 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Bordered &amp; 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Bordered &amp; 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Bordered &amp; 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Bordered &amp; 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Bordered &amp; 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basedOn w:val="836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basedOn w:val="836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</w:style>
  <w:style w:type="character" w:styleId="836" w:default="1">
    <w:name w:val="Default Paragraph Font"/>
    <w:uiPriority w:val="1"/>
    <w:semiHidden/>
    <w:unhideWhenUsed/>
  </w:style>
  <w:style w:type="table" w:styleId="8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  <w:style w:type="table" w:styleId="839">
    <w:name w:val="Table Grid"/>
    <w:basedOn w:val="837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40">
    <w:name w:val="Balloon Text"/>
    <w:basedOn w:val="835"/>
    <w:link w:val="84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41" w:customStyle="1">
    <w:name w:val="Текст выноски Знак"/>
    <w:basedOn w:val="836"/>
    <w:link w:val="840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Управление Росреестра по Владимирской области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Искренкова Ирина Александровна</dc:creator>
  <cp:revision>9</cp:revision>
  <dcterms:created xsi:type="dcterms:W3CDTF">2022-12-23T11:59:00Z</dcterms:created>
  <dcterms:modified xsi:type="dcterms:W3CDTF">2025-11-27T14:46:01Z</dcterms:modified>
</cp:coreProperties>
</file>