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EB0" w:rsidRDefault="00AF4EB0" w:rsidP="0041232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ОПИСАНИЕ ОБЪЕКТА ЗАКУПКИ (ТЕХНИЧЕСКОЕ ЗАДАНИЕ)</w:t>
      </w:r>
    </w:p>
    <w:p w:rsidR="00AF4EB0" w:rsidRDefault="00AF4EB0" w:rsidP="00AF4EB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на оказание услуг по техническому </w:t>
      </w:r>
      <w:r>
        <w:rPr>
          <w:b/>
          <w:sz w:val="24"/>
          <w:szCs w:val="24"/>
        </w:rPr>
        <w:t>обслуживанию охранно-</w:t>
      </w:r>
      <w:r w:rsidRPr="005D44B8">
        <w:rPr>
          <w:b/>
          <w:sz w:val="24"/>
          <w:szCs w:val="24"/>
        </w:rPr>
        <w:t xml:space="preserve">пожарной сигнализации </w:t>
      </w:r>
      <w:r>
        <w:rPr>
          <w:b/>
          <w:sz w:val="24"/>
          <w:szCs w:val="24"/>
        </w:rPr>
        <w:t>(ОКПД</w:t>
      </w:r>
      <w:proofErr w:type="gramStart"/>
      <w:r>
        <w:rPr>
          <w:b/>
          <w:sz w:val="24"/>
          <w:szCs w:val="24"/>
        </w:rPr>
        <w:t>2</w:t>
      </w:r>
      <w:proofErr w:type="gramEnd"/>
      <w:r>
        <w:rPr>
          <w:b/>
          <w:sz w:val="24"/>
          <w:szCs w:val="24"/>
        </w:rPr>
        <w:t xml:space="preserve"> 80.20.10.000)</w:t>
      </w:r>
    </w:p>
    <w:p w:rsidR="00AF4EB0" w:rsidRDefault="00AF4EB0" w:rsidP="00AF4EB0">
      <w:pPr>
        <w:tabs>
          <w:tab w:val="num" w:pos="0"/>
        </w:tabs>
        <w:jc w:val="both"/>
        <w:rPr>
          <w:sz w:val="24"/>
          <w:szCs w:val="24"/>
        </w:rPr>
      </w:pPr>
    </w:p>
    <w:p w:rsidR="00AF4EB0" w:rsidRDefault="00AF4EB0" w:rsidP="00AF4EB0">
      <w:pPr>
        <w:tabs>
          <w:tab w:val="num" w:pos="0"/>
        </w:tabs>
        <w:jc w:val="center"/>
        <w:rPr>
          <w:b/>
          <w:bCs/>
          <w:sz w:val="24"/>
          <w:szCs w:val="24"/>
        </w:rPr>
      </w:pPr>
      <w:bookmarkStart w:id="0" w:name="_Hlk149902206"/>
      <w:r>
        <w:rPr>
          <w:b/>
          <w:bCs/>
          <w:sz w:val="24"/>
          <w:szCs w:val="24"/>
        </w:rPr>
        <w:t>1. Технические требования по обслуживанию охранно-</w:t>
      </w:r>
      <w:r w:rsidRPr="00850213">
        <w:rPr>
          <w:b/>
          <w:bCs/>
          <w:sz w:val="24"/>
          <w:szCs w:val="24"/>
        </w:rPr>
        <w:t>пожарной сигнализации</w:t>
      </w:r>
    </w:p>
    <w:p w:rsidR="00AF4EB0" w:rsidRDefault="00AF4EB0" w:rsidP="00AF4EB0">
      <w:pPr>
        <w:tabs>
          <w:tab w:val="num" w:pos="0"/>
        </w:tabs>
        <w:jc w:val="both"/>
        <w:rPr>
          <w:b/>
          <w:bCs/>
          <w:sz w:val="24"/>
          <w:szCs w:val="24"/>
        </w:rPr>
      </w:pPr>
    </w:p>
    <w:p w:rsidR="00AF4EB0" w:rsidRPr="00850213" w:rsidRDefault="00AF4EB0" w:rsidP="00AF4EB0">
      <w:pPr>
        <w:spacing w:line="360" w:lineRule="auto"/>
        <w:ind w:firstLine="709"/>
        <w:jc w:val="both"/>
        <w:rPr>
          <w:sz w:val="24"/>
          <w:szCs w:val="24"/>
          <w:lang w:eastAsia="en-US"/>
        </w:rPr>
      </w:pPr>
      <w:r w:rsidRPr="00850213">
        <w:rPr>
          <w:sz w:val="24"/>
          <w:szCs w:val="24"/>
          <w:lang w:eastAsia="en-US"/>
        </w:rPr>
        <w:t>Исполнитель должен иметь необходимую лицензию, согласно Федеральному закону</w:t>
      </w:r>
      <w:r w:rsidRPr="00AF4EB0">
        <w:rPr>
          <w:sz w:val="24"/>
          <w:szCs w:val="24"/>
          <w:lang w:eastAsia="en-US"/>
        </w:rPr>
        <w:t xml:space="preserve">                    </w:t>
      </w:r>
      <w:r w:rsidRPr="00850213">
        <w:rPr>
          <w:sz w:val="24"/>
          <w:szCs w:val="24"/>
          <w:lang w:eastAsia="en-US"/>
        </w:rPr>
        <w:t xml:space="preserve"> от 04.05.2011 № 99-ФЗ «О лицензировании отдельных видов деятельности» и Постановления Правительства РФ от 30.12.2011 N 1225 «О лицензировании деятельности по монтажу, техническому обслуживанию и ремонту средств обеспечения пожарной безопасности зданий и сооружений». </w:t>
      </w:r>
    </w:p>
    <w:p w:rsidR="00AF4EB0" w:rsidRPr="00850213" w:rsidRDefault="00AF4EB0" w:rsidP="00AF4EB0">
      <w:pPr>
        <w:widowControl w:val="0"/>
        <w:spacing w:line="360" w:lineRule="auto"/>
        <w:ind w:firstLine="709"/>
        <w:jc w:val="both"/>
        <w:rPr>
          <w:sz w:val="24"/>
          <w:szCs w:val="24"/>
          <w:lang w:eastAsia="en-US"/>
        </w:rPr>
      </w:pPr>
      <w:r w:rsidRPr="00850213">
        <w:rPr>
          <w:sz w:val="24"/>
          <w:szCs w:val="24"/>
          <w:lang w:eastAsia="en-US"/>
        </w:rPr>
        <w:t>При оказании услуг должны выполняться требования:</w:t>
      </w:r>
    </w:p>
    <w:p w:rsidR="00AF4EB0" w:rsidRPr="00850213" w:rsidRDefault="00AF4EB0" w:rsidP="00AF4EB0">
      <w:pPr>
        <w:widowControl w:val="0"/>
        <w:spacing w:line="360" w:lineRule="auto"/>
        <w:ind w:firstLine="709"/>
        <w:jc w:val="both"/>
        <w:rPr>
          <w:spacing w:val="-2"/>
          <w:sz w:val="24"/>
          <w:szCs w:val="24"/>
          <w:lang w:eastAsia="en-US"/>
        </w:rPr>
      </w:pPr>
      <w:r w:rsidRPr="00850213">
        <w:rPr>
          <w:sz w:val="24"/>
          <w:szCs w:val="24"/>
          <w:lang w:eastAsia="en-US"/>
        </w:rPr>
        <w:t xml:space="preserve">- </w:t>
      </w:r>
      <w:r w:rsidRPr="00850213">
        <w:rPr>
          <w:spacing w:val="-2"/>
          <w:sz w:val="24"/>
          <w:szCs w:val="24"/>
          <w:lang w:eastAsia="en-US"/>
        </w:rPr>
        <w:t>РД 009-02-96 «Установки пожарной автоматики. Техническое обслуживание и планово-предупредительный ремонт»;</w:t>
      </w:r>
    </w:p>
    <w:p w:rsidR="00AF4EB0" w:rsidRPr="00850213" w:rsidRDefault="00AF4EB0" w:rsidP="00AF4EB0">
      <w:pPr>
        <w:widowControl w:val="0"/>
        <w:spacing w:line="360" w:lineRule="auto"/>
        <w:ind w:firstLine="709"/>
        <w:jc w:val="both"/>
        <w:rPr>
          <w:spacing w:val="-2"/>
          <w:sz w:val="24"/>
          <w:szCs w:val="24"/>
          <w:lang w:eastAsia="en-US"/>
        </w:rPr>
      </w:pPr>
      <w:r w:rsidRPr="00850213">
        <w:rPr>
          <w:spacing w:val="-2"/>
          <w:sz w:val="24"/>
          <w:szCs w:val="24"/>
          <w:lang w:eastAsia="en-US"/>
        </w:rPr>
        <w:t>- РД 25.964-90 «Система технического обслуживания и ремонта автоматических установок пожаротушения, охранной, пожарной и охранно-пожарной сигнализации. Организация и порядок проведения работ»;</w:t>
      </w:r>
    </w:p>
    <w:p w:rsidR="00AF4EB0" w:rsidRPr="00850213" w:rsidRDefault="00AF4EB0" w:rsidP="00AF4EB0">
      <w:pPr>
        <w:widowControl w:val="0"/>
        <w:spacing w:line="360" w:lineRule="auto"/>
        <w:ind w:firstLine="709"/>
        <w:jc w:val="both"/>
        <w:rPr>
          <w:spacing w:val="-2"/>
          <w:sz w:val="24"/>
          <w:szCs w:val="24"/>
          <w:lang w:eastAsia="en-US"/>
        </w:rPr>
      </w:pPr>
      <w:r w:rsidRPr="00850213">
        <w:rPr>
          <w:sz w:val="24"/>
          <w:szCs w:val="24"/>
          <w:lang w:eastAsia="en-US"/>
        </w:rPr>
        <w:t>- РД 009-01-96 – «Установки пожарной автоматики. Правила технического содержания»;</w:t>
      </w:r>
    </w:p>
    <w:p w:rsidR="00AF4EB0" w:rsidRPr="00850213" w:rsidRDefault="00AF4EB0" w:rsidP="00AF4EB0">
      <w:pPr>
        <w:widowControl w:val="0"/>
        <w:spacing w:line="360" w:lineRule="auto"/>
        <w:ind w:firstLine="567"/>
        <w:jc w:val="both"/>
        <w:rPr>
          <w:sz w:val="24"/>
          <w:szCs w:val="24"/>
          <w:lang w:eastAsia="en-US"/>
        </w:rPr>
      </w:pPr>
      <w:r w:rsidRPr="00850213">
        <w:rPr>
          <w:sz w:val="24"/>
          <w:szCs w:val="24"/>
          <w:lang w:eastAsia="en-US"/>
        </w:rPr>
        <w:t>- правил охраны труда, пожарной безопасности и техники безопасности на объектах Заказчика;</w:t>
      </w:r>
    </w:p>
    <w:p w:rsidR="00AF4EB0" w:rsidRPr="00850213" w:rsidRDefault="00AF4EB0" w:rsidP="00AF4EB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4"/>
          <w:szCs w:val="24"/>
          <w:lang w:eastAsia="en-US"/>
        </w:rPr>
      </w:pPr>
      <w:r w:rsidRPr="00850213">
        <w:rPr>
          <w:sz w:val="24"/>
          <w:szCs w:val="24"/>
          <w:lang w:eastAsia="en-US"/>
        </w:rPr>
        <w:t>- Технического регламента о требованиях пожарной безопасности, государственных стандартов, санитарных норм и иных нормативных актов, установленных для данного вида услуг.</w:t>
      </w:r>
    </w:p>
    <w:p w:rsidR="00AF4EB0" w:rsidRPr="00850213" w:rsidRDefault="00AF4EB0" w:rsidP="00AF4EB0">
      <w:pPr>
        <w:spacing w:line="360" w:lineRule="auto"/>
        <w:ind w:firstLine="709"/>
        <w:jc w:val="both"/>
        <w:rPr>
          <w:sz w:val="24"/>
          <w:szCs w:val="24"/>
          <w:lang w:eastAsia="en-US"/>
        </w:rPr>
      </w:pPr>
      <w:r w:rsidRPr="00850213">
        <w:rPr>
          <w:sz w:val="24"/>
          <w:szCs w:val="24"/>
          <w:lang w:eastAsia="en-US"/>
        </w:rPr>
        <w:t>Техническое обслуживание (ТО) - проведение инженерно-технических мероприятий результатом, которых является работоспособность системы на длительный срок эксплуатации без ухудшения ее эксплуатационных характеристик. Техническое обслуживание включает в себя:</w:t>
      </w:r>
    </w:p>
    <w:p w:rsidR="00AF4EB0" w:rsidRPr="00850213" w:rsidRDefault="00AF4EB0" w:rsidP="00AF4EB0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  <w:lang w:eastAsia="en-US"/>
        </w:rPr>
      </w:pPr>
      <w:r w:rsidRPr="00850213">
        <w:rPr>
          <w:sz w:val="24"/>
          <w:szCs w:val="24"/>
          <w:lang w:eastAsia="en-US"/>
        </w:rPr>
        <w:t>-  контроль технического состояния установок пожарной автоматики;</w:t>
      </w:r>
    </w:p>
    <w:p w:rsidR="00AF4EB0" w:rsidRPr="00850213" w:rsidRDefault="00AF4EB0" w:rsidP="00AF4EB0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  <w:lang w:eastAsia="en-US"/>
        </w:rPr>
      </w:pPr>
      <w:r w:rsidRPr="00850213">
        <w:rPr>
          <w:sz w:val="24"/>
          <w:szCs w:val="24"/>
          <w:lang w:eastAsia="en-US"/>
        </w:rPr>
        <w:t>- проверка соответствия установок пожарной автоматики, в том числе их электрических и иных параметров требованиям технической документации;</w:t>
      </w:r>
    </w:p>
    <w:p w:rsidR="00AF4EB0" w:rsidRPr="00850213" w:rsidRDefault="00AF4EB0" w:rsidP="00AF4EB0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  <w:lang w:eastAsia="en-US"/>
        </w:rPr>
      </w:pPr>
      <w:r w:rsidRPr="00850213">
        <w:rPr>
          <w:sz w:val="24"/>
          <w:szCs w:val="24"/>
          <w:lang w:eastAsia="en-US"/>
        </w:rPr>
        <w:t>- ликвидация последствий воздействия на установки пожарной автоматики неблагоприятных климатических, производственных и иных условий;</w:t>
      </w:r>
    </w:p>
    <w:p w:rsidR="00AF4EB0" w:rsidRPr="00850213" w:rsidRDefault="00AF4EB0" w:rsidP="00AF4EB0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  <w:lang w:eastAsia="en-US"/>
        </w:rPr>
      </w:pPr>
      <w:r w:rsidRPr="00850213">
        <w:rPr>
          <w:sz w:val="24"/>
          <w:szCs w:val="24"/>
          <w:lang w:eastAsia="en-US"/>
        </w:rPr>
        <w:t>- выявление и устранение причин ложных срабатываний установок пожарной автоматики;</w:t>
      </w:r>
    </w:p>
    <w:p w:rsidR="00AF4EB0" w:rsidRPr="00850213" w:rsidRDefault="00AF4EB0" w:rsidP="00AF4EB0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  <w:lang w:eastAsia="en-US"/>
        </w:rPr>
      </w:pPr>
      <w:r w:rsidRPr="00850213">
        <w:rPr>
          <w:sz w:val="24"/>
          <w:szCs w:val="24"/>
          <w:lang w:eastAsia="en-US"/>
        </w:rPr>
        <w:t>- определение предельного состояния установок пожарной автоматики, при которых их дальнейшая эксплуатация становится невозможной или нецелесообразной;</w:t>
      </w:r>
    </w:p>
    <w:p w:rsidR="00AF4EB0" w:rsidRPr="00850213" w:rsidRDefault="00AF4EB0" w:rsidP="00AF4EB0">
      <w:pPr>
        <w:tabs>
          <w:tab w:val="left" w:pos="360"/>
        </w:tabs>
        <w:spacing w:line="360" w:lineRule="auto"/>
        <w:ind w:firstLine="709"/>
        <w:jc w:val="both"/>
        <w:rPr>
          <w:sz w:val="24"/>
          <w:szCs w:val="24"/>
          <w:lang w:eastAsia="en-US"/>
        </w:rPr>
      </w:pPr>
      <w:r w:rsidRPr="00850213">
        <w:rPr>
          <w:sz w:val="24"/>
          <w:szCs w:val="24"/>
          <w:lang w:eastAsia="en-US"/>
        </w:rPr>
        <w:t xml:space="preserve">- анализ и обобщение информации о техническом состоянии обслуживаемых установок пожарной автоматики и их надежности при эксплуатации. </w:t>
      </w:r>
    </w:p>
    <w:p w:rsidR="00AF4EB0" w:rsidRDefault="00AF4EB0" w:rsidP="00AF4EB0">
      <w:pPr>
        <w:keepNext/>
        <w:widowControl w:val="0"/>
        <w:numPr>
          <w:ilvl w:val="1"/>
          <w:numId w:val="1"/>
        </w:numPr>
        <w:tabs>
          <w:tab w:val="left" w:pos="0"/>
        </w:tabs>
        <w:suppressAutoHyphens/>
        <w:spacing w:before="240" w:after="60"/>
        <w:ind w:left="0" w:firstLine="0"/>
        <w:jc w:val="both"/>
        <w:outlineLvl w:val="1"/>
        <w:rPr>
          <w:rFonts w:eastAsia="Andale Sans UI"/>
          <w:b/>
          <w:bCs/>
          <w:i/>
          <w:iCs/>
          <w:kern w:val="1"/>
          <w:sz w:val="24"/>
          <w:szCs w:val="24"/>
        </w:rPr>
      </w:pPr>
      <w:r>
        <w:rPr>
          <w:rFonts w:eastAsia="Andale Sans UI"/>
          <w:b/>
          <w:bCs/>
          <w:kern w:val="1"/>
          <w:sz w:val="24"/>
          <w:szCs w:val="24"/>
        </w:rPr>
        <w:lastRenderedPageBreak/>
        <w:t>2</w:t>
      </w:r>
      <w:r w:rsidRPr="00850213">
        <w:rPr>
          <w:rFonts w:eastAsia="Andale Sans UI"/>
          <w:b/>
          <w:bCs/>
          <w:kern w:val="1"/>
          <w:sz w:val="24"/>
          <w:szCs w:val="24"/>
        </w:rPr>
        <w:t xml:space="preserve">. Перечень оборудования: </w:t>
      </w:r>
    </w:p>
    <w:p w:rsidR="00AF4EB0" w:rsidRPr="00AF4EB0" w:rsidRDefault="00AF4EB0" w:rsidP="00AF4EB0">
      <w:pPr>
        <w:keepNext/>
        <w:widowControl w:val="0"/>
        <w:numPr>
          <w:ilvl w:val="1"/>
          <w:numId w:val="1"/>
        </w:numPr>
        <w:tabs>
          <w:tab w:val="left" w:pos="0"/>
        </w:tabs>
        <w:suppressAutoHyphens/>
        <w:spacing w:before="240" w:after="60"/>
        <w:ind w:left="0" w:firstLine="0"/>
        <w:jc w:val="right"/>
        <w:outlineLvl w:val="1"/>
        <w:rPr>
          <w:rFonts w:eastAsia="Andale Sans UI"/>
          <w:bCs/>
          <w:i/>
          <w:iCs/>
          <w:kern w:val="1"/>
          <w:sz w:val="24"/>
          <w:szCs w:val="24"/>
        </w:rPr>
      </w:pPr>
      <w:r w:rsidRPr="00B46CD7">
        <w:rPr>
          <w:rFonts w:eastAsia="Andale Sans UI"/>
          <w:bCs/>
          <w:iCs/>
          <w:kern w:val="1"/>
          <w:sz w:val="24"/>
          <w:szCs w:val="24"/>
        </w:rPr>
        <w:t>Таблица № 1</w:t>
      </w:r>
    </w:p>
    <w:tbl>
      <w:tblPr>
        <w:tblStyle w:val="a5"/>
        <w:tblW w:w="0" w:type="auto"/>
        <w:tblLook w:val="04A0"/>
      </w:tblPr>
      <w:tblGrid>
        <w:gridCol w:w="4957"/>
        <w:gridCol w:w="1858"/>
        <w:gridCol w:w="1691"/>
        <w:gridCol w:w="1406"/>
      </w:tblGrid>
      <w:tr w:rsidR="00AF4EB0" w:rsidRPr="00AF4EB0" w:rsidTr="00412326">
        <w:trPr>
          <w:trHeight w:val="796"/>
        </w:trPr>
        <w:tc>
          <w:tcPr>
            <w:tcW w:w="4957" w:type="dxa"/>
          </w:tcPr>
          <w:p w:rsidR="00AF4EB0" w:rsidRPr="00AF4EB0" w:rsidRDefault="00AF4EB0" w:rsidP="00412326">
            <w:pPr>
              <w:keepNext/>
              <w:widowControl w:val="0"/>
              <w:numPr>
                <w:ilvl w:val="1"/>
                <w:numId w:val="1"/>
              </w:numPr>
              <w:tabs>
                <w:tab w:val="left" w:pos="0"/>
              </w:tabs>
              <w:suppressAutoHyphens/>
              <w:spacing w:after="60"/>
              <w:ind w:left="0" w:firstLine="0"/>
              <w:jc w:val="center"/>
              <w:outlineLvl w:val="1"/>
              <w:rPr>
                <w:rFonts w:eastAsia="Andale Sans UI"/>
                <w:b/>
                <w:bCs/>
                <w:iCs/>
                <w:kern w:val="1"/>
                <w:sz w:val="24"/>
                <w:szCs w:val="24"/>
              </w:rPr>
            </w:pPr>
            <w:r w:rsidRPr="00AF4EB0">
              <w:rPr>
                <w:rFonts w:eastAsia="Andale Sans UI"/>
                <w:b/>
                <w:bCs/>
                <w:iCs/>
                <w:kern w:val="1"/>
                <w:sz w:val="24"/>
                <w:szCs w:val="24"/>
              </w:rPr>
              <w:t>Технические средства охраны</w:t>
            </w:r>
          </w:p>
        </w:tc>
        <w:tc>
          <w:tcPr>
            <w:tcW w:w="1858" w:type="dxa"/>
            <w:vAlign w:val="center"/>
          </w:tcPr>
          <w:p w:rsidR="00AF4EB0" w:rsidRPr="00AF4EB0" w:rsidRDefault="00AF4EB0" w:rsidP="00412326">
            <w:pPr>
              <w:keepNext/>
              <w:widowControl w:val="0"/>
              <w:numPr>
                <w:ilvl w:val="1"/>
                <w:numId w:val="1"/>
              </w:numPr>
              <w:tabs>
                <w:tab w:val="left" w:pos="0"/>
              </w:tabs>
              <w:suppressAutoHyphens/>
              <w:spacing w:after="60"/>
              <w:ind w:left="0" w:firstLine="0"/>
              <w:jc w:val="center"/>
              <w:outlineLvl w:val="1"/>
              <w:rPr>
                <w:rFonts w:eastAsia="Andale Sans UI"/>
                <w:bCs/>
                <w:iCs/>
                <w:kern w:val="1"/>
                <w:sz w:val="24"/>
                <w:szCs w:val="24"/>
              </w:rPr>
            </w:pPr>
            <w:r w:rsidRPr="00AF4EB0">
              <w:rPr>
                <w:rFonts w:eastAsia="Andale Sans UI"/>
                <w:bCs/>
                <w:iCs/>
                <w:kern w:val="1"/>
                <w:sz w:val="24"/>
                <w:szCs w:val="24"/>
              </w:rPr>
              <w:t>Количество условных установок за 1</w:t>
            </w:r>
          </w:p>
        </w:tc>
        <w:tc>
          <w:tcPr>
            <w:tcW w:w="1691" w:type="dxa"/>
            <w:vAlign w:val="center"/>
          </w:tcPr>
          <w:p w:rsidR="00AF4EB0" w:rsidRPr="00AF4EB0" w:rsidRDefault="00AF4EB0" w:rsidP="00412326">
            <w:pPr>
              <w:keepNext/>
              <w:widowControl w:val="0"/>
              <w:numPr>
                <w:ilvl w:val="1"/>
                <w:numId w:val="1"/>
              </w:numPr>
              <w:tabs>
                <w:tab w:val="left" w:pos="0"/>
              </w:tabs>
              <w:suppressAutoHyphens/>
              <w:spacing w:after="60"/>
              <w:ind w:left="0" w:firstLine="0"/>
              <w:jc w:val="center"/>
              <w:outlineLvl w:val="1"/>
              <w:rPr>
                <w:rFonts w:eastAsia="Andale Sans UI"/>
                <w:bCs/>
                <w:iCs/>
                <w:kern w:val="1"/>
                <w:sz w:val="24"/>
                <w:szCs w:val="24"/>
              </w:rPr>
            </w:pPr>
            <w:r w:rsidRPr="00AF4EB0">
              <w:rPr>
                <w:rFonts w:eastAsia="Andale Sans UI"/>
                <w:bCs/>
                <w:iCs/>
                <w:kern w:val="1"/>
                <w:sz w:val="24"/>
                <w:szCs w:val="24"/>
              </w:rPr>
              <w:t>Количество приоров и материалов</w:t>
            </w:r>
          </w:p>
        </w:tc>
        <w:tc>
          <w:tcPr>
            <w:tcW w:w="1406" w:type="dxa"/>
            <w:vAlign w:val="center"/>
          </w:tcPr>
          <w:p w:rsidR="00AF4EB0" w:rsidRPr="00AF4EB0" w:rsidRDefault="00AF4EB0" w:rsidP="00412326">
            <w:pPr>
              <w:keepNext/>
              <w:widowControl w:val="0"/>
              <w:numPr>
                <w:ilvl w:val="1"/>
                <w:numId w:val="1"/>
              </w:numPr>
              <w:tabs>
                <w:tab w:val="left" w:pos="0"/>
              </w:tabs>
              <w:suppressAutoHyphens/>
              <w:spacing w:after="60"/>
              <w:ind w:left="0" w:firstLine="0"/>
              <w:jc w:val="center"/>
              <w:outlineLvl w:val="1"/>
              <w:rPr>
                <w:rFonts w:eastAsia="Andale Sans UI"/>
                <w:bCs/>
                <w:iCs/>
                <w:kern w:val="1"/>
                <w:sz w:val="24"/>
                <w:szCs w:val="24"/>
              </w:rPr>
            </w:pPr>
            <w:r w:rsidRPr="00AF4EB0">
              <w:rPr>
                <w:rFonts w:eastAsia="Andale Sans UI"/>
                <w:bCs/>
                <w:iCs/>
                <w:kern w:val="1"/>
                <w:sz w:val="24"/>
                <w:szCs w:val="24"/>
              </w:rPr>
              <w:t>Количество условных установок</w:t>
            </w:r>
          </w:p>
        </w:tc>
      </w:tr>
      <w:tr w:rsidR="00AF4EB0" w:rsidRPr="00AF4EB0" w:rsidTr="00AF4EB0">
        <w:trPr>
          <w:trHeight w:val="371"/>
        </w:trPr>
        <w:tc>
          <w:tcPr>
            <w:tcW w:w="9912" w:type="dxa"/>
            <w:gridSpan w:val="4"/>
            <w:vAlign w:val="center"/>
          </w:tcPr>
          <w:p w:rsidR="00AF4EB0" w:rsidRPr="00AF4EB0" w:rsidRDefault="00AF4EB0" w:rsidP="00412326">
            <w:pPr>
              <w:keepNext/>
              <w:widowControl w:val="0"/>
              <w:numPr>
                <w:ilvl w:val="1"/>
                <w:numId w:val="1"/>
              </w:numPr>
              <w:tabs>
                <w:tab w:val="left" w:pos="0"/>
              </w:tabs>
              <w:suppressAutoHyphens/>
              <w:ind w:left="0" w:firstLine="0"/>
              <w:outlineLvl w:val="1"/>
              <w:rPr>
                <w:rFonts w:eastAsia="Andale Sans UI"/>
                <w:bCs/>
                <w:iCs/>
                <w:kern w:val="1"/>
                <w:sz w:val="24"/>
                <w:szCs w:val="24"/>
              </w:rPr>
            </w:pPr>
            <w:r w:rsidRPr="00AF4EB0">
              <w:rPr>
                <w:rFonts w:eastAsia="Andale Sans UI"/>
                <w:b/>
                <w:bCs/>
                <w:iCs/>
                <w:kern w:val="1"/>
                <w:sz w:val="24"/>
                <w:szCs w:val="24"/>
              </w:rPr>
              <w:t>Шлейфы сигнализации</w:t>
            </w:r>
          </w:p>
        </w:tc>
      </w:tr>
      <w:tr w:rsidR="00AF4EB0" w:rsidRPr="00AF4EB0" w:rsidTr="00EA7922">
        <w:tc>
          <w:tcPr>
            <w:tcW w:w="4957" w:type="dxa"/>
            <w:vAlign w:val="center"/>
          </w:tcPr>
          <w:p w:rsidR="00AF4EB0" w:rsidRPr="00AF4EB0" w:rsidRDefault="00AF4EB0" w:rsidP="00412326">
            <w:pPr>
              <w:keepNext/>
              <w:widowControl w:val="0"/>
              <w:numPr>
                <w:ilvl w:val="1"/>
                <w:numId w:val="1"/>
              </w:numPr>
              <w:tabs>
                <w:tab w:val="left" w:pos="0"/>
              </w:tabs>
              <w:suppressAutoHyphens/>
              <w:ind w:left="0" w:firstLine="0"/>
              <w:outlineLvl w:val="1"/>
              <w:rPr>
                <w:rFonts w:eastAsia="Andale Sans UI"/>
                <w:bCs/>
                <w:iCs/>
                <w:kern w:val="1"/>
                <w:sz w:val="24"/>
                <w:szCs w:val="24"/>
              </w:rPr>
            </w:pPr>
            <w:r>
              <w:rPr>
                <w:rFonts w:eastAsia="Andale Sans UI"/>
                <w:bCs/>
                <w:iCs/>
                <w:kern w:val="1"/>
                <w:sz w:val="24"/>
                <w:szCs w:val="24"/>
              </w:rPr>
              <w:t>шлейф сигнализации длиной до 10 м</w:t>
            </w:r>
          </w:p>
        </w:tc>
        <w:tc>
          <w:tcPr>
            <w:tcW w:w="1858" w:type="dxa"/>
            <w:vAlign w:val="center"/>
          </w:tcPr>
          <w:p w:rsidR="00AF4EB0" w:rsidRPr="00AF4EB0" w:rsidRDefault="00AF4EB0" w:rsidP="00412326">
            <w:pPr>
              <w:keepNext/>
              <w:widowControl w:val="0"/>
              <w:numPr>
                <w:ilvl w:val="1"/>
                <w:numId w:val="1"/>
              </w:numPr>
              <w:tabs>
                <w:tab w:val="left" w:pos="0"/>
              </w:tabs>
              <w:suppressAutoHyphens/>
              <w:ind w:left="0" w:firstLine="0"/>
              <w:jc w:val="center"/>
              <w:outlineLvl w:val="1"/>
              <w:rPr>
                <w:rFonts w:eastAsia="Andale Sans UI"/>
                <w:bCs/>
                <w:iCs/>
                <w:kern w:val="1"/>
                <w:sz w:val="24"/>
                <w:szCs w:val="24"/>
              </w:rPr>
            </w:pPr>
            <w:r>
              <w:rPr>
                <w:rFonts w:eastAsia="Andale Sans UI"/>
                <w:bCs/>
                <w:iCs/>
                <w:kern w:val="1"/>
                <w:sz w:val="24"/>
                <w:szCs w:val="24"/>
              </w:rPr>
              <w:t>0,02</w:t>
            </w:r>
          </w:p>
        </w:tc>
        <w:tc>
          <w:tcPr>
            <w:tcW w:w="1691" w:type="dxa"/>
            <w:vAlign w:val="center"/>
          </w:tcPr>
          <w:p w:rsidR="00AF4EB0" w:rsidRPr="00AF4EB0" w:rsidRDefault="00AF4EB0" w:rsidP="00412326">
            <w:pPr>
              <w:keepNext/>
              <w:widowControl w:val="0"/>
              <w:suppressAutoHyphens/>
              <w:jc w:val="center"/>
              <w:outlineLvl w:val="1"/>
              <w:rPr>
                <w:rFonts w:eastAsia="Andale Sans UI"/>
                <w:bCs/>
                <w:iCs/>
                <w:kern w:val="1"/>
                <w:sz w:val="24"/>
                <w:szCs w:val="24"/>
              </w:rPr>
            </w:pPr>
            <w:r>
              <w:rPr>
                <w:rFonts w:eastAsia="Andale Sans UI"/>
                <w:bCs/>
                <w:iCs/>
                <w:kern w:val="1"/>
                <w:sz w:val="24"/>
                <w:szCs w:val="24"/>
              </w:rPr>
              <w:t>1</w:t>
            </w:r>
          </w:p>
        </w:tc>
        <w:tc>
          <w:tcPr>
            <w:tcW w:w="1406" w:type="dxa"/>
            <w:vAlign w:val="center"/>
          </w:tcPr>
          <w:p w:rsidR="00AF4EB0" w:rsidRPr="00AF4EB0" w:rsidRDefault="00AF4EB0" w:rsidP="00412326">
            <w:pPr>
              <w:keepNext/>
              <w:widowControl w:val="0"/>
              <w:suppressAutoHyphens/>
              <w:jc w:val="center"/>
              <w:outlineLvl w:val="1"/>
              <w:rPr>
                <w:rFonts w:eastAsia="Andale Sans UI"/>
                <w:bCs/>
                <w:iCs/>
                <w:kern w:val="1"/>
                <w:sz w:val="24"/>
                <w:szCs w:val="24"/>
              </w:rPr>
            </w:pPr>
            <w:r>
              <w:rPr>
                <w:rFonts w:eastAsia="Andale Sans UI"/>
                <w:bCs/>
                <w:iCs/>
                <w:kern w:val="1"/>
                <w:sz w:val="24"/>
                <w:szCs w:val="24"/>
              </w:rPr>
              <w:t>0,02</w:t>
            </w:r>
          </w:p>
        </w:tc>
      </w:tr>
      <w:tr w:rsidR="00AF4EB0" w:rsidRPr="00AF4EB0" w:rsidTr="00EA7922">
        <w:tc>
          <w:tcPr>
            <w:tcW w:w="4957" w:type="dxa"/>
            <w:vAlign w:val="center"/>
          </w:tcPr>
          <w:p w:rsidR="00AF4EB0" w:rsidRPr="00AF4EB0" w:rsidRDefault="00AF4EB0" w:rsidP="00412326">
            <w:pPr>
              <w:keepNext/>
              <w:widowControl w:val="0"/>
              <w:numPr>
                <w:ilvl w:val="1"/>
                <w:numId w:val="1"/>
              </w:numPr>
              <w:tabs>
                <w:tab w:val="left" w:pos="0"/>
              </w:tabs>
              <w:suppressAutoHyphens/>
              <w:ind w:left="0" w:firstLine="0"/>
              <w:outlineLvl w:val="1"/>
              <w:rPr>
                <w:rFonts w:eastAsia="Andale Sans UI"/>
                <w:bCs/>
                <w:iCs/>
                <w:kern w:val="1"/>
                <w:sz w:val="24"/>
                <w:szCs w:val="24"/>
              </w:rPr>
            </w:pPr>
            <w:r>
              <w:rPr>
                <w:rFonts w:eastAsia="Andale Sans UI"/>
                <w:bCs/>
                <w:iCs/>
                <w:kern w:val="1"/>
                <w:sz w:val="24"/>
                <w:szCs w:val="24"/>
              </w:rPr>
              <w:t>на каждый последующий десяток метров</w:t>
            </w:r>
          </w:p>
        </w:tc>
        <w:tc>
          <w:tcPr>
            <w:tcW w:w="1858" w:type="dxa"/>
            <w:vAlign w:val="center"/>
          </w:tcPr>
          <w:p w:rsidR="00AF4EB0" w:rsidRPr="00AF4EB0" w:rsidRDefault="00AF4EB0" w:rsidP="00412326">
            <w:pPr>
              <w:keepNext/>
              <w:widowControl w:val="0"/>
              <w:numPr>
                <w:ilvl w:val="1"/>
                <w:numId w:val="1"/>
              </w:numPr>
              <w:tabs>
                <w:tab w:val="left" w:pos="0"/>
              </w:tabs>
              <w:suppressAutoHyphens/>
              <w:ind w:left="0" w:firstLine="0"/>
              <w:jc w:val="center"/>
              <w:outlineLvl w:val="1"/>
              <w:rPr>
                <w:rFonts w:eastAsia="Andale Sans UI"/>
                <w:bCs/>
                <w:iCs/>
                <w:kern w:val="1"/>
                <w:sz w:val="24"/>
                <w:szCs w:val="24"/>
              </w:rPr>
            </w:pPr>
            <w:r>
              <w:rPr>
                <w:rFonts w:eastAsia="Andale Sans UI"/>
                <w:bCs/>
                <w:iCs/>
                <w:kern w:val="1"/>
                <w:sz w:val="24"/>
                <w:szCs w:val="24"/>
              </w:rPr>
              <w:t>0,01</w:t>
            </w:r>
          </w:p>
        </w:tc>
        <w:tc>
          <w:tcPr>
            <w:tcW w:w="1691" w:type="dxa"/>
            <w:vAlign w:val="center"/>
          </w:tcPr>
          <w:p w:rsidR="00AF4EB0" w:rsidRPr="00AF4EB0" w:rsidRDefault="00AF4EB0" w:rsidP="00412326">
            <w:pPr>
              <w:keepNext/>
              <w:widowControl w:val="0"/>
              <w:suppressAutoHyphens/>
              <w:jc w:val="center"/>
              <w:outlineLvl w:val="1"/>
              <w:rPr>
                <w:rFonts w:eastAsia="Andale Sans UI"/>
                <w:bCs/>
                <w:iCs/>
                <w:kern w:val="1"/>
                <w:sz w:val="24"/>
                <w:szCs w:val="24"/>
              </w:rPr>
            </w:pPr>
            <w:r>
              <w:rPr>
                <w:rFonts w:eastAsia="Andale Sans UI"/>
                <w:bCs/>
                <w:iCs/>
                <w:kern w:val="1"/>
                <w:sz w:val="24"/>
                <w:szCs w:val="24"/>
              </w:rPr>
              <w:t>10</w:t>
            </w:r>
          </w:p>
        </w:tc>
        <w:tc>
          <w:tcPr>
            <w:tcW w:w="1406" w:type="dxa"/>
            <w:vAlign w:val="center"/>
          </w:tcPr>
          <w:p w:rsidR="00AF4EB0" w:rsidRPr="00AF4EB0" w:rsidRDefault="00AF4EB0" w:rsidP="00412326">
            <w:pPr>
              <w:keepNext/>
              <w:widowControl w:val="0"/>
              <w:numPr>
                <w:ilvl w:val="1"/>
                <w:numId w:val="1"/>
              </w:numPr>
              <w:tabs>
                <w:tab w:val="left" w:pos="0"/>
              </w:tabs>
              <w:suppressAutoHyphens/>
              <w:ind w:left="0" w:firstLine="0"/>
              <w:jc w:val="center"/>
              <w:outlineLvl w:val="1"/>
              <w:rPr>
                <w:rFonts w:eastAsia="Andale Sans UI"/>
                <w:bCs/>
                <w:iCs/>
                <w:kern w:val="1"/>
                <w:sz w:val="24"/>
                <w:szCs w:val="24"/>
              </w:rPr>
            </w:pPr>
            <w:r>
              <w:rPr>
                <w:rFonts w:eastAsia="Andale Sans UI"/>
                <w:bCs/>
                <w:iCs/>
                <w:kern w:val="1"/>
                <w:sz w:val="24"/>
                <w:szCs w:val="24"/>
              </w:rPr>
              <w:t>0,10</w:t>
            </w:r>
          </w:p>
        </w:tc>
      </w:tr>
      <w:tr w:rsidR="00AF4EB0" w:rsidRPr="00AF4EB0" w:rsidTr="00EA7922">
        <w:tc>
          <w:tcPr>
            <w:tcW w:w="4957" w:type="dxa"/>
            <w:vAlign w:val="center"/>
          </w:tcPr>
          <w:p w:rsidR="00AF4EB0" w:rsidRDefault="00AF4EB0" w:rsidP="00412326">
            <w:pPr>
              <w:keepNext/>
              <w:widowControl w:val="0"/>
              <w:numPr>
                <w:ilvl w:val="1"/>
                <w:numId w:val="1"/>
              </w:numPr>
              <w:tabs>
                <w:tab w:val="left" w:pos="0"/>
              </w:tabs>
              <w:suppressAutoHyphens/>
              <w:ind w:left="0" w:firstLine="0"/>
              <w:outlineLvl w:val="1"/>
              <w:rPr>
                <w:rFonts w:eastAsia="Andale Sans UI"/>
                <w:bCs/>
                <w:iCs/>
                <w:kern w:val="1"/>
                <w:sz w:val="24"/>
                <w:szCs w:val="24"/>
              </w:rPr>
            </w:pPr>
            <w:proofErr w:type="spellStart"/>
            <w:r>
              <w:rPr>
                <w:rFonts w:eastAsia="Andale Sans UI"/>
                <w:bCs/>
                <w:iCs/>
                <w:kern w:val="1"/>
                <w:sz w:val="24"/>
                <w:szCs w:val="24"/>
              </w:rPr>
              <w:t>разветвительные</w:t>
            </w:r>
            <w:proofErr w:type="spellEnd"/>
            <w:r>
              <w:rPr>
                <w:rFonts w:eastAsia="Andale Sans UI"/>
                <w:bCs/>
                <w:iCs/>
                <w:kern w:val="1"/>
                <w:sz w:val="24"/>
                <w:szCs w:val="24"/>
              </w:rPr>
              <w:t xml:space="preserve"> коробки, устройства соединительные</w:t>
            </w:r>
          </w:p>
        </w:tc>
        <w:tc>
          <w:tcPr>
            <w:tcW w:w="1858" w:type="dxa"/>
            <w:vAlign w:val="center"/>
          </w:tcPr>
          <w:p w:rsidR="00AF4EB0" w:rsidRPr="00AF4EB0" w:rsidRDefault="00AF4EB0" w:rsidP="00412326">
            <w:pPr>
              <w:keepNext/>
              <w:widowControl w:val="0"/>
              <w:suppressAutoHyphens/>
              <w:jc w:val="center"/>
              <w:outlineLvl w:val="1"/>
              <w:rPr>
                <w:rFonts w:eastAsia="Andale Sans UI"/>
                <w:bCs/>
                <w:iCs/>
                <w:kern w:val="1"/>
                <w:sz w:val="24"/>
                <w:szCs w:val="24"/>
              </w:rPr>
            </w:pPr>
            <w:r>
              <w:rPr>
                <w:rFonts w:eastAsia="Andale Sans UI"/>
                <w:bCs/>
                <w:iCs/>
                <w:kern w:val="1"/>
                <w:sz w:val="24"/>
                <w:szCs w:val="24"/>
              </w:rPr>
              <w:t>0,02</w:t>
            </w:r>
          </w:p>
        </w:tc>
        <w:tc>
          <w:tcPr>
            <w:tcW w:w="1691" w:type="dxa"/>
            <w:vAlign w:val="center"/>
          </w:tcPr>
          <w:p w:rsidR="00AF4EB0" w:rsidRPr="00AF4EB0" w:rsidRDefault="00AF4EB0" w:rsidP="00412326">
            <w:pPr>
              <w:keepNext/>
              <w:widowControl w:val="0"/>
              <w:suppressAutoHyphens/>
              <w:jc w:val="center"/>
              <w:outlineLvl w:val="1"/>
              <w:rPr>
                <w:rFonts w:eastAsia="Andale Sans UI"/>
                <w:bCs/>
                <w:iCs/>
                <w:kern w:val="1"/>
                <w:sz w:val="24"/>
                <w:szCs w:val="24"/>
              </w:rPr>
            </w:pPr>
            <w:r>
              <w:rPr>
                <w:rFonts w:eastAsia="Andale Sans UI"/>
                <w:bCs/>
                <w:iCs/>
                <w:kern w:val="1"/>
                <w:sz w:val="24"/>
                <w:szCs w:val="24"/>
              </w:rPr>
              <w:t>3</w:t>
            </w:r>
          </w:p>
        </w:tc>
        <w:tc>
          <w:tcPr>
            <w:tcW w:w="1406" w:type="dxa"/>
            <w:vAlign w:val="center"/>
          </w:tcPr>
          <w:p w:rsidR="00AF4EB0" w:rsidRPr="00AF4EB0" w:rsidRDefault="00AF4EB0" w:rsidP="00412326">
            <w:pPr>
              <w:keepNext/>
              <w:widowControl w:val="0"/>
              <w:suppressAutoHyphens/>
              <w:jc w:val="center"/>
              <w:outlineLvl w:val="1"/>
              <w:rPr>
                <w:rFonts w:eastAsia="Andale Sans UI"/>
                <w:bCs/>
                <w:iCs/>
                <w:kern w:val="1"/>
                <w:sz w:val="24"/>
                <w:szCs w:val="24"/>
              </w:rPr>
            </w:pPr>
            <w:r>
              <w:rPr>
                <w:rFonts w:eastAsia="Andale Sans UI"/>
                <w:bCs/>
                <w:iCs/>
                <w:kern w:val="1"/>
                <w:sz w:val="24"/>
                <w:szCs w:val="24"/>
              </w:rPr>
              <w:t>0,06</w:t>
            </w:r>
          </w:p>
        </w:tc>
      </w:tr>
      <w:tr w:rsidR="00AF4EB0" w:rsidRPr="00AF4EB0" w:rsidTr="00EA7922">
        <w:tc>
          <w:tcPr>
            <w:tcW w:w="4957" w:type="dxa"/>
            <w:vAlign w:val="center"/>
          </w:tcPr>
          <w:p w:rsidR="00AF4EB0" w:rsidRDefault="00AF4EB0" w:rsidP="00412326">
            <w:pPr>
              <w:keepNext/>
              <w:widowControl w:val="0"/>
              <w:suppressAutoHyphens/>
              <w:outlineLvl w:val="1"/>
              <w:rPr>
                <w:rFonts w:eastAsia="Andale Sans UI"/>
                <w:bCs/>
                <w:iCs/>
                <w:kern w:val="1"/>
                <w:sz w:val="24"/>
                <w:szCs w:val="24"/>
              </w:rPr>
            </w:pPr>
            <w:r>
              <w:rPr>
                <w:rFonts w:eastAsia="Andale Sans UI"/>
                <w:bCs/>
                <w:iCs/>
                <w:kern w:val="1"/>
                <w:sz w:val="24"/>
                <w:szCs w:val="24"/>
              </w:rPr>
              <w:t>выносные (задающие) элементы шлейфа (резисторы, диоды, и т. п.)</w:t>
            </w:r>
          </w:p>
        </w:tc>
        <w:tc>
          <w:tcPr>
            <w:tcW w:w="1858" w:type="dxa"/>
            <w:vAlign w:val="center"/>
          </w:tcPr>
          <w:p w:rsidR="00AF4EB0" w:rsidRPr="00AF4EB0" w:rsidRDefault="00AF4EB0" w:rsidP="00412326">
            <w:pPr>
              <w:keepNext/>
              <w:widowControl w:val="0"/>
              <w:suppressAutoHyphens/>
              <w:jc w:val="center"/>
              <w:outlineLvl w:val="1"/>
              <w:rPr>
                <w:rFonts w:eastAsia="Andale Sans UI"/>
                <w:bCs/>
                <w:iCs/>
                <w:kern w:val="1"/>
                <w:sz w:val="24"/>
                <w:szCs w:val="24"/>
              </w:rPr>
            </w:pPr>
            <w:r>
              <w:rPr>
                <w:rFonts w:eastAsia="Andale Sans UI"/>
                <w:bCs/>
                <w:iCs/>
                <w:kern w:val="1"/>
                <w:sz w:val="24"/>
                <w:szCs w:val="24"/>
              </w:rPr>
              <w:t>0,01</w:t>
            </w:r>
          </w:p>
        </w:tc>
        <w:tc>
          <w:tcPr>
            <w:tcW w:w="1691" w:type="dxa"/>
            <w:vAlign w:val="center"/>
          </w:tcPr>
          <w:p w:rsidR="00AF4EB0" w:rsidRPr="00AF4EB0" w:rsidRDefault="00AF4EB0" w:rsidP="00412326">
            <w:pPr>
              <w:keepNext/>
              <w:widowControl w:val="0"/>
              <w:suppressAutoHyphens/>
              <w:jc w:val="center"/>
              <w:outlineLvl w:val="1"/>
              <w:rPr>
                <w:rFonts w:eastAsia="Andale Sans UI"/>
                <w:bCs/>
                <w:iCs/>
                <w:kern w:val="1"/>
                <w:sz w:val="24"/>
                <w:szCs w:val="24"/>
              </w:rPr>
            </w:pPr>
            <w:r>
              <w:rPr>
                <w:rFonts w:eastAsia="Andale Sans UI"/>
                <w:bCs/>
                <w:iCs/>
                <w:kern w:val="1"/>
                <w:sz w:val="24"/>
                <w:szCs w:val="24"/>
              </w:rPr>
              <w:t>2</w:t>
            </w:r>
          </w:p>
        </w:tc>
        <w:tc>
          <w:tcPr>
            <w:tcW w:w="1406" w:type="dxa"/>
            <w:vAlign w:val="center"/>
          </w:tcPr>
          <w:p w:rsidR="00AF4EB0" w:rsidRPr="00AF4EB0" w:rsidRDefault="00AF4EB0" w:rsidP="00412326">
            <w:pPr>
              <w:keepNext/>
              <w:widowControl w:val="0"/>
              <w:numPr>
                <w:ilvl w:val="1"/>
                <w:numId w:val="1"/>
              </w:numPr>
              <w:tabs>
                <w:tab w:val="left" w:pos="0"/>
              </w:tabs>
              <w:suppressAutoHyphens/>
              <w:ind w:left="0" w:firstLine="0"/>
              <w:jc w:val="center"/>
              <w:outlineLvl w:val="1"/>
              <w:rPr>
                <w:rFonts w:eastAsia="Andale Sans UI"/>
                <w:bCs/>
                <w:iCs/>
                <w:kern w:val="1"/>
                <w:sz w:val="24"/>
                <w:szCs w:val="24"/>
              </w:rPr>
            </w:pPr>
            <w:r>
              <w:rPr>
                <w:rFonts w:eastAsia="Andale Sans UI"/>
                <w:bCs/>
                <w:iCs/>
                <w:kern w:val="1"/>
                <w:sz w:val="24"/>
                <w:szCs w:val="24"/>
              </w:rPr>
              <w:t>0,02</w:t>
            </w:r>
          </w:p>
        </w:tc>
      </w:tr>
      <w:tr w:rsidR="00EA7922" w:rsidRPr="00AF4EB0" w:rsidTr="00E85796">
        <w:tc>
          <w:tcPr>
            <w:tcW w:w="9912" w:type="dxa"/>
            <w:gridSpan w:val="4"/>
            <w:vAlign w:val="center"/>
          </w:tcPr>
          <w:p w:rsidR="00EA7922" w:rsidRPr="00AF4EB0" w:rsidRDefault="00EA7922" w:rsidP="00412326">
            <w:pPr>
              <w:keepNext/>
              <w:widowControl w:val="0"/>
              <w:numPr>
                <w:ilvl w:val="1"/>
                <w:numId w:val="1"/>
              </w:numPr>
              <w:tabs>
                <w:tab w:val="left" w:pos="0"/>
              </w:tabs>
              <w:suppressAutoHyphens/>
              <w:ind w:left="0" w:firstLine="0"/>
              <w:outlineLvl w:val="1"/>
              <w:rPr>
                <w:rFonts w:eastAsia="Andale Sans UI"/>
                <w:bCs/>
                <w:iCs/>
                <w:kern w:val="1"/>
                <w:sz w:val="24"/>
                <w:szCs w:val="24"/>
              </w:rPr>
            </w:pPr>
            <w:r w:rsidRPr="00EA7922">
              <w:rPr>
                <w:rFonts w:eastAsia="Andale Sans UI"/>
                <w:b/>
                <w:bCs/>
                <w:iCs/>
                <w:kern w:val="1"/>
                <w:sz w:val="24"/>
                <w:szCs w:val="24"/>
              </w:rPr>
              <w:t>Приборы приемно-контрольные</w:t>
            </w:r>
          </w:p>
        </w:tc>
      </w:tr>
      <w:tr w:rsidR="00AF4EB0" w:rsidRPr="00AF4EB0" w:rsidTr="00EA7922">
        <w:tc>
          <w:tcPr>
            <w:tcW w:w="4957" w:type="dxa"/>
            <w:vAlign w:val="center"/>
          </w:tcPr>
          <w:p w:rsidR="00AF4EB0" w:rsidRDefault="00EA7922" w:rsidP="00412326">
            <w:pPr>
              <w:keepNext/>
              <w:widowControl w:val="0"/>
              <w:numPr>
                <w:ilvl w:val="1"/>
                <w:numId w:val="1"/>
              </w:numPr>
              <w:tabs>
                <w:tab w:val="left" w:pos="0"/>
              </w:tabs>
              <w:suppressAutoHyphens/>
              <w:ind w:left="0" w:firstLine="0"/>
              <w:outlineLvl w:val="1"/>
              <w:rPr>
                <w:rFonts w:eastAsia="Andale Sans UI"/>
                <w:bCs/>
                <w:iCs/>
                <w:kern w:val="1"/>
                <w:sz w:val="24"/>
                <w:szCs w:val="24"/>
              </w:rPr>
            </w:pPr>
            <w:r>
              <w:rPr>
                <w:rFonts w:eastAsia="Andale Sans UI"/>
                <w:bCs/>
                <w:iCs/>
                <w:kern w:val="1"/>
                <w:sz w:val="24"/>
                <w:szCs w:val="24"/>
              </w:rPr>
              <w:t>прибор приемно-контрольной средней (1-5) информационной емкости с одним задействованным входом</w:t>
            </w:r>
          </w:p>
        </w:tc>
        <w:tc>
          <w:tcPr>
            <w:tcW w:w="1858" w:type="dxa"/>
          </w:tcPr>
          <w:p w:rsidR="00AF4EB0" w:rsidRPr="00AF4EB0" w:rsidRDefault="00EA7922" w:rsidP="00412326">
            <w:pPr>
              <w:keepNext/>
              <w:widowControl w:val="0"/>
              <w:numPr>
                <w:ilvl w:val="1"/>
                <w:numId w:val="1"/>
              </w:numPr>
              <w:tabs>
                <w:tab w:val="left" w:pos="0"/>
              </w:tabs>
              <w:suppressAutoHyphens/>
              <w:ind w:left="0" w:firstLine="0"/>
              <w:jc w:val="right"/>
              <w:outlineLvl w:val="1"/>
              <w:rPr>
                <w:rFonts w:eastAsia="Andale Sans UI"/>
                <w:bCs/>
                <w:iCs/>
                <w:kern w:val="1"/>
                <w:sz w:val="24"/>
                <w:szCs w:val="24"/>
              </w:rPr>
            </w:pPr>
            <w:r>
              <w:rPr>
                <w:rFonts w:eastAsia="Andale Sans UI"/>
                <w:bCs/>
                <w:iCs/>
                <w:kern w:val="1"/>
                <w:sz w:val="24"/>
                <w:szCs w:val="24"/>
              </w:rPr>
              <w:t>0,3</w:t>
            </w:r>
          </w:p>
        </w:tc>
        <w:tc>
          <w:tcPr>
            <w:tcW w:w="1691" w:type="dxa"/>
          </w:tcPr>
          <w:p w:rsidR="00AF4EB0" w:rsidRPr="00AF4EB0" w:rsidRDefault="00EA7922" w:rsidP="00412326">
            <w:pPr>
              <w:keepNext/>
              <w:widowControl w:val="0"/>
              <w:numPr>
                <w:ilvl w:val="1"/>
                <w:numId w:val="1"/>
              </w:numPr>
              <w:tabs>
                <w:tab w:val="left" w:pos="0"/>
              </w:tabs>
              <w:suppressAutoHyphens/>
              <w:ind w:left="0" w:firstLine="0"/>
              <w:jc w:val="right"/>
              <w:outlineLvl w:val="1"/>
              <w:rPr>
                <w:rFonts w:eastAsia="Andale Sans UI"/>
                <w:bCs/>
                <w:iCs/>
                <w:kern w:val="1"/>
                <w:sz w:val="24"/>
                <w:szCs w:val="24"/>
              </w:rPr>
            </w:pPr>
            <w:r>
              <w:rPr>
                <w:rFonts w:eastAsia="Andale Sans UI"/>
                <w:bCs/>
                <w:iCs/>
                <w:kern w:val="1"/>
                <w:sz w:val="24"/>
                <w:szCs w:val="24"/>
              </w:rPr>
              <w:t>1</w:t>
            </w:r>
          </w:p>
        </w:tc>
        <w:tc>
          <w:tcPr>
            <w:tcW w:w="1406" w:type="dxa"/>
          </w:tcPr>
          <w:p w:rsidR="00AF4EB0" w:rsidRPr="00AF4EB0" w:rsidRDefault="00EA7922" w:rsidP="00412326">
            <w:pPr>
              <w:keepNext/>
              <w:widowControl w:val="0"/>
              <w:numPr>
                <w:ilvl w:val="1"/>
                <w:numId w:val="1"/>
              </w:numPr>
              <w:tabs>
                <w:tab w:val="left" w:pos="0"/>
              </w:tabs>
              <w:suppressAutoHyphens/>
              <w:ind w:left="0" w:firstLine="0"/>
              <w:jc w:val="right"/>
              <w:outlineLvl w:val="1"/>
              <w:rPr>
                <w:rFonts w:eastAsia="Andale Sans UI"/>
                <w:bCs/>
                <w:iCs/>
                <w:kern w:val="1"/>
                <w:sz w:val="24"/>
                <w:szCs w:val="24"/>
              </w:rPr>
            </w:pPr>
            <w:r>
              <w:rPr>
                <w:rFonts w:eastAsia="Andale Sans UI"/>
                <w:bCs/>
                <w:iCs/>
                <w:kern w:val="1"/>
                <w:sz w:val="24"/>
                <w:szCs w:val="24"/>
              </w:rPr>
              <w:t>0,30</w:t>
            </w:r>
          </w:p>
        </w:tc>
      </w:tr>
      <w:tr w:rsidR="00EA7922" w:rsidRPr="00AF4EB0" w:rsidTr="00614DFD">
        <w:tc>
          <w:tcPr>
            <w:tcW w:w="9912" w:type="dxa"/>
            <w:gridSpan w:val="4"/>
            <w:vAlign w:val="center"/>
          </w:tcPr>
          <w:p w:rsidR="00EA7922" w:rsidRDefault="00EA7922" w:rsidP="00412326">
            <w:pPr>
              <w:keepNext/>
              <w:widowControl w:val="0"/>
              <w:numPr>
                <w:ilvl w:val="1"/>
                <w:numId w:val="1"/>
              </w:numPr>
              <w:tabs>
                <w:tab w:val="left" w:pos="0"/>
              </w:tabs>
              <w:suppressAutoHyphens/>
              <w:ind w:left="0" w:firstLine="0"/>
              <w:outlineLvl w:val="1"/>
              <w:rPr>
                <w:rFonts w:eastAsia="Andale Sans UI"/>
                <w:bCs/>
                <w:iCs/>
                <w:kern w:val="1"/>
                <w:sz w:val="24"/>
                <w:szCs w:val="24"/>
              </w:rPr>
            </w:pPr>
            <w:r>
              <w:rPr>
                <w:rFonts w:eastAsia="Andale Sans UI"/>
                <w:bCs/>
                <w:iCs/>
                <w:kern w:val="1"/>
                <w:sz w:val="24"/>
                <w:szCs w:val="24"/>
              </w:rPr>
              <w:t>аккумуляторная батарея емкостью до 360 А-ч напряжением</w:t>
            </w:r>
          </w:p>
        </w:tc>
      </w:tr>
      <w:tr w:rsidR="00EA7922" w:rsidRPr="00AF4EB0" w:rsidTr="00EA7922">
        <w:tc>
          <w:tcPr>
            <w:tcW w:w="4957" w:type="dxa"/>
            <w:vAlign w:val="center"/>
          </w:tcPr>
          <w:p w:rsidR="00EA7922" w:rsidRDefault="00EA7922" w:rsidP="00412326">
            <w:pPr>
              <w:keepNext/>
              <w:widowControl w:val="0"/>
              <w:numPr>
                <w:ilvl w:val="1"/>
                <w:numId w:val="1"/>
              </w:numPr>
              <w:tabs>
                <w:tab w:val="left" w:pos="0"/>
              </w:tabs>
              <w:suppressAutoHyphens/>
              <w:ind w:left="0" w:firstLine="0"/>
              <w:outlineLvl w:val="1"/>
              <w:rPr>
                <w:rFonts w:eastAsia="Andale Sans UI"/>
                <w:bCs/>
                <w:iCs/>
                <w:kern w:val="1"/>
                <w:sz w:val="24"/>
                <w:szCs w:val="24"/>
              </w:rPr>
            </w:pPr>
            <w:r>
              <w:rPr>
                <w:rFonts w:eastAsia="Andale Sans UI"/>
                <w:bCs/>
                <w:iCs/>
                <w:kern w:val="1"/>
                <w:sz w:val="24"/>
                <w:szCs w:val="24"/>
              </w:rPr>
              <w:t>12В</w:t>
            </w:r>
          </w:p>
        </w:tc>
        <w:tc>
          <w:tcPr>
            <w:tcW w:w="1858" w:type="dxa"/>
          </w:tcPr>
          <w:p w:rsidR="00EA7922" w:rsidRDefault="00EA7922" w:rsidP="00412326">
            <w:pPr>
              <w:keepNext/>
              <w:widowControl w:val="0"/>
              <w:numPr>
                <w:ilvl w:val="1"/>
                <w:numId w:val="1"/>
              </w:numPr>
              <w:tabs>
                <w:tab w:val="left" w:pos="0"/>
              </w:tabs>
              <w:suppressAutoHyphens/>
              <w:ind w:left="0" w:firstLine="0"/>
              <w:jc w:val="right"/>
              <w:outlineLvl w:val="1"/>
              <w:rPr>
                <w:rFonts w:eastAsia="Andale Sans UI"/>
                <w:bCs/>
                <w:iCs/>
                <w:kern w:val="1"/>
                <w:sz w:val="24"/>
                <w:szCs w:val="24"/>
              </w:rPr>
            </w:pPr>
            <w:r>
              <w:rPr>
                <w:rFonts w:eastAsia="Andale Sans UI"/>
                <w:bCs/>
                <w:iCs/>
                <w:kern w:val="1"/>
                <w:sz w:val="24"/>
                <w:szCs w:val="24"/>
              </w:rPr>
              <w:t>1,5</w:t>
            </w:r>
          </w:p>
        </w:tc>
        <w:tc>
          <w:tcPr>
            <w:tcW w:w="1691" w:type="dxa"/>
          </w:tcPr>
          <w:p w:rsidR="00EA7922" w:rsidRDefault="00EA7922" w:rsidP="00412326">
            <w:pPr>
              <w:keepNext/>
              <w:widowControl w:val="0"/>
              <w:numPr>
                <w:ilvl w:val="1"/>
                <w:numId w:val="1"/>
              </w:numPr>
              <w:tabs>
                <w:tab w:val="left" w:pos="0"/>
              </w:tabs>
              <w:suppressAutoHyphens/>
              <w:ind w:left="0" w:firstLine="0"/>
              <w:jc w:val="right"/>
              <w:outlineLvl w:val="1"/>
              <w:rPr>
                <w:rFonts w:eastAsia="Andale Sans UI"/>
                <w:bCs/>
                <w:iCs/>
                <w:kern w:val="1"/>
                <w:sz w:val="24"/>
                <w:szCs w:val="24"/>
              </w:rPr>
            </w:pPr>
            <w:r>
              <w:rPr>
                <w:rFonts w:eastAsia="Andale Sans UI"/>
                <w:bCs/>
                <w:iCs/>
                <w:kern w:val="1"/>
                <w:sz w:val="24"/>
                <w:szCs w:val="24"/>
              </w:rPr>
              <w:t>1</w:t>
            </w:r>
          </w:p>
        </w:tc>
        <w:tc>
          <w:tcPr>
            <w:tcW w:w="1406" w:type="dxa"/>
          </w:tcPr>
          <w:p w:rsidR="00EA7922" w:rsidRDefault="00EA7922" w:rsidP="00412326">
            <w:pPr>
              <w:keepNext/>
              <w:widowControl w:val="0"/>
              <w:numPr>
                <w:ilvl w:val="1"/>
                <w:numId w:val="1"/>
              </w:numPr>
              <w:tabs>
                <w:tab w:val="left" w:pos="0"/>
              </w:tabs>
              <w:suppressAutoHyphens/>
              <w:ind w:left="0" w:firstLine="0"/>
              <w:jc w:val="right"/>
              <w:outlineLvl w:val="1"/>
              <w:rPr>
                <w:rFonts w:eastAsia="Andale Sans UI"/>
                <w:bCs/>
                <w:iCs/>
                <w:kern w:val="1"/>
                <w:sz w:val="24"/>
                <w:szCs w:val="24"/>
              </w:rPr>
            </w:pPr>
            <w:r>
              <w:rPr>
                <w:rFonts w:eastAsia="Andale Sans UI"/>
                <w:bCs/>
                <w:iCs/>
                <w:kern w:val="1"/>
                <w:sz w:val="24"/>
                <w:szCs w:val="24"/>
              </w:rPr>
              <w:t>1,5</w:t>
            </w:r>
          </w:p>
        </w:tc>
      </w:tr>
      <w:tr w:rsidR="00EA7922" w:rsidRPr="00AF4EB0" w:rsidTr="00EA7922">
        <w:tc>
          <w:tcPr>
            <w:tcW w:w="9912" w:type="dxa"/>
            <w:gridSpan w:val="4"/>
            <w:vAlign w:val="center"/>
          </w:tcPr>
          <w:p w:rsidR="00EA7922" w:rsidRPr="00EA7922" w:rsidRDefault="00EA7922" w:rsidP="00412326">
            <w:pPr>
              <w:keepNext/>
              <w:widowControl w:val="0"/>
              <w:numPr>
                <w:ilvl w:val="1"/>
                <w:numId w:val="1"/>
              </w:numPr>
              <w:tabs>
                <w:tab w:val="left" w:pos="0"/>
              </w:tabs>
              <w:suppressAutoHyphens/>
              <w:ind w:left="0" w:firstLine="0"/>
              <w:outlineLvl w:val="1"/>
              <w:rPr>
                <w:rFonts w:eastAsia="Andale Sans UI"/>
                <w:b/>
                <w:bCs/>
                <w:iCs/>
                <w:kern w:val="1"/>
                <w:sz w:val="24"/>
                <w:szCs w:val="24"/>
              </w:rPr>
            </w:pPr>
            <w:proofErr w:type="spellStart"/>
            <w:r w:rsidRPr="00EA7922">
              <w:rPr>
                <w:rFonts w:eastAsia="Andale Sans UI"/>
                <w:b/>
                <w:bCs/>
                <w:iCs/>
                <w:kern w:val="1"/>
                <w:sz w:val="24"/>
                <w:szCs w:val="24"/>
              </w:rPr>
              <w:t>Оповещатели</w:t>
            </w:r>
            <w:proofErr w:type="spellEnd"/>
          </w:p>
        </w:tc>
      </w:tr>
      <w:tr w:rsidR="00EA7922" w:rsidRPr="00AF4EB0" w:rsidTr="00EA7922">
        <w:tc>
          <w:tcPr>
            <w:tcW w:w="4957" w:type="dxa"/>
            <w:vAlign w:val="center"/>
          </w:tcPr>
          <w:p w:rsidR="00EA7922" w:rsidRDefault="00EA7922" w:rsidP="00412326">
            <w:pPr>
              <w:keepNext/>
              <w:widowControl w:val="0"/>
              <w:numPr>
                <w:ilvl w:val="1"/>
                <w:numId w:val="1"/>
              </w:numPr>
              <w:tabs>
                <w:tab w:val="left" w:pos="0"/>
              </w:tabs>
              <w:suppressAutoHyphens/>
              <w:ind w:left="0" w:firstLine="0"/>
              <w:outlineLvl w:val="1"/>
              <w:rPr>
                <w:rFonts w:eastAsia="Andale Sans UI"/>
                <w:bCs/>
                <w:iCs/>
                <w:kern w:val="1"/>
                <w:sz w:val="24"/>
                <w:szCs w:val="24"/>
              </w:rPr>
            </w:pPr>
            <w:r>
              <w:rPr>
                <w:rFonts w:eastAsia="Andale Sans UI"/>
                <w:bCs/>
                <w:iCs/>
                <w:kern w:val="1"/>
                <w:sz w:val="24"/>
                <w:szCs w:val="24"/>
              </w:rPr>
              <w:t>Типа – «Свирель», «Маяк», «Табло»</w:t>
            </w:r>
          </w:p>
        </w:tc>
        <w:tc>
          <w:tcPr>
            <w:tcW w:w="1858" w:type="dxa"/>
          </w:tcPr>
          <w:p w:rsidR="00EA7922" w:rsidRDefault="00EA7922" w:rsidP="00412326">
            <w:pPr>
              <w:keepNext/>
              <w:widowControl w:val="0"/>
              <w:numPr>
                <w:ilvl w:val="1"/>
                <w:numId w:val="1"/>
              </w:numPr>
              <w:tabs>
                <w:tab w:val="left" w:pos="0"/>
              </w:tabs>
              <w:suppressAutoHyphens/>
              <w:ind w:left="0" w:firstLine="0"/>
              <w:jc w:val="right"/>
              <w:outlineLvl w:val="1"/>
              <w:rPr>
                <w:rFonts w:eastAsia="Andale Sans UI"/>
                <w:bCs/>
                <w:iCs/>
                <w:kern w:val="1"/>
                <w:sz w:val="24"/>
                <w:szCs w:val="24"/>
              </w:rPr>
            </w:pPr>
            <w:r>
              <w:rPr>
                <w:rFonts w:eastAsia="Andale Sans UI"/>
                <w:bCs/>
                <w:iCs/>
                <w:kern w:val="1"/>
                <w:sz w:val="24"/>
                <w:szCs w:val="24"/>
              </w:rPr>
              <w:t>0,1</w:t>
            </w:r>
          </w:p>
        </w:tc>
        <w:tc>
          <w:tcPr>
            <w:tcW w:w="1691" w:type="dxa"/>
          </w:tcPr>
          <w:p w:rsidR="00EA7922" w:rsidRDefault="00EA7922" w:rsidP="00412326">
            <w:pPr>
              <w:keepNext/>
              <w:widowControl w:val="0"/>
              <w:numPr>
                <w:ilvl w:val="1"/>
                <w:numId w:val="1"/>
              </w:numPr>
              <w:tabs>
                <w:tab w:val="left" w:pos="0"/>
              </w:tabs>
              <w:suppressAutoHyphens/>
              <w:ind w:left="0" w:firstLine="0"/>
              <w:jc w:val="right"/>
              <w:outlineLvl w:val="1"/>
              <w:rPr>
                <w:rFonts w:eastAsia="Andale Sans UI"/>
                <w:bCs/>
                <w:iCs/>
                <w:kern w:val="1"/>
                <w:sz w:val="24"/>
                <w:szCs w:val="24"/>
              </w:rPr>
            </w:pPr>
            <w:r>
              <w:rPr>
                <w:rFonts w:eastAsia="Andale Sans UI"/>
                <w:bCs/>
                <w:iCs/>
                <w:kern w:val="1"/>
                <w:sz w:val="24"/>
                <w:szCs w:val="24"/>
              </w:rPr>
              <w:t>1</w:t>
            </w:r>
          </w:p>
        </w:tc>
        <w:tc>
          <w:tcPr>
            <w:tcW w:w="1406" w:type="dxa"/>
          </w:tcPr>
          <w:p w:rsidR="00EA7922" w:rsidRDefault="00EA7922" w:rsidP="00412326">
            <w:pPr>
              <w:keepNext/>
              <w:widowControl w:val="0"/>
              <w:numPr>
                <w:ilvl w:val="1"/>
                <w:numId w:val="1"/>
              </w:numPr>
              <w:tabs>
                <w:tab w:val="left" w:pos="0"/>
              </w:tabs>
              <w:suppressAutoHyphens/>
              <w:ind w:left="0" w:firstLine="0"/>
              <w:jc w:val="right"/>
              <w:outlineLvl w:val="1"/>
              <w:rPr>
                <w:rFonts w:eastAsia="Andale Sans UI"/>
                <w:bCs/>
                <w:iCs/>
                <w:kern w:val="1"/>
                <w:sz w:val="24"/>
                <w:szCs w:val="24"/>
              </w:rPr>
            </w:pPr>
            <w:r>
              <w:rPr>
                <w:rFonts w:eastAsia="Andale Sans UI"/>
                <w:bCs/>
                <w:iCs/>
                <w:kern w:val="1"/>
                <w:sz w:val="24"/>
                <w:szCs w:val="24"/>
              </w:rPr>
              <w:t>0,10</w:t>
            </w:r>
          </w:p>
        </w:tc>
      </w:tr>
      <w:tr w:rsidR="00EA7922" w:rsidRPr="00AF4EB0" w:rsidTr="00EA7922">
        <w:tc>
          <w:tcPr>
            <w:tcW w:w="9912" w:type="dxa"/>
            <w:gridSpan w:val="4"/>
            <w:vAlign w:val="center"/>
          </w:tcPr>
          <w:p w:rsidR="00EA7922" w:rsidRPr="00EA7922" w:rsidRDefault="00EA7922" w:rsidP="00412326">
            <w:pPr>
              <w:keepNext/>
              <w:widowControl w:val="0"/>
              <w:numPr>
                <w:ilvl w:val="1"/>
                <w:numId w:val="1"/>
              </w:numPr>
              <w:tabs>
                <w:tab w:val="left" w:pos="0"/>
              </w:tabs>
              <w:suppressAutoHyphens/>
              <w:ind w:left="0" w:firstLine="0"/>
              <w:outlineLvl w:val="1"/>
              <w:rPr>
                <w:rFonts w:eastAsia="Andale Sans UI"/>
                <w:b/>
                <w:bCs/>
                <w:iCs/>
                <w:kern w:val="1"/>
                <w:sz w:val="24"/>
                <w:szCs w:val="24"/>
              </w:rPr>
            </w:pPr>
            <w:r w:rsidRPr="00EA7922">
              <w:rPr>
                <w:rFonts w:eastAsia="Andale Sans UI"/>
                <w:b/>
                <w:bCs/>
                <w:iCs/>
                <w:kern w:val="1"/>
                <w:sz w:val="24"/>
                <w:szCs w:val="24"/>
              </w:rPr>
              <w:t xml:space="preserve">Пожарные </w:t>
            </w:r>
            <w:proofErr w:type="spellStart"/>
            <w:r w:rsidRPr="00EA7922">
              <w:rPr>
                <w:rFonts w:eastAsia="Andale Sans UI"/>
                <w:b/>
                <w:bCs/>
                <w:iCs/>
                <w:kern w:val="1"/>
                <w:sz w:val="24"/>
                <w:szCs w:val="24"/>
              </w:rPr>
              <w:t>извещатели</w:t>
            </w:r>
            <w:proofErr w:type="spellEnd"/>
          </w:p>
        </w:tc>
      </w:tr>
      <w:tr w:rsidR="00EA7922" w:rsidRPr="00AF4EB0" w:rsidTr="00EA7922">
        <w:tc>
          <w:tcPr>
            <w:tcW w:w="4957" w:type="dxa"/>
            <w:vAlign w:val="center"/>
          </w:tcPr>
          <w:p w:rsidR="00EA7922" w:rsidRDefault="00EA7922" w:rsidP="00412326">
            <w:pPr>
              <w:keepNext/>
              <w:widowControl w:val="0"/>
              <w:numPr>
                <w:ilvl w:val="1"/>
                <w:numId w:val="1"/>
              </w:numPr>
              <w:tabs>
                <w:tab w:val="left" w:pos="0"/>
              </w:tabs>
              <w:suppressAutoHyphens/>
              <w:ind w:left="0" w:firstLine="0"/>
              <w:outlineLvl w:val="1"/>
              <w:rPr>
                <w:rFonts w:eastAsia="Andale Sans UI"/>
                <w:bCs/>
                <w:iCs/>
                <w:kern w:val="1"/>
                <w:sz w:val="24"/>
                <w:szCs w:val="24"/>
              </w:rPr>
            </w:pPr>
            <w:r>
              <w:rPr>
                <w:rFonts w:eastAsia="Andale Sans UI"/>
                <w:bCs/>
                <w:iCs/>
                <w:kern w:val="1"/>
                <w:sz w:val="24"/>
                <w:szCs w:val="24"/>
              </w:rPr>
              <w:t>Дымовой типа – ИП212</w:t>
            </w:r>
          </w:p>
        </w:tc>
        <w:tc>
          <w:tcPr>
            <w:tcW w:w="1858" w:type="dxa"/>
          </w:tcPr>
          <w:p w:rsidR="00EA7922" w:rsidRDefault="00EA7922" w:rsidP="00412326">
            <w:pPr>
              <w:keepNext/>
              <w:widowControl w:val="0"/>
              <w:numPr>
                <w:ilvl w:val="1"/>
                <w:numId w:val="1"/>
              </w:numPr>
              <w:tabs>
                <w:tab w:val="left" w:pos="0"/>
              </w:tabs>
              <w:suppressAutoHyphens/>
              <w:ind w:left="0" w:firstLine="0"/>
              <w:jc w:val="right"/>
              <w:outlineLvl w:val="1"/>
              <w:rPr>
                <w:rFonts w:eastAsia="Andale Sans UI"/>
                <w:bCs/>
                <w:iCs/>
                <w:kern w:val="1"/>
                <w:sz w:val="24"/>
                <w:szCs w:val="24"/>
              </w:rPr>
            </w:pPr>
            <w:r>
              <w:rPr>
                <w:rFonts w:eastAsia="Andale Sans UI"/>
                <w:bCs/>
                <w:iCs/>
                <w:kern w:val="1"/>
                <w:sz w:val="24"/>
                <w:szCs w:val="24"/>
              </w:rPr>
              <w:t>0,1</w:t>
            </w:r>
          </w:p>
        </w:tc>
        <w:tc>
          <w:tcPr>
            <w:tcW w:w="1691" w:type="dxa"/>
          </w:tcPr>
          <w:p w:rsidR="00EA7922" w:rsidRDefault="00EA7922" w:rsidP="00412326">
            <w:pPr>
              <w:keepNext/>
              <w:widowControl w:val="0"/>
              <w:numPr>
                <w:ilvl w:val="1"/>
                <w:numId w:val="1"/>
              </w:numPr>
              <w:tabs>
                <w:tab w:val="left" w:pos="0"/>
              </w:tabs>
              <w:suppressAutoHyphens/>
              <w:ind w:left="0" w:firstLine="0"/>
              <w:jc w:val="right"/>
              <w:outlineLvl w:val="1"/>
              <w:rPr>
                <w:rFonts w:eastAsia="Andale Sans UI"/>
                <w:bCs/>
                <w:iCs/>
                <w:kern w:val="1"/>
                <w:sz w:val="24"/>
                <w:szCs w:val="24"/>
              </w:rPr>
            </w:pPr>
            <w:r>
              <w:rPr>
                <w:rFonts w:eastAsia="Andale Sans UI"/>
                <w:bCs/>
                <w:iCs/>
                <w:kern w:val="1"/>
                <w:sz w:val="24"/>
                <w:szCs w:val="24"/>
              </w:rPr>
              <w:t>12</w:t>
            </w:r>
          </w:p>
        </w:tc>
        <w:tc>
          <w:tcPr>
            <w:tcW w:w="1406" w:type="dxa"/>
          </w:tcPr>
          <w:p w:rsidR="00EA7922" w:rsidRDefault="00EA7922" w:rsidP="00412326">
            <w:pPr>
              <w:keepNext/>
              <w:widowControl w:val="0"/>
              <w:numPr>
                <w:ilvl w:val="1"/>
                <w:numId w:val="1"/>
              </w:numPr>
              <w:tabs>
                <w:tab w:val="left" w:pos="0"/>
              </w:tabs>
              <w:suppressAutoHyphens/>
              <w:ind w:left="0" w:firstLine="0"/>
              <w:jc w:val="right"/>
              <w:outlineLvl w:val="1"/>
              <w:rPr>
                <w:rFonts w:eastAsia="Andale Sans UI"/>
                <w:bCs/>
                <w:iCs/>
                <w:kern w:val="1"/>
                <w:sz w:val="24"/>
                <w:szCs w:val="24"/>
              </w:rPr>
            </w:pPr>
            <w:r>
              <w:rPr>
                <w:rFonts w:eastAsia="Andale Sans UI"/>
                <w:bCs/>
                <w:iCs/>
                <w:kern w:val="1"/>
                <w:sz w:val="24"/>
                <w:szCs w:val="24"/>
              </w:rPr>
              <w:t>1,20</w:t>
            </w:r>
          </w:p>
        </w:tc>
      </w:tr>
      <w:tr w:rsidR="00EA7922" w:rsidRPr="00AF4EB0" w:rsidTr="000B3496">
        <w:tc>
          <w:tcPr>
            <w:tcW w:w="4957" w:type="dxa"/>
            <w:vAlign w:val="center"/>
          </w:tcPr>
          <w:p w:rsidR="00EA7922" w:rsidRDefault="00EA7922" w:rsidP="00412326">
            <w:pPr>
              <w:keepNext/>
              <w:widowControl w:val="0"/>
              <w:numPr>
                <w:ilvl w:val="1"/>
                <w:numId w:val="1"/>
              </w:numPr>
              <w:tabs>
                <w:tab w:val="left" w:pos="0"/>
              </w:tabs>
              <w:suppressAutoHyphens/>
              <w:ind w:left="0" w:firstLine="0"/>
              <w:outlineLvl w:val="1"/>
              <w:rPr>
                <w:rFonts w:eastAsia="Andale Sans UI"/>
                <w:bCs/>
                <w:iCs/>
                <w:kern w:val="1"/>
                <w:sz w:val="24"/>
                <w:szCs w:val="24"/>
              </w:rPr>
            </w:pPr>
            <w:r>
              <w:rPr>
                <w:rFonts w:eastAsia="Andale Sans UI"/>
                <w:bCs/>
                <w:iCs/>
                <w:kern w:val="1"/>
                <w:sz w:val="24"/>
                <w:szCs w:val="24"/>
              </w:rPr>
              <w:t>Всего условных установок на объекте:</w:t>
            </w:r>
          </w:p>
        </w:tc>
        <w:tc>
          <w:tcPr>
            <w:tcW w:w="4955" w:type="dxa"/>
            <w:gridSpan w:val="3"/>
          </w:tcPr>
          <w:p w:rsidR="00EA7922" w:rsidRDefault="00EA7922" w:rsidP="00412326">
            <w:pPr>
              <w:keepNext/>
              <w:widowControl w:val="0"/>
              <w:numPr>
                <w:ilvl w:val="1"/>
                <w:numId w:val="1"/>
              </w:numPr>
              <w:tabs>
                <w:tab w:val="left" w:pos="0"/>
              </w:tabs>
              <w:suppressAutoHyphens/>
              <w:ind w:left="0" w:firstLine="0"/>
              <w:jc w:val="right"/>
              <w:outlineLvl w:val="1"/>
              <w:rPr>
                <w:rFonts w:eastAsia="Andale Sans UI"/>
                <w:bCs/>
                <w:iCs/>
                <w:kern w:val="1"/>
                <w:sz w:val="24"/>
                <w:szCs w:val="24"/>
              </w:rPr>
            </w:pPr>
            <w:r>
              <w:rPr>
                <w:rFonts w:eastAsia="Andale Sans UI"/>
                <w:bCs/>
                <w:iCs/>
                <w:kern w:val="1"/>
                <w:sz w:val="24"/>
                <w:szCs w:val="24"/>
              </w:rPr>
              <w:t>3,30</w:t>
            </w:r>
          </w:p>
        </w:tc>
      </w:tr>
    </w:tbl>
    <w:p w:rsidR="00AF4EB0" w:rsidRPr="00412326" w:rsidRDefault="00AF4EB0" w:rsidP="00412326">
      <w:pPr>
        <w:keepNext/>
        <w:widowControl w:val="0"/>
        <w:tabs>
          <w:tab w:val="left" w:pos="0"/>
        </w:tabs>
        <w:suppressAutoHyphens/>
        <w:spacing w:before="240" w:after="60"/>
        <w:outlineLvl w:val="1"/>
        <w:rPr>
          <w:rFonts w:eastAsia="Andale Sans UI"/>
          <w:bCs/>
          <w:i/>
          <w:iCs/>
          <w:kern w:val="1"/>
          <w:sz w:val="24"/>
          <w:szCs w:val="24"/>
        </w:rPr>
      </w:pPr>
    </w:p>
    <w:p w:rsidR="00AF4EB0" w:rsidRPr="00AF4EB0" w:rsidRDefault="00AF4EB0" w:rsidP="00412326">
      <w:pPr>
        <w:spacing w:line="360" w:lineRule="auto"/>
        <w:rPr>
          <w:b/>
          <w:sz w:val="24"/>
          <w:szCs w:val="24"/>
        </w:rPr>
      </w:pPr>
      <w:r w:rsidRPr="00AF4EB0">
        <w:rPr>
          <w:b/>
          <w:sz w:val="24"/>
          <w:szCs w:val="24"/>
        </w:rPr>
        <w:t>3. Перечень работ по техническому обслуживанию:</w:t>
      </w:r>
    </w:p>
    <w:p w:rsidR="00AF4EB0" w:rsidRDefault="00AF4EB0" w:rsidP="0041232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1.</w:t>
      </w:r>
      <w:r w:rsidR="00EA7922">
        <w:rPr>
          <w:sz w:val="24"/>
          <w:szCs w:val="24"/>
        </w:rPr>
        <w:t xml:space="preserve"> осуществление работ ля содержания средств в исправном состоянии, с периодичность 1 раз в месяц;</w:t>
      </w:r>
    </w:p>
    <w:p w:rsidR="00EA7922" w:rsidRDefault="00EA7922" w:rsidP="0041232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 Устранение неисправностей по вызову Заказчика в кратчайшее время. Неисправности, возникшие по вине Заказчика, устраняются Исполнителем не чаще двух раз в месяц;</w:t>
      </w:r>
    </w:p>
    <w:p w:rsidR="00EA7922" w:rsidRDefault="00EA7922" w:rsidP="0041232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3. Оказание технической помощи Заказчику в вопросах, касающихся эксплуатации технических средств (проведение инструктажа, составление инструкций по эксплуатации, обязательных для исполнения Заказчиком);</w:t>
      </w:r>
    </w:p>
    <w:p w:rsidR="00EA7922" w:rsidRDefault="00412326" w:rsidP="0041232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4. При выходе из строя элементов системы:</w:t>
      </w:r>
    </w:p>
    <w:p w:rsidR="00412326" w:rsidRDefault="00412326" w:rsidP="0041232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в период действия гарантии на узлы и элементы системы при отсутствии вины Заказчика поставку оборудования и его замену осуществляет организация, выполнявшая работы по монтажу и наладке системы;</w:t>
      </w:r>
    </w:p>
    <w:p w:rsidR="00AF4EB0" w:rsidRDefault="00412326" w:rsidP="0041232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по истечению года гарантии Заказчик приобретает необходимое оборудование, а Исполнитель выполняет работы по его замене за счет стоимости технического обслуживания.</w:t>
      </w:r>
    </w:p>
    <w:p w:rsidR="00412326" w:rsidRPr="00850213" w:rsidRDefault="00412326" w:rsidP="00412326">
      <w:pPr>
        <w:spacing w:line="360" w:lineRule="auto"/>
        <w:jc w:val="both"/>
        <w:rPr>
          <w:sz w:val="24"/>
          <w:szCs w:val="24"/>
        </w:rPr>
      </w:pPr>
    </w:p>
    <w:p w:rsidR="00AF4EB0" w:rsidRPr="00850213" w:rsidRDefault="00412326" w:rsidP="00412326">
      <w:pPr>
        <w:spacing w:line="360" w:lineRule="auto"/>
        <w:jc w:val="both"/>
        <w:rPr>
          <w:b/>
          <w:bCs/>
          <w:sz w:val="24"/>
          <w:szCs w:val="24"/>
          <w:lang w:eastAsia="en-US"/>
        </w:rPr>
      </w:pPr>
      <w:r>
        <w:rPr>
          <w:b/>
          <w:bCs/>
          <w:sz w:val="24"/>
          <w:szCs w:val="24"/>
          <w:lang w:eastAsia="en-US"/>
        </w:rPr>
        <w:t>4</w:t>
      </w:r>
      <w:r w:rsidR="00AF4EB0" w:rsidRPr="00850213">
        <w:rPr>
          <w:b/>
          <w:bCs/>
          <w:sz w:val="24"/>
          <w:szCs w:val="24"/>
          <w:lang w:eastAsia="en-US"/>
        </w:rPr>
        <w:t>. Место оказания услуг:</w:t>
      </w:r>
      <w:r w:rsidR="00AF4EB0" w:rsidRPr="00850213">
        <w:rPr>
          <w:bCs/>
          <w:sz w:val="24"/>
          <w:szCs w:val="24"/>
          <w:lang w:eastAsia="en-US"/>
        </w:rPr>
        <w:t xml:space="preserve"> </w:t>
      </w:r>
      <w:r w:rsidR="00AF4EB0" w:rsidRPr="00AF4EB0">
        <w:rPr>
          <w:bCs/>
          <w:sz w:val="24"/>
          <w:szCs w:val="24"/>
          <w:lang w:eastAsia="en-US"/>
        </w:rPr>
        <w:t xml:space="preserve">Отдел государственного контроля надзора и охраны ВБР по Брянской и Смоленской областям, </w:t>
      </w:r>
      <w:proofErr w:type="gramStart"/>
      <w:r w:rsidR="00AF4EB0" w:rsidRPr="00AF4EB0">
        <w:rPr>
          <w:bCs/>
          <w:sz w:val="24"/>
          <w:szCs w:val="24"/>
          <w:lang w:eastAsia="en-US"/>
        </w:rPr>
        <w:t>расположенном</w:t>
      </w:r>
      <w:proofErr w:type="gramEnd"/>
      <w:r w:rsidR="00AF4EB0" w:rsidRPr="00AF4EB0">
        <w:rPr>
          <w:bCs/>
          <w:sz w:val="24"/>
          <w:szCs w:val="24"/>
          <w:lang w:eastAsia="en-US"/>
        </w:rPr>
        <w:t xml:space="preserve"> по адресу: г. Брянск, ул. Октябрьская, 103.</w:t>
      </w:r>
    </w:p>
    <w:p w:rsidR="00AF4EB0" w:rsidRPr="00AF4EB0" w:rsidRDefault="00412326" w:rsidP="00412326">
      <w:pPr>
        <w:spacing w:line="360" w:lineRule="auto"/>
        <w:jc w:val="both"/>
        <w:rPr>
          <w:bCs/>
          <w:sz w:val="24"/>
          <w:szCs w:val="24"/>
          <w:lang w:eastAsia="en-US"/>
        </w:rPr>
      </w:pPr>
      <w:r>
        <w:rPr>
          <w:b/>
          <w:bCs/>
          <w:sz w:val="24"/>
          <w:szCs w:val="24"/>
          <w:lang w:eastAsia="en-US"/>
        </w:rPr>
        <w:lastRenderedPageBreak/>
        <w:t>5</w:t>
      </w:r>
      <w:r w:rsidR="00AF4EB0" w:rsidRPr="00850213">
        <w:rPr>
          <w:b/>
          <w:bCs/>
          <w:sz w:val="24"/>
          <w:szCs w:val="24"/>
          <w:lang w:eastAsia="en-US"/>
        </w:rPr>
        <w:t>. Срок оказания услуг</w:t>
      </w:r>
      <w:r w:rsidR="00AF4EB0">
        <w:rPr>
          <w:b/>
          <w:bCs/>
          <w:sz w:val="24"/>
          <w:szCs w:val="24"/>
          <w:lang w:eastAsia="en-US"/>
        </w:rPr>
        <w:t xml:space="preserve">: </w:t>
      </w:r>
      <w:r w:rsidR="00AF4EB0" w:rsidRPr="00AF4EB0">
        <w:rPr>
          <w:bCs/>
          <w:sz w:val="24"/>
          <w:szCs w:val="24"/>
          <w:lang w:eastAsia="en-US"/>
        </w:rPr>
        <w:t>по 31.12.202</w:t>
      </w:r>
      <w:r w:rsidR="003E5D3C">
        <w:rPr>
          <w:bCs/>
          <w:sz w:val="24"/>
          <w:szCs w:val="24"/>
          <w:lang w:eastAsia="en-US"/>
        </w:rPr>
        <w:t>6</w:t>
      </w:r>
      <w:r w:rsidR="00AF4EB0" w:rsidRPr="00AF4EB0">
        <w:rPr>
          <w:bCs/>
          <w:sz w:val="24"/>
          <w:szCs w:val="24"/>
          <w:lang w:eastAsia="en-US"/>
        </w:rPr>
        <w:t xml:space="preserve">. </w:t>
      </w:r>
    </w:p>
    <w:bookmarkEnd w:id="0"/>
    <w:p w:rsidR="00AF4EB0" w:rsidRDefault="00AF4EB0" w:rsidP="00AF4EB0">
      <w:pPr>
        <w:jc w:val="both"/>
        <w:rPr>
          <w:b/>
          <w:bCs/>
          <w:sz w:val="24"/>
          <w:szCs w:val="24"/>
          <w:lang w:eastAsia="en-US"/>
        </w:rPr>
      </w:pPr>
    </w:p>
    <w:p w:rsidR="00AF4EB0" w:rsidRPr="009333C6" w:rsidRDefault="00AF4EB0" w:rsidP="00AF4EB0">
      <w:pPr>
        <w:jc w:val="both"/>
        <w:rPr>
          <w:sz w:val="24"/>
          <w:szCs w:val="24"/>
          <w:lang w:eastAsia="en-US"/>
        </w:rPr>
      </w:pPr>
    </w:p>
    <w:p w:rsidR="00AF4EB0" w:rsidRDefault="00AF4EB0" w:rsidP="00AF4EB0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Начальник отдела осуществления закупок</w:t>
      </w:r>
    </w:p>
    <w:p w:rsidR="00AF4EB0" w:rsidRDefault="00AF4EB0" w:rsidP="00AF4EB0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>и обеспечения деятельности                                                                                           А.Ю. Малягин</w:t>
      </w:r>
    </w:p>
    <w:p w:rsidR="00AF4EB0" w:rsidRDefault="00AF4EB0" w:rsidP="00AF4EB0">
      <w:pPr>
        <w:tabs>
          <w:tab w:val="num" w:pos="284"/>
        </w:tabs>
        <w:jc w:val="both"/>
        <w:rPr>
          <w:sz w:val="24"/>
          <w:szCs w:val="24"/>
        </w:rPr>
      </w:pPr>
    </w:p>
    <w:p w:rsidR="00EB0CD5" w:rsidRDefault="00EB0CD5">
      <w:bookmarkStart w:id="1" w:name="_GoBack"/>
      <w:bookmarkEnd w:id="1"/>
    </w:p>
    <w:sectPr w:rsidR="00EB0CD5" w:rsidSect="005C6B64">
      <w:headerReference w:type="default" r:id="rId7"/>
      <w:headerReference w:type="first" r:id="rId8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2A87" w:rsidRDefault="005C2A87" w:rsidP="00412326">
      <w:r>
        <w:separator/>
      </w:r>
    </w:p>
  </w:endnote>
  <w:endnote w:type="continuationSeparator" w:id="0">
    <w:p w:rsidR="005C2A87" w:rsidRDefault="005C2A87" w:rsidP="004123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2A87" w:rsidRDefault="005C2A87" w:rsidP="00412326">
      <w:r>
        <w:separator/>
      </w:r>
    </w:p>
  </w:footnote>
  <w:footnote w:type="continuationSeparator" w:id="0">
    <w:p w:rsidR="005C2A87" w:rsidRDefault="005C2A87" w:rsidP="004123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77074996"/>
      <w:docPartObj>
        <w:docPartGallery w:val="Page Numbers (Top of Page)"/>
        <w:docPartUnique/>
      </w:docPartObj>
    </w:sdtPr>
    <w:sdtContent>
      <w:p w:rsidR="00412326" w:rsidRDefault="0089242C">
        <w:pPr>
          <w:pStyle w:val="a3"/>
          <w:jc w:val="center"/>
        </w:pPr>
        <w:r>
          <w:fldChar w:fldCharType="begin"/>
        </w:r>
        <w:r w:rsidR="00412326">
          <w:instrText>PAGE   \* MERGEFORMAT</w:instrText>
        </w:r>
        <w:r>
          <w:fldChar w:fldCharType="separate"/>
        </w:r>
        <w:r w:rsidR="003E5D3C">
          <w:rPr>
            <w:noProof/>
          </w:rPr>
          <w:t>3</w:t>
        </w:r>
        <w:r>
          <w:fldChar w:fldCharType="end"/>
        </w:r>
      </w:p>
    </w:sdtContent>
  </w:sdt>
  <w:p w:rsidR="001E5110" w:rsidRDefault="003E5D3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B64" w:rsidRDefault="003E5D3C">
    <w:pPr>
      <w:pStyle w:val="a3"/>
      <w:jc w:val="center"/>
    </w:pPr>
  </w:p>
  <w:p w:rsidR="001E5110" w:rsidRDefault="003E5D3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  <w:bCs/>
        <w:color w:val="000000"/>
        <w:sz w:val="26"/>
        <w:szCs w:val="26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0AF1D95"/>
    <w:multiLevelType w:val="hybridMultilevel"/>
    <w:tmpl w:val="8E327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4EB0"/>
    <w:rsid w:val="003E5D3C"/>
    <w:rsid w:val="00412326"/>
    <w:rsid w:val="005215CB"/>
    <w:rsid w:val="005C2A87"/>
    <w:rsid w:val="0089242C"/>
    <w:rsid w:val="00956E22"/>
    <w:rsid w:val="00AF4EB0"/>
    <w:rsid w:val="00EA7922"/>
    <w:rsid w:val="00EB0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E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F4EB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F4EB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39"/>
    <w:rsid w:val="00AF4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41232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1232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Коновалова Татьяна</dc:creator>
  <cp:keywords/>
  <dc:description/>
  <cp:lastModifiedBy>Админ</cp:lastModifiedBy>
  <cp:revision>3</cp:revision>
  <dcterms:created xsi:type="dcterms:W3CDTF">2025-03-27T07:47:00Z</dcterms:created>
  <dcterms:modified xsi:type="dcterms:W3CDTF">2026-04-13T12:52:00Z</dcterms:modified>
</cp:coreProperties>
</file>