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Государственный контракт № </w:t>
      </w:r>
      <w:r>
        <w:rPr>
          <w:rFonts w:ascii="Times New Roman" w:hAnsi="Times New Roman" w:cs="Times New Roman"/>
          <w:b/>
          <w:sz w:val="20"/>
          <w:szCs w:val="20"/>
        </w:rPr>
        <w:t xml:space="preserve">____</w:t>
      </w:r>
      <w:r>
        <w:rPr>
          <w:rFonts w:ascii="Times New Roman" w:hAnsi="Times New Roman" w:cs="Times New Roman"/>
          <w:b/>
          <w:sz w:val="20"/>
          <w:szCs w:val="20"/>
        </w:rPr>
      </w:r>
      <w:r/>
    </w:p>
    <w:p>
      <w:pPr>
        <w:pStyle w:val="869"/>
        <w:ind w:right="-2" w:firstLine="567"/>
        <w:jc w:val="center"/>
        <w:spacing w:after="0" w:line="240" w:lineRule="auto"/>
        <w:rPr>
          <w:rStyle w:val="886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на </w:t>
      </w:r>
      <w:r>
        <w:rPr>
          <w:rFonts w:ascii="Times New Roman" w:hAnsi="Times New Roman" w:cs="Times New Roman"/>
          <w:sz w:val="20"/>
          <w:szCs w:val="20"/>
        </w:rPr>
        <w:t xml:space="preserve">оказание услуг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886"/>
          <w:color w:val="000000"/>
          <w:sz w:val="20"/>
          <w:szCs w:val="20"/>
        </w:rPr>
        <w:t xml:space="preserve">по предоставлению стадиона для спортивного мероприятия «Международный турнир по мини-футболу среди силовых структур, посвященный памяти Л.И. Яшина»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r>
      <w:r/>
    </w:p>
    <w:p>
      <w:pPr>
        <w:ind w:right="-2" w:firstLine="567"/>
        <w:jc w:val="center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886"/>
          <w:color w:val="000000"/>
          <w:sz w:val="20"/>
          <w:szCs w:val="20"/>
        </w:rPr>
      </w:r>
      <w:r>
        <w:rPr>
          <w:rStyle w:val="886"/>
          <w:color w:val="000000"/>
          <w:sz w:val="20"/>
          <w:szCs w:val="20"/>
        </w:rPr>
        <w:t xml:space="preserve">для нужд</w:t>
      </w:r>
      <w:r>
        <w:rPr>
          <w:rStyle w:val="886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УФСИН России по Удмуртской Республике</w:t>
      </w:r>
      <w:r/>
    </w:p>
    <w:p>
      <w:pPr>
        <w:pStyle w:val="869"/>
        <w:ind w:right="-2"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t xml:space="preserve">г. Ижевск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«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202</w:t>
      </w:r>
      <w:r>
        <w:rPr>
          <w:rFonts w:ascii="Times New Roman" w:hAnsi="Times New Roman" w:cs="Times New Roman"/>
          <w:sz w:val="20"/>
          <w:szCs w:val="20"/>
        </w:rPr>
        <w:t xml:space="preserve">6 </w:t>
      </w:r>
      <w:r>
        <w:rPr>
          <w:rFonts w:ascii="Times New Roman" w:hAnsi="Times New Roman" w:cs="Times New Roman"/>
          <w:sz w:val="20"/>
          <w:szCs w:val="20"/>
        </w:rPr>
        <w:t xml:space="preserve">г.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Управление Федеральной службы исполнения наказаний по Удмуртской Республике, выступающее </w:t>
      </w:r>
      <w:r>
        <w:rPr>
          <w:rFonts w:ascii="Times New Roman" w:hAnsi="Times New Roman"/>
          <w:bCs/>
          <w:sz w:val="20"/>
          <w:szCs w:val="20"/>
        </w:rPr>
        <w:br w:type="textWrapping" w:clear="all"/>
      </w:r>
      <w:r>
        <w:rPr>
          <w:rFonts w:ascii="Times New Roman" w:hAnsi="Times New Roman"/>
          <w:bCs/>
          <w:sz w:val="20"/>
          <w:szCs w:val="20"/>
        </w:rPr>
        <w:t xml:space="preserve">от имени Российской Федерации, в целях обеспечения государственных нужд, </w:t>
      </w:r>
      <w:r>
        <w:rPr>
          <w:rFonts w:ascii="Times New Roman" w:hAnsi="Times New Roman"/>
          <w:sz w:val="20"/>
          <w:szCs w:val="20"/>
        </w:rPr>
        <w:t xml:space="preserve">именуемое в дальнейшем Заказчик (далее – Заказчик), в лице __________________________________, действующего на основании ____________________</w:t>
      </w:r>
      <w:r>
        <w:rPr>
          <w:rFonts w:ascii="Times New Roman" w:hAnsi="Times New Roman" w:cs="Times New Roman"/>
          <w:sz w:val="20"/>
          <w:szCs w:val="20"/>
        </w:rPr>
        <w:t xml:space="preserve">, с одной стороны, </w:t>
      </w:r>
      <w:r>
        <w:rPr>
          <w:rFonts w:ascii="Times New Roman" w:hAnsi="Times New Roman" w:cs="Times New Roman"/>
          <w:sz w:val="20"/>
          <w:szCs w:val="20"/>
        </w:rPr>
        <w:t xml:space="preserve">___________________________________</w:t>
      </w:r>
      <w:r>
        <w:rPr>
          <w:rFonts w:ascii="Times New Roman" w:hAnsi="Times New Roman"/>
          <w:sz w:val="20"/>
          <w:szCs w:val="20"/>
        </w:rPr>
        <w:t xml:space="preserve">, именуемое </w:t>
      </w:r>
      <w:r>
        <w:rPr>
          <w:rFonts w:ascii="Times New Roman" w:hAnsi="Times New Roman"/>
          <w:sz w:val="20"/>
          <w:szCs w:val="20"/>
        </w:rPr>
        <w:br w:type="textWrapping" w:clear="all"/>
      </w:r>
      <w:r>
        <w:rPr>
          <w:rFonts w:ascii="Times New Roman" w:hAnsi="Times New Roman"/>
          <w:sz w:val="20"/>
          <w:szCs w:val="20"/>
        </w:rPr>
        <w:t xml:space="preserve">в дальнейшем Исполнитель</w:t>
      </w:r>
      <w:r>
        <w:rPr>
          <w:rFonts w:ascii="Times New Roman" w:hAnsi="Times New Roman"/>
          <w:sz w:val="20"/>
          <w:szCs w:val="20"/>
        </w:rPr>
        <w:t xml:space="preserve"> (далее – Исполнитель)</w:t>
      </w:r>
      <w:r>
        <w:rPr>
          <w:rFonts w:ascii="Times New Roman" w:hAnsi="Times New Roman"/>
          <w:sz w:val="20"/>
          <w:szCs w:val="20"/>
        </w:rPr>
        <w:t xml:space="preserve">, в лице ____________________________</w:t>
      </w:r>
      <w:r>
        <w:rPr>
          <w:rFonts w:ascii="Times New Roman" w:hAnsi="Times New Roman"/>
          <w:sz w:val="20"/>
          <w:szCs w:val="20"/>
        </w:rPr>
        <w:t xml:space="preserve">, действующего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 w:type="textWrapping" w:clear="all"/>
      </w:r>
      <w:r>
        <w:rPr>
          <w:rFonts w:ascii="Times New Roman" w:hAnsi="Times New Roman" w:cs="Times New Roman"/>
          <w:sz w:val="20"/>
          <w:szCs w:val="20"/>
        </w:rPr>
        <w:t xml:space="preserve">на основании</w:t>
      </w:r>
      <w:r>
        <w:rPr>
          <w:rFonts w:ascii="Times New Roman" w:hAnsi="Times New Roman" w:cs="Times New Roman"/>
          <w:sz w:val="20"/>
          <w:szCs w:val="20"/>
        </w:rPr>
        <w:t xml:space="preserve"> ______________</w:t>
      </w:r>
      <w:r>
        <w:rPr>
          <w:rFonts w:ascii="Times New Roman" w:hAnsi="Times New Roman" w:cs="Times New Roman"/>
          <w:sz w:val="20"/>
          <w:szCs w:val="20"/>
        </w:rPr>
        <w:t xml:space="preserve">, с другой стороны, совместно именуемые в дальнейшем «Стороны», руководствуясь: 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пунктом 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4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 части 1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заключили настоящий Государственный контракт (далее – Контракт) о нижеследующем: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numPr>
          <w:ilvl w:val="0"/>
          <w:numId w:val="1"/>
        </w:numPr>
        <w:ind w:left="0" w:right="-2"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ПРЕДМЕТ КОНТРАКТА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</w:t>
      </w:r>
      <w:r>
        <w:rPr>
          <w:rStyle w:val="886"/>
          <w:color w:val="000000"/>
          <w:sz w:val="20"/>
          <w:szCs w:val="20"/>
        </w:rPr>
        <w:t xml:space="preserve">Заказчик поручает, а Исполнитель принимает на себя обязательства по оказанию услуг </w:t>
      </w:r>
      <w:r>
        <w:rPr>
          <w:rStyle w:val="886"/>
          <w:color w:val="000000"/>
          <w:sz w:val="20"/>
          <w:szCs w:val="20"/>
        </w:rPr>
        <w:t xml:space="preserve">по предоставлению стадиона </w:t>
      </w:r>
      <w:r>
        <w:rPr>
          <w:rStyle w:val="886"/>
          <w:color w:val="000000"/>
          <w:sz w:val="20"/>
          <w:szCs w:val="20"/>
        </w:rPr>
        <w:t xml:space="preserve">для спортивного мероприятия «Международный турнир по мини-футболу среди силовых структур, посвященный памяти Л.И. Яшина»</w:t>
      </w:r>
      <w:r>
        <w:rPr>
          <w:rStyle w:val="886"/>
          <w:color w:val="000000"/>
          <w:sz w:val="20"/>
          <w:szCs w:val="20"/>
        </w:rPr>
        <w:t xml:space="preserve"> в соответствии с Техническим заданием (Приложение к настоящему Государственному контракту) (далее - услуги), а Заказчик обязуется принять и оплатить услуги на условиях настоящего Государственного контракта.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ИКЗ: </w:t>
      </w:r>
      <w:r>
        <w:rPr>
          <w:b/>
          <w:bCs/>
        </w:rPr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Наименование, объем, место, условия и сроки оказываемых Исполнителем услуг указаны в Техническом задании (Приложение № 1 к настоящему Государственному контракту).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1.3. </w:t>
      </w:r>
      <w:r>
        <w:rPr>
          <w:rFonts w:ascii="Times New Roman" w:hAnsi="Times New Roman" w:cs="Times New Roman"/>
          <w:sz w:val="20"/>
          <w:szCs w:val="20"/>
        </w:rPr>
        <w:t xml:space="preserve">При заключении и исполнении Контра</w:t>
      </w:r>
      <w:r>
        <w:rPr>
          <w:rFonts w:ascii="Times New Roman" w:hAnsi="Times New Roman" w:cs="Times New Roman"/>
          <w:sz w:val="20"/>
          <w:szCs w:val="20"/>
        </w:rPr>
        <w:t xml:space="preserve">кта изменение его условий не допускается, за исключением случаев, предусмотренных Федеральным законом от 05.04.2013 № 44-ФЗ «О контрактной системе в сфере закупок товаров, работ, услуг для обеспечения государственных и муниципальных нужд» (далее - №44-ФЗ).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</w:r>
      <w:r/>
    </w:p>
    <w:p>
      <w:pPr>
        <w:pStyle w:val="869"/>
        <w:numPr>
          <w:ilvl w:val="0"/>
          <w:numId w:val="1"/>
        </w:numPr>
        <w:ind w:left="0" w:right="-2"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ЦЕНА И ПОРЯДОК РАСЧЕТОВ</w:t>
      </w:r>
      <w:r/>
    </w:p>
    <w:p>
      <w:pPr>
        <w:pStyle w:val="880"/>
        <w:ind w:right="-2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Calibri"/>
          <w:lang w:val="ru-RU" w:eastAsia="en-US"/>
        </w:rPr>
      </w:pPr>
      <w:r>
        <w:rPr>
          <w:rFonts w:ascii="Times New Roman" w:hAnsi="Times New Roman"/>
        </w:rPr>
        <w:t xml:space="preserve">2.1.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</w:rPr>
        <w:t xml:space="preserve">Ц</w:t>
      </w:r>
      <w:r>
        <w:rPr>
          <w:rFonts w:ascii="Times New Roman" w:hAnsi="Times New Roman" w:eastAsia="Calibri"/>
          <w:lang w:eastAsia="en-US"/>
        </w:rPr>
        <w:t xml:space="preserve">ена Контракта является твердой и определяется на весь срок исполнения Контракта.</w:t>
      </w:r>
      <w:r>
        <w:rPr>
          <w:rFonts w:ascii="Times New Roman" w:hAnsi="Times New Roman" w:eastAsia="Calibri"/>
          <w:lang w:val="ru-RU" w:eastAsia="en-US"/>
        </w:rPr>
      </w:r>
      <w:r/>
    </w:p>
    <w:p>
      <w:pPr>
        <w:pStyle w:val="880"/>
        <w:ind w:right="-2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Calibri"/>
          <w:lang w:eastAsia="en-US"/>
        </w:rPr>
      </w:pPr>
      <w:r>
        <w:rPr>
          <w:rFonts w:ascii="Times New Roman" w:hAnsi="Times New Roman" w:eastAsia="Calibri"/>
          <w:lang w:val="ru-RU" w:eastAsia="en-US"/>
        </w:rPr>
        <w:t xml:space="preserve">2.2.</w:t>
        <w:tab/>
      </w:r>
      <w:r>
        <w:rPr>
          <w:rFonts w:ascii="Times New Roman" w:hAnsi="Times New Roman"/>
        </w:rPr>
        <w:t xml:space="preserve">Изменение существенных условий контракта при его исполнении не допускается, за исключением случаев, предусмотренных статьей 95 </w:t>
      </w:r>
      <w:r>
        <w:rPr>
          <w:rFonts w:ascii="Times New Roman" w:hAnsi="Times New Roman"/>
          <w:lang w:val="ru-RU"/>
        </w:rPr>
        <w:t xml:space="preserve">ФЗ </w:t>
      </w:r>
      <w:r>
        <w:rPr>
          <w:rFonts w:ascii="Times New Roman" w:hAnsi="Times New Roman"/>
        </w:rPr>
        <w:t xml:space="preserve">№44-</w:t>
      </w:r>
      <w:r>
        <w:rPr>
          <w:rFonts w:ascii="Times New Roman" w:hAnsi="Times New Roman"/>
          <w:caps/>
        </w:rPr>
        <w:t xml:space="preserve">ФЗ.</w:t>
      </w:r>
      <w:r>
        <w:rPr>
          <w:rFonts w:ascii="Times New Roman" w:hAnsi="Times New Roman" w:eastAsia="Calibri"/>
          <w:lang w:eastAsia="en-US"/>
        </w:rPr>
      </w:r>
      <w:r/>
    </w:p>
    <w:p>
      <w:pPr>
        <w:pStyle w:val="880"/>
        <w:ind w:right="-2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eastAsia="en-US"/>
        </w:rPr>
        <w:t xml:space="preserve">2.</w:t>
      </w:r>
      <w:r>
        <w:rPr>
          <w:rFonts w:ascii="Times New Roman" w:hAnsi="Times New Roman"/>
          <w:lang w:val="ru-RU" w:eastAsia="en-US"/>
        </w:rPr>
        <w:t xml:space="preserve">3</w:t>
      </w:r>
      <w:r>
        <w:rPr>
          <w:rFonts w:ascii="Times New Roman" w:hAnsi="Times New Roman"/>
          <w:lang w:eastAsia="en-US"/>
        </w:rPr>
        <w:t xml:space="preserve">.</w:t>
      </w:r>
      <w:r>
        <w:rPr>
          <w:rFonts w:ascii="Times New Roman" w:hAnsi="Times New Roman"/>
          <w:lang w:val="ru-RU" w:eastAsia="en-US"/>
        </w:rPr>
        <w:tab/>
      </w:r>
      <w:r>
        <w:rPr>
          <w:rFonts w:ascii="Times New Roman" w:hAnsi="Times New Roman"/>
        </w:rPr>
        <w:t xml:space="preserve">Цена Контракта составляет </w:t>
      </w:r>
      <w:r>
        <w:rPr>
          <w:rFonts w:ascii="Times New Roman" w:hAnsi="Times New Roman"/>
          <w:lang w:val="ru-RU"/>
        </w:rPr>
        <w:t xml:space="preserve">_____________</w:t>
      </w:r>
      <w:r>
        <w:rPr>
          <w:rFonts w:ascii="Times New Roman" w:hAnsi="Times New Roman"/>
          <w:lang w:val="ru-RU"/>
        </w:rPr>
        <w:t xml:space="preserve"> (</w:t>
      </w:r>
      <w:r>
        <w:rPr>
          <w:rFonts w:ascii="Times New Roman" w:hAnsi="Times New Roman"/>
          <w:lang w:val="ru-RU"/>
        </w:rPr>
        <w:t xml:space="preserve">____________________) </w:t>
      </w:r>
      <w:r>
        <w:rPr>
          <w:rFonts w:ascii="Times New Roman" w:hAnsi="Times New Roman"/>
          <w:lang w:val="ru-RU"/>
        </w:rPr>
        <w:t xml:space="preserve">рублей</w:t>
      </w:r>
      <w:r>
        <w:rPr>
          <w:rStyle w:val="854"/>
          <w:rFonts w:ascii="Times New Roman" w:hAnsi="Times New Roman"/>
          <w:lang w:val="ru-RU"/>
        </w:rPr>
        <w:footnoteReference w:id="2"/>
      </w:r>
      <w:r>
        <w:rPr>
          <w:rFonts w:ascii="Times New Roman" w:hAnsi="Times New Roman"/>
          <w:lang w:val="ru-RU"/>
        </w:rPr>
        <w:t xml:space="preserve"> ___ копеек, в том числе НДС</w:t>
      </w:r>
      <w:r>
        <w:rPr>
          <w:rStyle w:val="854"/>
          <w:rFonts w:ascii="Times New Roman" w:hAnsi="Times New Roman"/>
          <w:lang w:val="ru-RU"/>
        </w:rPr>
        <w:footnoteReference w:id="3"/>
      </w:r>
      <w:r>
        <w:rPr>
          <w:rFonts w:ascii="Times New Roman" w:hAnsi="Times New Roman"/>
          <w:lang w:val="ru-RU"/>
        </w:rPr>
        <w:t xml:space="preserve">.</w:t>
      </w:r>
      <w:r>
        <w:rPr>
          <w:rFonts w:ascii="Times New Roman" w:hAnsi="Times New Roman"/>
          <w:lang w:val="ru-RU"/>
        </w:rPr>
      </w:r>
      <w:r/>
    </w:p>
    <w:p>
      <w:pPr>
        <w:pStyle w:val="880"/>
        <w:ind w:right="-2" w:firstLine="567"/>
        <w:jc w:val="both"/>
        <w:spacing w:after="0" w:line="240" w:lineRule="auto"/>
        <w:widowControl w:val="off"/>
        <w:rPr>
          <w:rFonts w:ascii="Times New Roman" w:hAnsi="Times New Roman"/>
          <w:lang w:val="ru-RU" w:eastAsia="en-US"/>
        </w:rPr>
      </w:pPr>
      <w:r>
        <w:rPr>
          <w:rFonts w:ascii="Times New Roman" w:hAnsi="Times New Roman" w:eastAsia="Calibri"/>
        </w:rPr>
        <w:t xml:space="preserve">Цена указывается в валюте Российской Федерации – рубль, включае</w:t>
      </w:r>
      <w:r>
        <w:rPr>
          <w:rFonts w:ascii="Times New Roman" w:hAnsi="Times New Roman"/>
          <w:lang w:eastAsia="en-US"/>
        </w:rPr>
        <w:t xml:space="preserve">т: все затраты Исполнителя, связанные с </w:t>
      </w:r>
      <w:r>
        <w:rPr>
          <w:rFonts w:ascii="Times New Roman" w:hAnsi="Times New Roman"/>
          <w:lang w:val="ru-RU" w:eastAsia="en-US"/>
        </w:rPr>
        <w:t xml:space="preserve">оказанием услуг</w:t>
      </w:r>
      <w:r>
        <w:rPr>
          <w:rFonts w:ascii="Times New Roman" w:hAnsi="Times New Roman"/>
          <w:lang w:eastAsia="en-US"/>
        </w:rPr>
        <w:t xml:space="preserve">, предусмотренные законодательством Российской Федерации акцизы, налоги, сборы и платежи, а также другие дополнительные расходы, связанные с исполнением условий настоящего Контракта.</w:t>
      </w:r>
      <w:r>
        <w:rPr>
          <w:rFonts w:ascii="Times New Roman" w:hAnsi="Times New Roman"/>
          <w:lang w:val="ru-RU" w:eastAsia="en-US"/>
        </w:rPr>
      </w:r>
      <w:r/>
    </w:p>
    <w:p>
      <w:pPr>
        <w:pStyle w:val="880"/>
        <w:ind w:right="-2" w:firstLine="567"/>
        <w:jc w:val="both"/>
        <w:spacing w:after="0" w:line="240" w:lineRule="auto"/>
        <w:widowControl w:val="off"/>
        <w:rPr>
          <w:rFonts w:ascii="Times New Roman" w:hAnsi="Times New Roman"/>
          <w:spacing w:val="4"/>
          <w:lang w:val="ru-RU"/>
        </w:rPr>
      </w:pPr>
      <w:r>
        <w:rPr>
          <w:rFonts w:ascii="Times New Roman" w:hAnsi="Times New Roman" w:eastAsia="Calibri"/>
          <w:lang w:eastAsia="en-US"/>
        </w:rPr>
        <w:t xml:space="preserve">2.</w:t>
      </w:r>
      <w:r>
        <w:rPr>
          <w:rFonts w:ascii="Times New Roman" w:hAnsi="Times New Roman" w:eastAsia="Calibri"/>
          <w:lang w:val="ru-RU" w:eastAsia="en-US"/>
        </w:rPr>
        <w:t xml:space="preserve">4</w:t>
      </w:r>
      <w:r>
        <w:rPr>
          <w:rFonts w:ascii="Times New Roman" w:hAnsi="Times New Roman" w:eastAsia="Calibri"/>
          <w:lang w:eastAsia="en-US"/>
        </w:rPr>
        <w:t xml:space="preserve">.</w:t>
      </w:r>
      <w:r>
        <w:rPr>
          <w:rFonts w:ascii="Times New Roman" w:hAnsi="Times New Roman" w:eastAsia="Calibri"/>
          <w:lang w:val="ru-RU" w:eastAsia="en-US"/>
        </w:rPr>
        <w:t xml:space="preserve"> </w:t>
      </w:r>
      <w:r>
        <w:rPr>
          <w:rFonts w:ascii="Times New Roman" w:hAnsi="Times New Roman" w:eastAsia="Calibri"/>
          <w:lang w:eastAsia="en-US"/>
        </w:rPr>
        <w:t xml:space="preserve">Оплата по Контракту осуществ</w:t>
      </w:r>
      <w:r>
        <w:rPr>
          <w:rFonts w:ascii="Times New Roman" w:hAnsi="Times New Roman" w:eastAsia="Calibri"/>
          <w:lang w:eastAsia="en-US"/>
        </w:rPr>
        <w:t xml:space="preserve">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</w:t>
      </w:r>
      <w:r>
        <w:rPr>
          <w:rFonts w:ascii="Times New Roman" w:hAnsi="Times New Roman" w:eastAsia="Calibri"/>
          <w:b/>
          <w:bCs/>
          <w:lang w:eastAsia="en-US"/>
        </w:rPr>
        <w:t xml:space="preserve">на 2026 год,</w:t>
      </w:r>
      <w:r>
        <w:rPr>
          <w:rFonts w:ascii="Times New Roman" w:hAnsi="Times New Roman" w:eastAsia="Calibri"/>
          <w:lang w:eastAsia="en-US"/>
        </w:rPr>
        <w:t xml:space="preserve"> денежных средств на расчетный счет Исполнителя, в срок не превышающий </w:t>
      </w:r>
      <w:r>
        <w:rPr>
          <w:rFonts w:ascii="Times New Roman" w:hAnsi="Times New Roman"/>
          <w:b/>
          <w:bCs/>
          <w:spacing w:val="4"/>
          <w:lang w:val="ru-RU"/>
        </w:rPr>
        <w:t xml:space="preserve">10</w:t>
      </w:r>
      <w:r>
        <w:rPr>
          <w:rFonts w:ascii="Times New Roman" w:hAnsi="Times New Roman"/>
          <w:b/>
          <w:bCs/>
          <w:spacing w:val="4"/>
        </w:rPr>
        <w:t xml:space="preserve"> рабочих дней</w:t>
      </w:r>
      <w:r>
        <w:rPr>
          <w:rFonts w:ascii="Times New Roman" w:hAnsi="Times New Roman"/>
          <w:spacing w:val="4"/>
        </w:rPr>
        <w:t xml:space="preserve"> с даты подписания Заказчиком Акта приемки оказанных услуг.</w:t>
      </w:r>
      <w:r>
        <w:rPr>
          <w:rFonts w:ascii="Times New Roman" w:hAnsi="Times New Roman"/>
          <w:spacing w:val="4"/>
          <w:lang w:val="ru-RU"/>
        </w:rPr>
      </w:r>
      <w:r/>
    </w:p>
    <w:p>
      <w:pPr>
        <w:pStyle w:val="880"/>
        <w:ind w:right="-2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spacing w:val="4"/>
          <w:lang w:val="ru-RU"/>
        </w:rPr>
        <w:t xml:space="preserve">2.5.</w:t>
        <w:tab/>
      </w:r>
      <w:r>
        <w:rPr>
          <w:rFonts w:ascii="Times New Roman" w:hAnsi="Times New Roman"/>
        </w:rPr>
        <w:t xml:space="preserve">Обязательства по оплате оказанных услуг</w:t>
      </w:r>
      <w:r>
        <w:rPr>
          <w:rFonts w:ascii="Times New Roman" w:hAnsi="Times New Roman"/>
          <w:color w:val="000000"/>
        </w:rPr>
        <w:t xml:space="preserve"> считаются выполненными </w:t>
      </w:r>
      <w:r>
        <w:rPr>
          <w:rFonts w:ascii="Times New Roman" w:hAnsi="Times New Roman"/>
        </w:rPr>
        <w:t xml:space="preserve">в день получения Заказчиком платеж</w:t>
      </w:r>
      <w:r>
        <w:rPr>
          <w:rFonts w:ascii="Times New Roman" w:hAnsi="Times New Roman"/>
        </w:rPr>
        <w:t xml:space="preserve">ного поручения от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Федерации, подтверждающего факт списания денежных средств со счета Заказчика</w:t>
      </w:r>
      <w:r>
        <w:rPr>
          <w:rFonts w:ascii="Times New Roman" w:hAnsi="Times New Roman"/>
          <w:color w:val="000000"/>
        </w:rPr>
        <w:t xml:space="preserve">.</w:t>
      </w:r>
      <w:r>
        <w:rPr>
          <w:rFonts w:ascii="Times New Roman" w:hAnsi="Times New Roman"/>
          <w:color w:val="000000"/>
          <w:lang w:val="ru-RU"/>
        </w:rPr>
      </w:r>
      <w:r/>
    </w:p>
    <w:p>
      <w:pPr>
        <w:pStyle w:val="880"/>
        <w:ind w:right="-2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2.6.</w:t>
        <w:tab/>
      </w:r>
      <w:r>
        <w:rPr>
          <w:rFonts w:ascii="Times New Roman" w:hAnsi="Times New Roman"/>
        </w:rPr>
        <w:t xml:space="preserve">В случае изменения банковских реквизитов Исполнитель обязан в теч</w:t>
      </w:r>
      <w:r>
        <w:rPr>
          <w:rFonts w:ascii="Times New Roman" w:hAnsi="Times New Roman"/>
        </w:rPr>
        <w:t xml:space="preserve">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Контракте реквизитам Исполнителя, несет Исполнитель.</w:t>
      </w:r>
      <w:r>
        <w:rPr>
          <w:rFonts w:ascii="Times New Roman" w:hAnsi="Times New Roman"/>
          <w:lang w:val="ru-RU"/>
        </w:rPr>
      </w:r>
      <w:r/>
    </w:p>
    <w:p>
      <w:pPr>
        <w:pStyle w:val="880"/>
        <w:ind w:right="-2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2.7.</w:t>
        <w:tab/>
      </w:r>
      <w:r>
        <w:rPr>
          <w:rFonts w:ascii="Times New Roman" w:hAnsi="Times New Roman" w:eastAsia="Calibri"/>
          <w:lang w:eastAsia="en-US"/>
        </w:rPr>
        <w:t xml:space="preserve">При исполнении Контракта не допускается перемена </w:t>
      </w:r>
      <w:r>
        <w:rPr>
          <w:rFonts w:ascii="Times New Roman" w:hAnsi="Times New Roman"/>
        </w:rPr>
        <w:t xml:space="preserve">Исполнителя</w:t>
      </w:r>
      <w:r>
        <w:rPr>
          <w:rFonts w:ascii="Times New Roman" w:hAnsi="Times New Roman" w:eastAsia="Calibri"/>
          <w:lang w:eastAsia="en-US"/>
        </w:rPr>
        <w:t xml:space="preserve"> за исключением случая, если новый </w:t>
      </w:r>
      <w:r>
        <w:rPr>
          <w:rFonts w:ascii="Times New Roman" w:hAnsi="Times New Roman"/>
        </w:rPr>
        <w:t xml:space="preserve">Исполнитель</w:t>
      </w:r>
      <w:r>
        <w:rPr>
          <w:rFonts w:ascii="Times New Roman" w:hAnsi="Times New Roman" w:eastAsia="Calibri"/>
          <w:lang w:eastAsia="en-US"/>
        </w:rPr>
        <w:t xml:space="preserve"> является правопреемником </w:t>
      </w:r>
      <w:r>
        <w:rPr>
          <w:rFonts w:ascii="Times New Roman" w:hAnsi="Times New Roman"/>
        </w:rPr>
        <w:t xml:space="preserve">Исполнителя</w:t>
      </w:r>
      <w:r>
        <w:rPr>
          <w:rFonts w:ascii="Times New Roman" w:hAnsi="Times New Roman" w:eastAsia="Calibri"/>
          <w:lang w:eastAsia="en-US"/>
        </w:rPr>
        <w:t xml:space="preserve"> по Контракту вследствие реорганизации юридического лица</w:t>
      </w:r>
      <w:r>
        <w:rPr>
          <w:rFonts w:ascii="Times New Roman" w:hAnsi="Times New Roman" w:eastAsia="Calibri"/>
          <w:lang w:val="ru-RU" w:eastAsia="en-US"/>
        </w:rPr>
        <w:t xml:space="preserve"> </w:t>
      </w:r>
      <w:r>
        <w:rPr>
          <w:rFonts w:ascii="Times New Roman" w:hAnsi="Times New Roman" w:eastAsia="Calibri"/>
          <w:lang w:eastAsia="en-US"/>
        </w:rPr>
        <w:t xml:space="preserve">в форме преобразования, слияния или присоединения.</w:t>
      </w:r>
      <w:r>
        <w:rPr>
          <w:rFonts w:ascii="Times New Roman" w:hAnsi="Times New Roman"/>
          <w:lang w:val="ru-RU"/>
        </w:rPr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/>
    </w:p>
    <w:p>
      <w:pPr>
        <w:pStyle w:val="869"/>
        <w:numPr>
          <w:ilvl w:val="0"/>
          <w:numId w:val="1"/>
        </w:numPr>
        <w:ind w:left="0" w:right="-2"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ПОРЯДОК СДАЧИ И ПРИЕМКИ УСЛУГ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Оказываемые Исполнителем услуги должны соответствовать требованиям, указанным в Техническом задании (Приложение к настоящему Контракту), а также требованиям, обычно предъявляемым к услугам такого рода. 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В течение 5 рабочих дней после оказания услуг Исполнитель направляет в адрес Заказчика 2 экземпляра Акта приемки оказанных услуг, счет-фактуру (или иной первичный учетный документ), подписанные Исполнителем, в соответствии с объемом оказанных услуг.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случае ненаправления Исполнителем Акта приемки оказанных услуг, либо наличия ошибок в их оформлении (ошибки в реквизитах сторон, банковских рек</w:t>
      </w:r>
      <w:r>
        <w:rPr>
          <w:rFonts w:ascii="Times New Roman" w:hAnsi="Times New Roman" w:cs="Times New Roman"/>
          <w:sz w:val="20"/>
          <w:szCs w:val="20"/>
        </w:rPr>
        <w:t xml:space="preserve">визитах сторон, в наименовании и др.) приемка услуг Заказчиком не осуществляется. Сроки приемки оказанных услуг и оформления ее результатов начинают исчисляться с даты получения Заказчиком Акта сдачи-приемки оказанных услуг, оформленных надлежащим образом.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 течение 10 (десяти) рабочих дней со дня получения Акта сдачи-приемки оказанных услуг, Заказчик (приемочная комиссия) осуществляет одно из следующих действий: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3.3.1. подписывает документ о приемке оказанных услуг;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3.3.2. направляет Исполнителю в письменной форме мотивированный отказ от подписания документа о приемке оказанных услуг.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случае получения в соответствии с п. 3.3.2. на</w:t>
      </w:r>
      <w:r>
        <w:rPr>
          <w:rFonts w:ascii="Times New Roman" w:hAnsi="Times New Roman" w:cs="Times New Roman"/>
          <w:sz w:val="20"/>
          <w:szCs w:val="20"/>
        </w:rPr>
        <w:t xml:space="preserve">стоящего Контракта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 документ о приемке в порядке, предусмотренном пунктом 3.2. настоящего договора.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Заказчик </w:t>
      </w:r>
      <w:r>
        <w:rPr>
          <w:rFonts w:ascii="Times New Roman" w:hAnsi="Times New Roman" w:cs="Times New Roman"/>
          <w:sz w:val="20"/>
          <w:szCs w:val="20"/>
        </w:rPr>
        <w:t xml:space="preserve">вправе не отказывать в приемке результатов услуг, предусмотренных Контрактом, в случае выявления несоответствия этих результатов условиям Договора, если выявленное несоответствие не препятствует приемке результатов оказанных услуг и устранено Исполнителем.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Услуги </w:t>
      </w:r>
      <w:r>
        <w:rPr>
          <w:rFonts w:ascii="Times New Roman" w:hAnsi="Times New Roman" w:cs="Times New Roman"/>
          <w:sz w:val="20"/>
          <w:szCs w:val="20"/>
        </w:rPr>
        <w:t xml:space="preserve">считаются принятыми Заказчиком с момента подписания Акта сдачи-приемки оказанных услуг лицами, уполномоченными Заказчиком. По решению Заказчика для приемки оказанных услуг может создаваться приемочная комиссия, которая состоит не менее чем из пяти человек.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Исполнитель обязан направить полномочного представителя для приемки результатов оказанных услуг, а в случае невыполнения данного обязательства Заказчик имеет право отказаться от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приемки результатов оказанных услуг, либо осуществить приемку результатов оказанных услуг в одностороннем порядке. Результаты такой приемки оказанных услуг признаются сторонами надлежаще оформленными, что в дальнейшем лишает Исполнителя права ссылаться на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недостатки приемки результатов оказанных услуг. Неприбытие представителя Исполнителя для приемки результатов оказанных услуг рассматривается Сторонами, как согласие Исполнителя на одностороннюю приемку Заказчиком, согласно положениям настоящего контракта.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Неисполнение обязанностей, предусмотренных Контрактом влечет установленную им ответственность.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Для проверки результатов оказанных услуг, предусмотренных Контрактом, в части их соответствия условиям Контракта Заказчик проводит экспертизу. Экспертиза результатов, предусмотренн</w:t>
      </w:r>
      <w:r>
        <w:rPr>
          <w:rFonts w:ascii="Times New Roman" w:hAnsi="Times New Roman" w:cs="Times New Roman"/>
          <w:sz w:val="20"/>
          <w:szCs w:val="20"/>
        </w:rPr>
        <w:t xml:space="preserve">ых Контрактом, может проводиться Заказчиком своими силами или к ее проведению могут привлекаться эксперты, экспертные организации. В случае проведения экспертизы услуг с привлечением экспертов и экспертных организаций сроки приемки услуг, указанные в п. 3.</w:t>
      </w:r>
      <w:r>
        <w:rPr>
          <w:rFonts w:ascii="Times New Roman" w:hAnsi="Times New Roman" w:cs="Times New Roman"/>
          <w:sz w:val="20"/>
          <w:szCs w:val="20"/>
        </w:rPr>
        <w:t xml:space="preserve">3</w:t>
      </w:r>
      <w:r>
        <w:rPr>
          <w:rFonts w:ascii="Times New Roman" w:hAnsi="Times New Roman" w:cs="Times New Roman"/>
          <w:sz w:val="20"/>
          <w:szCs w:val="20"/>
        </w:rPr>
        <w:t xml:space="preserve">., начинают исчисляться с даты поступления к Заказчику результатов проведенной экспертизы.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3.5. Для проведения экспертизы результатов оказанных услуг эксперты, экспертные организации имеют право запрашивать у Заказчика и Исполнителя дополнительные материалы, относящиеся к условиям исполнения</w:t>
      </w:r>
      <w:r>
        <w:rPr>
          <w:rFonts w:ascii="Times New Roman" w:hAnsi="Times New Roman" w:cs="Times New Roman"/>
          <w:sz w:val="20"/>
          <w:szCs w:val="20"/>
        </w:rPr>
        <w:t xml:space="preserve">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</w:t>
      </w:r>
      <w:r>
        <w:rPr>
          <w:rFonts w:ascii="Times New Roman" w:hAnsi="Times New Roman" w:cs="Times New Roman"/>
          <w:sz w:val="20"/>
          <w:szCs w:val="20"/>
        </w:rPr>
        <w:t xml:space="preserve"> нарушения требований Контракта, не препятствующие приемке услуг в Заключении могут содержаться предложения об устранении данных нарушений, в том числе с указанием срока их устранения. В случае привлечения Заказчиком для проведения указанной экспертизы экс</w:t>
      </w:r>
      <w:r>
        <w:rPr>
          <w:rFonts w:ascii="Times New Roman" w:hAnsi="Times New Roman" w:cs="Times New Roman"/>
          <w:sz w:val="20"/>
          <w:szCs w:val="20"/>
        </w:rPr>
        <w:t xml:space="preserve">пертов, экспертных организаций при принятии решения о приемке или об отказе в приемке услуг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Результаты экспертизы результатов оказанных услуг проведенной силами Заказчика отражаются в акте приемки оказанных услуг по контракту.</w:t>
      </w:r>
      <w:r/>
    </w:p>
    <w:p>
      <w:pPr>
        <w:pStyle w:val="880"/>
        <w:ind w:firstLine="567"/>
        <w:jc w:val="both"/>
        <w:spacing w:after="0" w:line="240" w:lineRule="auto"/>
        <w:rPr>
          <w:rFonts w:ascii="Times New Roman" w:hAnsi="Times New Roman" w:eastAsia="Calibri"/>
          <w:lang w:val="ru-RU" w:eastAsia="en-US"/>
        </w:rPr>
      </w:pPr>
      <w:r>
        <w:rPr>
          <w:rFonts w:ascii="Times New Roman" w:hAnsi="Times New Roman" w:eastAsia="Calibri"/>
          <w:lang w:val="ru-RU" w:eastAsia="en-US"/>
        </w:rPr>
      </w:r>
      <w:r/>
    </w:p>
    <w:p>
      <w:pPr>
        <w:pStyle w:val="869"/>
        <w:numPr>
          <w:ilvl w:val="0"/>
          <w:numId w:val="1"/>
        </w:numPr>
        <w:ind w:left="0"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ПРАВА И ОБЯЗАННОСТИ СТОРОН</w:t>
      </w:r>
      <w:r/>
    </w:p>
    <w:p>
      <w:pPr>
        <w:pStyle w:val="885"/>
        <w:ind w:right="-1" w:firstLine="567"/>
        <w:spacing w:line="240" w:lineRule="auto"/>
        <w:rPr>
          <w:sz w:val="20"/>
        </w:rPr>
      </w:pPr>
      <w:r>
        <w:rPr>
          <w:sz w:val="20"/>
        </w:rPr>
        <w:t xml:space="preserve">4.1. Заказчик обязуется:</w:t>
      </w:r>
      <w:r/>
    </w:p>
    <w:p>
      <w:pPr>
        <w:pStyle w:val="884"/>
        <w:ind w:right="-1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4.1.1. Обеспечить приемку и оплату оказанных услуг в соответствии с условиями Контракта.</w:t>
      </w:r>
      <w:r/>
    </w:p>
    <w:p>
      <w:pPr>
        <w:pStyle w:val="885"/>
        <w:ind w:right="-1" w:firstLine="567"/>
        <w:spacing w:line="240" w:lineRule="auto"/>
        <w:rPr>
          <w:sz w:val="20"/>
        </w:rPr>
      </w:pPr>
      <w:r>
        <w:rPr>
          <w:sz w:val="20"/>
        </w:rPr>
        <w:t xml:space="preserve">4.1.2. 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их качеству. </w:t>
      </w:r>
      <w:r/>
    </w:p>
    <w:p>
      <w:pPr>
        <w:pStyle w:val="884"/>
        <w:ind w:right="-1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4.1.3. Выполнять иные обязанности, предусмотренные законодательством Российской Федерации и Контрактом.</w:t>
      </w:r>
      <w:r/>
    </w:p>
    <w:p>
      <w:pPr>
        <w:pStyle w:val="884"/>
        <w:ind w:right="-1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4.1.4. Взыскивать пени и штрафы, а также требовать возмещения убытков в соответствии с разделом 7 настоящего Контракта.</w:t>
      </w:r>
      <w:r/>
    </w:p>
    <w:p>
      <w:pPr>
        <w:pStyle w:val="884"/>
        <w:ind w:right="-1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4.2. Заказчик имеет право:</w:t>
      </w:r>
      <w:r/>
    </w:p>
    <w:p>
      <w:pPr>
        <w:pStyle w:val="869"/>
        <w:ind w:right="-1" w:firstLine="567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4.2.1. </w:t>
      </w:r>
      <w:r>
        <w:rPr>
          <w:rFonts w:ascii="Times New Roman" w:hAnsi="Times New Roman" w:cs="Times New Roman"/>
          <w:sz w:val="20"/>
          <w:szCs w:val="20"/>
        </w:rPr>
        <w:t xml:space="preserve">Определять лиц, непосредственно участвующих в контроле за оказанием услуг Исполнителем и (или) лиц, участвующих в приемке услуг.</w:t>
      </w:r>
      <w:bookmarkStart w:id="0" w:name="_GoBack"/>
      <w:r/>
      <w:bookmarkEnd w:id="0"/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4"/>
        <w:ind w:right="-1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4.2.2. </w:t>
      </w:r>
      <w:r>
        <w:rPr>
          <w:rFonts w:ascii="Times New Roman" w:hAnsi="Times New Roman"/>
          <w:sz w:val="20"/>
          <w:szCs w:val="20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объема оказанных услуг. </w:t>
      </w:r>
      <w:r/>
    </w:p>
    <w:p>
      <w:pPr>
        <w:pStyle w:val="885"/>
        <w:ind w:right="-1" w:firstLine="567"/>
        <w:spacing w:line="240" w:lineRule="auto"/>
        <w:rPr>
          <w:sz w:val="20"/>
        </w:rPr>
      </w:pPr>
      <w:r>
        <w:rPr>
          <w:sz w:val="20"/>
        </w:rPr>
        <w:t xml:space="preserve">4.2.3. </w:t>
      </w:r>
      <w:r>
        <w:rPr>
          <w:sz w:val="20"/>
        </w:rPr>
        <w:t xml:space="preserve">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предусмотренных действующим законодательством случаях. </w:t>
      </w:r>
      <w:r/>
    </w:p>
    <w:p>
      <w:pPr>
        <w:pStyle w:val="885"/>
        <w:ind w:right="-1" w:firstLine="567"/>
        <w:spacing w:line="240" w:lineRule="auto"/>
        <w:rPr>
          <w:sz w:val="20"/>
        </w:rPr>
      </w:pPr>
      <w:r>
        <w:rPr>
          <w:sz w:val="20"/>
        </w:rPr>
        <w:t xml:space="preserve">4.3. Исполнитель обязуется:</w:t>
      </w:r>
      <w:r/>
    </w:p>
    <w:p>
      <w:pPr>
        <w:pStyle w:val="885"/>
        <w:ind w:right="-1" w:firstLine="567"/>
        <w:spacing w:line="240" w:lineRule="auto"/>
        <w:rPr>
          <w:sz w:val="20"/>
        </w:rPr>
      </w:pPr>
      <w:r>
        <w:rPr>
          <w:sz w:val="20"/>
        </w:rPr>
        <w:t xml:space="preserve">4.3.1. Обеспечить соответствие услуг требованиям законодательства РФ, нормативных и технических документов содержащих требования к оказываемым услугам и условиям Контракта.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4.3.2. Не позднее 5 рабочих дней с момента получения запроса Заказчика, либо возникновения сложностей в исполнении Контракта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предоставлять Заказчику достоверную информацию о ходе исполнения своих обязательств, в том числе о сложностях, возникающих при исполнении Контракта. 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82"/>
        <w:ind w:left="0" w:right="-1" w:firstLine="567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4.3.3. П</w:t>
      </w:r>
      <w:r>
        <w:rPr>
          <w:rFonts w:ascii="Times New Roman" w:hAnsi="Times New Roman"/>
          <w:sz w:val="20"/>
          <w:szCs w:val="20"/>
        </w:rPr>
        <w:t xml:space="preserve">роизводить устранение замечаний Заказчика к оказываемым услугам как в ходе их оказания, так и по результатам приемки. </w:t>
      </w:r>
      <w:r/>
    </w:p>
    <w:p>
      <w:pPr>
        <w:pStyle w:val="882"/>
        <w:ind w:left="0" w:firstLine="567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4.3.4. В случае нарушения условий Контракта о сроках и качестве оказания услуг уплатить штрафы и пени согласно услови</w:t>
      </w:r>
      <w:r>
        <w:rPr>
          <w:rFonts w:ascii="Times New Roman" w:hAnsi="Times New Roman"/>
          <w:sz w:val="20"/>
          <w:szCs w:val="20"/>
          <w:lang w:val="ru-RU"/>
        </w:rPr>
        <w:t xml:space="preserve">ям</w:t>
      </w:r>
      <w:r>
        <w:rPr>
          <w:rFonts w:ascii="Times New Roman" w:hAnsi="Times New Roman"/>
          <w:sz w:val="20"/>
          <w:szCs w:val="20"/>
        </w:rPr>
        <w:t xml:space="preserve"> Контракта.</w:t>
      </w:r>
      <w:r/>
    </w:p>
    <w:p>
      <w:pPr>
        <w:pStyle w:val="882"/>
        <w:ind w:left="0" w:firstLine="567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4.3.5. Выполнять иные обязанности, предусмотренные законодательством Российской Федерации и Контрактом.</w:t>
      </w:r>
      <w:r/>
    </w:p>
    <w:p>
      <w:pPr>
        <w:pStyle w:val="882"/>
        <w:ind w:left="0" w:firstLine="567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4.4. Исполнитель вправе:</w:t>
      </w:r>
      <w:r/>
    </w:p>
    <w:p>
      <w:pPr>
        <w:pStyle w:val="884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4.4.1. Требовать оплату за фактически оказанные услуги в соответствии с условиями Контракта.</w:t>
      </w:r>
      <w:r/>
    </w:p>
    <w:p>
      <w:pPr>
        <w:pStyle w:val="884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4.4.2.</w:t>
      </w:r>
      <w:r>
        <w:rPr>
          <w:rFonts w:ascii="Times New Roman" w:hAnsi="Times New Roman"/>
          <w:sz w:val="20"/>
          <w:szCs w:val="20"/>
        </w:rPr>
        <w:t xml:space="preserve"> При исполнении Контракта по согласованию с Заказчик</w:t>
      </w:r>
      <w:r>
        <w:rPr>
          <w:rFonts w:ascii="Times New Roman" w:hAnsi="Times New Roman"/>
          <w:sz w:val="20"/>
          <w:szCs w:val="20"/>
        </w:rPr>
        <w:t xml:space="preserve">ом осуществить оказание услуг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  <w:r/>
    </w:p>
    <w:p>
      <w:pPr>
        <w:pStyle w:val="884"/>
        <w:ind w:firstLine="567"/>
        <w:jc w:val="both"/>
        <w:rPr>
          <w:rStyle w:val="886"/>
          <w:sz w:val="20"/>
          <w:szCs w:val="20"/>
          <w:shd w:val="clear" w:color="auto" w:fill="auto"/>
        </w:rPr>
      </w:pPr>
      <w:r>
        <w:rPr>
          <w:rStyle w:val="886"/>
          <w:sz w:val="20"/>
          <w:szCs w:val="20"/>
          <w:shd w:val="clear" w:color="auto" w:fill="auto"/>
        </w:rPr>
      </w:r>
      <w:r/>
    </w:p>
    <w:p>
      <w:pPr>
        <w:pStyle w:val="869"/>
        <w:numPr>
          <w:ilvl w:val="0"/>
          <w:numId w:val="1"/>
        </w:numPr>
        <w:ind w:left="0" w:right="-2"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ПОРЯДОК И СРОКИ ОКАЗАНИЯ УСЛУГ</w:t>
      </w:r>
      <w:r/>
    </w:p>
    <w:p>
      <w:pPr>
        <w:pStyle w:val="869"/>
        <w:ind w:right="-2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 </w:t>
      </w:r>
      <w:r>
        <w:rPr>
          <w:rStyle w:val="886"/>
          <w:color w:val="000000"/>
          <w:sz w:val="20"/>
          <w:szCs w:val="20"/>
        </w:rPr>
        <w:t xml:space="preserve">Услуги должны быть оказаны в срок,</w:t>
      </w:r>
      <w:r>
        <w:rPr>
          <w:rFonts w:ascii="Times New Roman" w:hAnsi="Times New Roman" w:cs="Times New Roman"/>
          <w:sz w:val="20"/>
          <w:szCs w:val="20"/>
        </w:rPr>
        <w:t xml:space="preserve"> указанный в Техническом задании (Приложение к настоящему Контракту).</w:t>
      </w:r>
      <w:r/>
    </w:p>
    <w:p>
      <w:pPr>
        <w:pStyle w:val="869"/>
        <w:ind w:right="-2" w:firstLine="567"/>
        <w:jc w:val="both"/>
        <w:spacing w:after="0" w:line="240" w:lineRule="auto"/>
        <w:widowControl w:val="off"/>
        <w:rPr>
          <w:rStyle w:val="886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>
        <w:rPr>
          <w:rStyle w:val="886"/>
          <w:color w:val="000000"/>
          <w:sz w:val="20"/>
          <w:szCs w:val="20"/>
        </w:rPr>
        <w:t xml:space="preserve">Досрочная сдача результатов услуг допускается только по согласованию с Заказчиком. В случае согласования досрочного оказания услуг Заказчик обязуется принять услуги и подписать Акт приемки оказанных услуг в порядке, установленном Контрактом.</w:t>
      </w:r>
      <w:r/>
    </w:p>
    <w:p>
      <w:pPr>
        <w:pStyle w:val="869"/>
        <w:ind w:right="-2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right="-2"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ФОРС-МАЖОРНЫЕ УСЛОВИЯ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6.1. Стороны освобождаются от ответственности за частичное или полное неисполнение обязательств по Контракту, если такое неисполнение явилось следствием обстоятельств непреодолимой силы, включая, но не ограничиваясь, природные стихийные явл</w:t>
      </w:r>
      <w:r>
        <w:rPr>
          <w:rFonts w:ascii="Times New Roman" w:hAnsi="Times New Roman" w:cs="Times New Roman"/>
          <w:sz w:val="20"/>
          <w:szCs w:val="20"/>
        </w:rPr>
        <w:t xml:space="preserve">ения (землетрясение, наводнение, пожары, тайфуны, ураган), некоторые обстоятельства общественной жизни (военные действия), в которых непосредственно или косвенно участвует сторона по Контракту, массовые заболевания, Указы Президента РФ и Постановления Прав</w:t>
      </w:r>
      <w:r>
        <w:rPr>
          <w:rFonts w:ascii="Times New Roman" w:hAnsi="Times New Roman" w:cs="Times New Roman"/>
          <w:sz w:val="20"/>
          <w:szCs w:val="20"/>
        </w:rPr>
        <w:t xml:space="preserve">ительства РФ, изменения в текущем законодательстве, или другие, не зависящие от сторон обстоятельства. Указанные события должны носить чрезвычайный, непредвиденный и неотвратимый характер, возникнуть после заключения Контракта и не зависеть от воли сторон.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При наступлении таких обстоятельств непреодолимой силы Сторона должна без промедления извес</w:t>
      </w:r>
      <w:r>
        <w:rPr>
          <w:rFonts w:ascii="Times New Roman" w:hAnsi="Times New Roman" w:cs="Times New Roman"/>
          <w:sz w:val="20"/>
          <w:szCs w:val="20"/>
        </w:rPr>
        <w:t xml:space="preserve">тить о них другую Сторону в письменном виде в течение трех дней.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6.3. По прекращении указанных обстоятельств, Сторона должна без пром</w:t>
      </w:r>
      <w:r>
        <w:rPr>
          <w:rFonts w:ascii="Times New Roman" w:hAnsi="Times New Roman" w:cs="Times New Roman"/>
          <w:sz w:val="20"/>
          <w:szCs w:val="20"/>
        </w:rPr>
        <w:t xml:space="preserve">едления известить другую Сторону в письменном виде в течение трех дней. В извещении должен быть указан срок, в который предполагается исполнить обязательство по настоящему Контракту. 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 случае наступления форс-мажорных обстоятельств, срок исполнения обязательств по настоящему Контракту отодвигается соразмерно времени, в течение которого будут действовать такие обстоятельства.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Если</w:t>
      </w:r>
      <w:r>
        <w:rPr>
          <w:rFonts w:ascii="Times New Roman" w:hAnsi="Times New Roman" w:cs="Times New Roman"/>
          <w:sz w:val="20"/>
          <w:szCs w:val="20"/>
        </w:rPr>
        <w:t xml:space="preserve"> форс-мажорные обстоятельства и их последствия продолжают действовать более 6 месяцев,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договоренности.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6.6.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в подтверждение форс-мажорных обстоятельств. </w:t>
      </w:r>
      <w:r/>
    </w:p>
    <w:p>
      <w:pPr>
        <w:pStyle w:val="869"/>
        <w:ind w:right="-2"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right="-2"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 ОТВЕТСТВЕННОСТЬ СТОРОН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7.1. </w:t>
      </w:r>
      <w:r>
        <w:rPr>
          <w:rFonts w:ascii="Times New Roman" w:hAnsi="Times New Roman" w:cs="Times New Roman"/>
          <w:sz w:val="20"/>
          <w:szCs w:val="20"/>
        </w:rPr>
        <w:t xml:space="preserve">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7.1.1. </w:t>
      </w:r>
      <w:r>
        <w:rPr>
          <w:rFonts w:ascii="Times New Roman" w:hAnsi="Times New Roman" w:cs="Times New Roman"/>
          <w:sz w:val="20"/>
          <w:szCs w:val="20"/>
        </w:rPr>
        <w:t xml:space="preserve">За каждый факт неисполнения З</w:t>
      </w:r>
      <w:r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1000 рублей, если цена контракта не превышает 3 млн. рублей (включительно).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7.1.2. </w:t>
      </w:r>
      <w:r>
        <w:rPr>
          <w:rFonts w:ascii="Times New Roman" w:hAnsi="Times New Roman" w:cs="Times New Roman"/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</w:t>
      </w:r>
      <w:r>
        <w:rPr>
          <w:rFonts w:ascii="Times New Roman" w:hAnsi="Times New Roman" w:cs="Times New Roman"/>
          <w:sz w:val="20"/>
          <w:szCs w:val="20"/>
        </w:rPr>
        <w:t xml:space="preserve">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7.1.3. 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7.2. В случае просрочки исполнения Исполнителем обязательс</w:t>
      </w:r>
      <w:r>
        <w:rPr>
          <w:rFonts w:ascii="Times New Roman" w:hAnsi="Times New Roman" w:cs="Times New Roman"/>
          <w:sz w:val="20"/>
          <w:szCs w:val="20"/>
        </w:rPr>
        <w:t xml:space="preserve">тв (в том числе гарантийного обязательства), предусмотренных Контрактом, а также в иных случаях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7.2.1. </w:t>
      </w:r>
      <w:r>
        <w:rPr>
          <w:rFonts w:ascii="Times New Roman" w:hAnsi="Times New Roman" w:cs="Times New Roman"/>
          <w:sz w:val="20"/>
          <w:szCs w:val="20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</w:t>
      </w:r>
      <w:r>
        <w:rPr>
          <w:rFonts w:ascii="Times New Roman" w:hAnsi="Times New Roman" w:cs="Times New Roman"/>
          <w:sz w:val="20"/>
          <w:szCs w:val="20"/>
        </w:rPr>
        <w:t xml:space="preserve">актом, размер штрафа устанавливается в следующем порядке: 10 процентов цены контракта в случае, если цена контракта не превышает 3 млн. рублей, за исключением случаев, если законодательством Российской Федерации установлен иной порядок начисления штрафов. 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/>
      <w:bookmarkStart w:id="1" w:name="P10"/>
      <w:r/>
      <w:bookmarkEnd w:id="1"/>
      <w:r>
        <w:rPr>
          <w:rFonts w:ascii="Times New Roman" w:hAnsi="Times New Roman" w:cs="Times New Roman"/>
          <w:sz w:val="20"/>
          <w:szCs w:val="20"/>
        </w:rPr>
        <w:t xml:space="preserve">7.2.2. </w:t>
      </w:r>
      <w:r>
        <w:rPr>
          <w:rFonts w:ascii="Times New Roman" w:hAnsi="Times New Roman" w:cs="Times New Roman"/>
          <w:sz w:val="20"/>
          <w:szCs w:val="20"/>
        </w:rPr>
        <w:t xml:space="preserve">За каждый факт неисполнения или ненадлежащего исполнения Исполнителем обязательства, предусмотренного контрактом в пунктах 2.6., 3.2., 4.3.1. – 4.3.5., которое </w:t>
      </w:r>
      <w:r>
        <w:rPr>
          <w:rFonts w:ascii="Times New Roman" w:hAnsi="Times New Roman" w:cs="Times New Roman"/>
          <w:sz w:val="20"/>
          <w:szCs w:val="20"/>
        </w:rPr>
        <w:t xml:space="preserve">не имеет стоимостного выражения, размер штрафа устанавливается в следующем порядке: 1000 рублей, если цена контракта не превышает 3 млн. рублей, за исключением случаев, если законодательством Российской Федерации установлен иной порядок начисления штрафов.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7.2.3. </w:t>
      </w:r>
      <w:r>
        <w:rPr>
          <w:rFonts w:ascii="Times New Roman" w:hAnsi="Times New Roman" w:cs="Times New Roman"/>
          <w:sz w:val="20"/>
          <w:szCs w:val="20"/>
        </w:rPr>
        <w:t xml:space="preserve">Пеня начисляется за каждый день просрочки исполнения Исполнителем обязательства, предусмотренного К</w:t>
      </w:r>
      <w:r>
        <w:rPr>
          <w:rFonts w:ascii="Times New Roman" w:hAnsi="Times New Roman" w:cs="Times New Roman"/>
          <w:sz w:val="20"/>
          <w:szCs w:val="20"/>
        </w:rPr>
        <w:t xml:space="preserve">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</w:t>
      </w:r>
      <w:r>
        <w:rPr>
          <w:rFonts w:ascii="Times New Roman" w:hAnsi="Times New Roman" w:cs="Times New Roman"/>
          <w:sz w:val="20"/>
          <w:szCs w:val="20"/>
        </w:rPr>
        <w:t xml:space="preserve">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7.2.4. </w:t>
      </w:r>
      <w:r>
        <w:rPr>
          <w:rFonts w:ascii="Times New Roman" w:hAnsi="Times New Roman" w:cs="Times New Roman"/>
          <w:sz w:val="20"/>
          <w:szCs w:val="20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7.3</w:t>
      </w:r>
      <w:r>
        <w:rPr>
          <w:rFonts w:ascii="Times New Roman" w:hAnsi="Times New Roman" w:cs="Times New Roman"/>
          <w:sz w:val="20"/>
          <w:szCs w:val="20"/>
        </w:rPr>
        <w:t xml:space="preserve">. </w:t>
      </w:r>
      <w:r>
        <w:rPr>
          <w:rFonts w:ascii="Times New Roman" w:hAnsi="Times New Roman" w:cs="Times New Roman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/>
    </w:p>
    <w:p>
      <w:pPr>
        <w:pStyle w:val="869"/>
        <w:ind w:right="-2" w:firstLine="567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7.4. У</w:t>
      </w:r>
      <w:r>
        <w:rPr>
          <w:rFonts w:ascii="Times New Roman" w:hAnsi="Times New Roman" w:cs="Times New Roman"/>
          <w:sz w:val="20"/>
          <w:szCs w:val="20"/>
        </w:rPr>
        <w:t xml:space="preserve">плата неустойки (пени, штрафа) не освобождает сторону от исполнения или надлежащего исполнения обязательств, установленных Контрактом.</w:t>
      </w:r>
      <w:r/>
    </w:p>
    <w:p>
      <w:pPr>
        <w:pStyle w:val="869"/>
        <w:ind w:right="-2"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right="-2"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ПОРЯДОК РАЗРЕШЕНИЯ СПОРОВ</w:t>
      </w:r>
      <w:r/>
    </w:p>
    <w:p>
      <w:pPr>
        <w:pStyle w:val="869"/>
        <w:numPr>
          <w:ilvl w:val="1"/>
          <w:numId w:val="9"/>
        </w:numPr>
        <w:ind w:left="0" w:firstLine="567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Все споры, возникающие в процессе заключения и исполнения Контракта, решаются Сторонами в добровольном порядке. При не достижении соглашения Сторон, спор подлежит разрешению в Арбитражном суде Удмуртской Республики.</w:t>
      </w:r>
      <w:r/>
    </w:p>
    <w:p>
      <w:pPr>
        <w:pStyle w:val="869"/>
        <w:numPr>
          <w:ilvl w:val="1"/>
          <w:numId w:val="9"/>
        </w:numPr>
        <w:ind w:left="0" w:firstLine="567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 в соответствии с порядком, определенным Разделом 3 настоящего Контракта.</w:t>
      </w:r>
      <w:r/>
    </w:p>
    <w:p>
      <w:pPr>
        <w:pStyle w:val="869"/>
        <w:numPr>
          <w:ilvl w:val="1"/>
          <w:numId w:val="9"/>
        </w:numPr>
        <w:ind w:left="0" w:firstLine="567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  <w:r/>
    </w:p>
    <w:p>
      <w:pPr>
        <w:pStyle w:val="869"/>
        <w:numPr>
          <w:ilvl w:val="1"/>
          <w:numId w:val="9"/>
        </w:numPr>
        <w:ind w:left="0" w:firstLine="567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РФ.</w:t>
      </w:r>
      <w:r/>
    </w:p>
    <w:p>
      <w:pPr>
        <w:pStyle w:val="869"/>
        <w:numPr>
          <w:ilvl w:val="1"/>
          <w:numId w:val="9"/>
        </w:numPr>
        <w:ind w:left="0" w:firstLine="567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Заказчик вправе принять решение об одностороннем отказе от исполнения Контракта в соответствии с Гражданским Кодексом РФ, в порядке, предусмотренном статьей 95 ФЗ № 44-ФЗ.</w:t>
      </w:r>
      <w:r/>
    </w:p>
    <w:p>
      <w:pPr>
        <w:pStyle w:val="869"/>
        <w:numPr>
          <w:ilvl w:val="1"/>
          <w:numId w:val="9"/>
        </w:numPr>
        <w:ind w:left="0" w:firstLine="567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Информация об Исполнителе, с которым Контракт был расторгнут в связи с односторонним отказом Заказчика от исполнения Контракта, включается в установленном законодательством РФ порядке в реестр недобросовестных поставщиков.</w:t>
      </w:r>
      <w:r/>
    </w:p>
    <w:p>
      <w:pPr>
        <w:pStyle w:val="869"/>
        <w:numPr>
          <w:ilvl w:val="1"/>
          <w:numId w:val="9"/>
        </w:numPr>
        <w:ind w:left="0" w:firstLine="567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При расторжении Контракта в связи с односторонним отказом стороны Контракта от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/>
    </w:p>
    <w:p>
      <w:pPr>
        <w:pStyle w:val="869"/>
        <w:ind w:firstLine="567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</w:r>
      <w:r/>
    </w:p>
    <w:p>
      <w:pPr>
        <w:pStyle w:val="869"/>
        <w:ind w:right="-2"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 ПРОЧИЕ УСЛОВИЯ</w:t>
      </w:r>
      <w:r/>
    </w:p>
    <w:p>
      <w:pPr>
        <w:pStyle w:val="869"/>
        <w:ind w:right="-2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9.1. Сторон</w:t>
      </w:r>
      <w:r>
        <w:rPr>
          <w:rFonts w:ascii="Times New Roman" w:hAnsi="Times New Roman" w:cs="Times New Roman"/>
          <w:sz w:val="20"/>
          <w:szCs w:val="20"/>
        </w:rPr>
        <w:t xml:space="preserve">а Контракта считается надлежащим образом уведомленной во всех, предусмотренных настоящим Контрактом случаях, за исключением случаев, указанных в п.п..2,6, 6.2, 6.3, 8.5, 9.3. настоящего Контракта, если уведомление такой Стороны Контракта было осуществлено 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его доставку по указанному адресу (факсу).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right="-2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9.2. Контракт составлен в двух подлинных экземплярах, имеющих одинаковую юридическую 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сил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у, по одному для каждой из Сторон. Контракт вступает в силу с момента его подписания Сторонами и действует до 31.12.2024 г., а в части финансовых обязательств до полного их исполнения. Государственный контракт и иные документы, связанные с его исполнением,</w:t>
      </w:r>
      <w:r>
        <w:rPr>
          <w:rFonts w:ascii="Times New Roman" w:hAnsi="Times New Roman" w:cs="Times New Roman"/>
          <w:sz w:val="20"/>
          <w:szCs w:val="20"/>
        </w:rPr>
        <w:t xml:space="preserve"> переданные средствами факсимильной связи, а также в сканированном виде по адресу электронной почты в сети Интернет, указанному в разделе 10 контракта, имеют юридическую силу до получения Сторонами оригиналов государственного контракта и иных документов.</w:t>
      </w:r>
      <w:r/>
    </w:p>
    <w:p>
      <w:pPr>
        <w:pStyle w:val="869"/>
        <w:ind w:right="-2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9.3. В случае изменения юридических адресов, отгрузочных и иных реквизитов Стороны обязаны сообщить об этом другой стороне в течение 1 (одного) дня в письменном виде.</w:t>
      </w:r>
      <w:r/>
    </w:p>
    <w:p>
      <w:pPr>
        <w:pStyle w:val="869"/>
        <w:ind w:right="-2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9.4. Обмен информацией в ходе исполнения Контракта осуществляется по адресам электронной почты, номерам телефонов/факсов, которые должны быть указаны в реквизитах Контракта.</w:t>
      </w:r>
      <w:r/>
    </w:p>
    <w:p>
      <w:pPr>
        <w:pStyle w:val="869"/>
        <w:ind w:right="-2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9.5. Контракт считается одноэтапным. Этап начинается с момента заключения контракта и завершается датой последней оплаты по контракту. </w:t>
      </w:r>
      <w:r/>
    </w:p>
    <w:p>
      <w:pPr>
        <w:pStyle w:val="869"/>
        <w:ind w:right="-2"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9.6. Все приложения к настоящему Контракту являются его неотъемлемой частью.</w:t>
      </w:r>
      <w:r/>
    </w:p>
    <w:p>
      <w:pPr>
        <w:pStyle w:val="869"/>
        <w:ind w:right="-2"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right="-2"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</w:t>
      </w:r>
      <w:r>
        <w:rPr>
          <w:rFonts w:ascii="Times New Roman" w:hAnsi="Times New Roman" w:cs="Times New Roman"/>
          <w:sz w:val="20"/>
          <w:szCs w:val="20"/>
        </w:rPr>
        <w:t xml:space="preserve">0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ЮРИДИЧЕСКИЕ АДРЕСА, БАНКОВСКИЕ РЕКВИЗИТЫ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right="-2"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36"/>
        <w:gridCol w:w="4676"/>
      </w:tblGrid>
      <w:tr>
        <w:trPr>
          <w:trHeight w:val="1253"/>
        </w:trPr>
        <w:tc>
          <w:tcPr>
            <w:tcW w:w="5036" w:type="dxa"/>
            <w:vAlign w:val="top"/>
            <w:textDirection w:val="lrTb"/>
            <w:noWrap w:val="false"/>
          </w:tcPr>
          <w:p>
            <w:pPr>
              <w:pStyle w:val="869"/>
              <w:ind w:firstLine="567"/>
              <w:jc w:val="center"/>
              <w:keepNext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ИСПОЛНИТЕЛЬ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»:</w:t>
            </w:r>
            <w:r/>
          </w:p>
          <w:p>
            <w:pPr>
              <w:ind w:firstLine="567"/>
              <w:jc w:val="center"/>
              <w:keepNext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highlight w:val="none"/>
              </w:rPr>
            </w:r>
            <w:r/>
          </w:p>
          <w:p>
            <w:pPr>
              <w:pStyle w:val="912"/>
              <w:jc w:val="both"/>
              <w:rPr>
                <w:rFonts w:ascii="Times New Roman" w:hAnsi="Times New Roman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_______________/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eastAsia="ar-SA"/>
              </w:rPr>
              <w:t xml:space="preserve">_______________/</w:t>
            </w:r>
            <w:r/>
          </w:p>
          <w:p>
            <w:pPr>
              <w:pStyle w:val="892"/>
              <w:jc w:val="both"/>
              <w:keepNext/>
              <w:spacing w:before="0" w:beforeAutospacing="0" w:after="0" w:afterAutospacing="0"/>
              <w:shd w:val="clear" w:color="auto" w:fill="ffffff"/>
              <w:rPr>
                <w:rFonts w:eastAsia="Calibri"/>
                <w:sz w:val="20"/>
                <w:szCs w:val="20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</w:r>
            <w:r/>
          </w:p>
        </w:tc>
        <w:tc>
          <w:tcPr>
            <w:tcW w:w="4676" w:type="dxa"/>
            <w:vAlign w:val="top"/>
            <w:textDirection w:val="lrTb"/>
            <w:noWrap w:val="false"/>
          </w:tcPr>
          <w:p>
            <w:pPr>
              <w:pStyle w:val="892"/>
              <w:ind w:firstLine="567"/>
              <w:jc w:val="center"/>
              <w:spacing w:before="0" w:beforeAutospacing="0" w:after="0" w:afterAutospacing="0"/>
              <w:shd w:val="clear" w:color="auto" w:fill="ffffff"/>
              <w:rPr>
                <w:rStyle w:val="893"/>
                <w:bCs/>
                <w:color w:val="000000"/>
                <w:sz w:val="20"/>
                <w:szCs w:val="20"/>
              </w:rPr>
            </w:pPr>
            <w:r>
              <w:rPr>
                <w:rStyle w:val="893"/>
                <w:bCs/>
                <w:color w:val="000000"/>
                <w:sz w:val="20"/>
                <w:szCs w:val="20"/>
              </w:rPr>
              <w:t xml:space="preserve">«ЗАКАЗЧИК»:</w:t>
            </w:r>
            <w:r/>
          </w:p>
          <w:p>
            <w:pPr>
              <w:pStyle w:val="869"/>
              <w:ind w:right="-2"/>
              <w:jc w:val="both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pStyle w:val="912"/>
              <w:jc w:val="both"/>
              <w:rPr>
                <w:rFonts w:ascii="Times New Roman" w:hAnsi="Times New Roman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_______________/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eastAsia="ar-SA"/>
              </w:rPr>
              <w:t xml:space="preserve">__________________/</w:t>
            </w:r>
            <w:r/>
          </w:p>
          <w:p>
            <w:pPr>
              <w:pStyle w:val="869"/>
              <w:jc w:val="both"/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</w:tbl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ind w:firstLine="567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firstLine="567"/>
        <w:jc w:val="right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1</w:t>
      </w:r>
      <w:r/>
    </w:p>
    <w:p>
      <w:pPr>
        <w:pStyle w:val="869"/>
        <w:ind w:firstLine="567"/>
        <w:jc w:val="right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</w:t>
      </w:r>
      <w:r/>
    </w:p>
    <w:p>
      <w:pPr>
        <w:pStyle w:val="869"/>
        <w:ind w:firstLine="567"/>
        <w:jc w:val="right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от «___»_______20</w:t>
      </w:r>
      <w:r>
        <w:rPr>
          <w:rFonts w:ascii="Times New Roman" w:hAnsi="Times New Roman" w:cs="Times New Roman"/>
          <w:sz w:val="20"/>
          <w:szCs w:val="20"/>
        </w:rPr>
        <w:t xml:space="preserve">2</w:t>
      </w:r>
      <w:r>
        <w:rPr>
          <w:rFonts w:ascii="Times New Roman" w:hAnsi="Times New Roman" w:cs="Times New Roman"/>
          <w:sz w:val="20"/>
          <w:szCs w:val="20"/>
        </w:rPr>
        <w:t xml:space="preserve">6 г. № </w:t>
      </w:r>
      <w:r>
        <w:rPr>
          <w:rFonts w:ascii="Times New Roman" w:hAnsi="Times New Roman" w:cs="Times New Roman"/>
          <w:sz w:val="20"/>
          <w:szCs w:val="20"/>
        </w:rPr>
        <w:t xml:space="preserve">_____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ind w:right="-5" w:firstLine="567"/>
        <w:jc w:val="right"/>
        <w:spacing w:after="0" w:line="240" w:lineRule="auto"/>
        <w:rPr>
          <w:rStyle w:val="888"/>
          <w:color w:val="000000"/>
        </w:rPr>
      </w:pPr>
      <w:r>
        <w:rPr>
          <w:rStyle w:val="888"/>
          <w:color w:val="000000"/>
        </w:rPr>
      </w:r>
      <w:r/>
    </w:p>
    <w:p>
      <w:pPr>
        <w:pStyle w:val="869"/>
        <w:ind w:firstLine="567"/>
        <w:jc w:val="center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ТЕХНИЧЕСКОЕ ЗАДАНИЕ</w:t>
      </w:r>
      <w:r/>
    </w:p>
    <w:p>
      <w:pPr>
        <w:pStyle w:val="891"/>
        <w:numPr>
          <w:ilvl w:val="0"/>
          <w:numId w:val="23"/>
        </w:numPr>
        <w:ind w:left="0" w:right="-1" w:firstLine="567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Наименование объекта закупки: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</w:r>
      <w:r/>
    </w:p>
    <w:p>
      <w:pPr>
        <w:pStyle w:val="891"/>
        <w:ind w:right="-1"/>
        <w:jc w:val="both"/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  <w:r/>
    </w:p>
    <w:tbl>
      <w:tblPr>
        <w:tblW w:w="9603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5"/>
        <w:gridCol w:w="4285"/>
        <w:gridCol w:w="1134"/>
        <w:gridCol w:w="855"/>
        <w:gridCol w:w="1340"/>
        <w:gridCol w:w="1454"/>
      </w:tblGrid>
      <w:tr>
        <w:trPr>
          <w:trHeight w:val="485"/>
        </w:trPr>
        <w:tc>
          <w:tcPr>
            <w:tcW w:w="535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</w:t>
            </w:r>
            <w:r/>
          </w:p>
        </w:tc>
        <w:tc>
          <w:tcPr>
            <w:tcW w:w="4285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услуг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71"/>
              <w:jc w:val="center"/>
              <w:spacing w:before="0" w:after="0" w:line="240" w:lineRule="auto"/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ru-RU"/>
              </w:rPr>
              <w:t xml:space="preserve">Единица измерения</w:t>
            </w:r>
            <w:r/>
          </w:p>
        </w:tc>
        <w:tc>
          <w:tcPr>
            <w:tcW w:w="855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340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с НДС,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454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Сумма с НДС,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  <w:tr>
        <w:trPr>
          <w:trHeight w:val="668"/>
        </w:trPr>
        <w:tc>
          <w:tcPr>
            <w:tcW w:w="535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4285" w:type="dxa"/>
            <w:vAlign w:val="center"/>
            <w:textDirection w:val="lrTb"/>
            <w:noWrap w:val="false"/>
          </w:tcPr>
          <w:p>
            <w:pPr>
              <w:pStyle w:val="891"/>
              <w:ind w:left="0" w:right="-1"/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Оказание услуг </w:t>
            </w:r>
            <w:r>
              <w:rPr>
                <w:rStyle w:val="886"/>
                <w:color w:val="000000"/>
                <w:sz w:val="20"/>
                <w:szCs w:val="20"/>
              </w:rPr>
              <w:t xml:space="preserve">по предоставлению стадиона для спортивного мероприятия «Международный турнир по мини-футболу среди силовых структур, посвященный памяти Л.И. Яшина»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Усл. ед.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855" w:type="dxa"/>
            <w:vAlign w:val="center"/>
            <w:textDirection w:val="lrTb"/>
            <w:noWrap w:val="false"/>
          </w:tcPr>
          <w:p>
            <w:pPr>
              <w:pStyle w:val="869"/>
              <w:ind w:left="33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340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454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</w:tbl>
    <w:p>
      <w:pPr>
        <w:pStyle w:val="891"/>
        <w:ind w:left="0" w:right="-1"/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  <w:r/>
    </w:p>
    <w:p>
      <w:pPr>
        <w:pStyle w:val="891"/>
        <w:numPr>
          <w:ilvl w:val="0"/>
          <w:numId w:val="27"/>
        </w:numPr>
        <w:contextualSpacing/>
        <w:ind w:left="0" w:right="-1" w:firstLine="567"/>
        <w:jc w:val="both"/>
        <w:tabs>
          <w:tab w:val="left" w:pos="709" w:leader="none"/>
        </w:tabs>
      </w:pPr>
      <w:r>
        <w:rPr>
          <w:rFonts w:ascii="PT Astra Serif" w:hAnsi="PT Astra Serif"/>
          <w:b/>
          <w:sz w:val="20"/>
        </w:rPr>
        <w:t xml:space="preserve">Место оказания услуг: </w:t>
      </w:r>
      <w:r>
        <w:rPr>
          <w:rFonts w:ascii="PT Astra Serif" w:hAnsi="PT Astra Serif"/>
          <w:sz w:val="20"/>
        </w:rPr>
        <w:t xml:space="preserve">по адресу </w:t>
      </w:r>
      <w:r>
        <w:rPr>
          <w:rFonts w:ascii="PT Astra Serif" w:hAnsi="PT Astra Serif"/>
          <w:sz w:val="20"/>
          <w:lang w:val="ru-RU"/>
        </w:rPr>
        <w:t xml:space="preserve">нахождения </w:t>
      </w:r>
      <w:r>
        <w:rPr>
          <w:rFonts w:ascii="PT Astra Serif" w:hAnsi="PT Astra Serif"/>
          <w:sz w:val="20"/>
        </w:rPr>
        <w:t xml:space="preserve">Исполнителя</w:t>
      </w:r>
      <w:r>
        <w:rPr>
          <w:rFonts w:ascii="PT Astra Serif" w:hAnsi="PT Astra Serif"/>
          <w:sz w:val="20"/>
          <w:lang w:val="ru-RU"/>
        </w:rPr>
        <w:t xml:space="preserve"> </w:t>
      </w:r>
      <w:r>
        <w:rPr>
          <w:rFonts w:ascii="PT Astra Serif" w:hAnsi="PT Astra Serif"/>
          <w:sz w:val="20"/>
          <w:lang w:val="ru-RU"/>
        </w:rPr>
        <w:t xml:space="preserve">– </w:t>
      </w:r>
      <w:r>
        <w:rPr>
          <w:rFonts w:ascii="PT Astra Serif" w:hAnsi="PT Astra Serif"/>
          <w:sz w:val="20"/>
          <w:lang w:val="ru-RU"/>
        </w:rPr>
        <w:t xml:space="preserve">Удмуртская Республика, г. Ижевск</w:t>
      </w:r>
      <w:r>
        <w:rPr>
          <w:rFonts w:ascii="PT Astra Serif" w:hAnsi="PT Astra Serif"/>
          <w:sz w:val="20"/>
        </w:rPr>
        <w:t xml:space="preserve">.</w:t>
      </w:r>
      <w:r>
        <w:rPr>
          <w:rFonts w:ascii="PT Astra Serif" w:hAnsi="PT Astra Serif"/>
          <w:sz w:val="20"/>
        </w:rPr>
      </w:r>
      <w:r/>
    </w:p>
    <w:p>
      <w:pPr>
        <w:pStyle w:val="891"/>
        <w:ind w:left="0" w:right="-1" w:firstLine="567"/>
        <w:jc w:val="both"/>
      </w:pPr>
      <w:r>
        <w:rPr>
          <w:rFonts w:ascii="PT Astra Serif" w:hAnsi="PT Astra Serif"/>
          <w:sz w:val="20"/>
        </w:rPr>
      </w:r>
      <w:r>
        <w:rPr>
          <w:rFonts w:ascii="PT Astra Serif" w:hAnsi="PT Astra Serif"/>
          <w:sz w:val="20"/>
        </w:rPr>
      </w:r>
      <w:r/>
    </w:p>
    <w:p>
      <w:pPr>
        <w:pStyle w:val="891"/>
        <w:numPr>
          <w:ilvl w:val="0"/>
          <w:numId w:val="27"/>
        </w:numPr>
        <w:contextualSpacing/>
        <w:ind w:left="0" w:right="-1" w:firstLine="567"/>
        <w:jc w:val="both"/>
      </w:pPr>
      <w:r>
        <w:rPr>
          <w:rFonts w:ascii="PT Astra Serif" w:hAnsi="PT Astra Serif"/>
          <w:b/>
          <w:sz w:val="20"/>
        </w:rPr>
        <w:t xml:space="preserve">Сроки оказания услуг: </w:t>
      </w:r>
      <w:r>
        <w:rPr>
          <w:rFonts w:ascii="PT Astra Serif" w:hAnsi="PT Astra Serif"/>
          <w:sz w:val="20"/>
          <w:lang w:val="ru-RU"/>
        </w:rPr>
        <w:t xml:space="preserve">05.09.2026</w:t>
      </w:r>
      <w:r>
        <w:rPr>
          <w:rFonts w:ascii="PT Astra Serif" w:hAnsi="PT Astra Serif"/>
          <w:sz w:val="20"/>
          <w:lang w:val="ru-RU"/>
        </w:rPr>
        <w:t xml:space="preserve"> – </w:t>
      </w:r>
      <w:r>
        <w:rPr>
          <w:rFonts w:ascii="PT Astra Serif" w:hAnsi="PT Astra Serif"/>
          <w:sz w:val="20"/>
          <w:lang w:val="ru-RU"/>
        </w:rPr>
        <w:t xml:space="preserve">09.09.2026</w:t>
      </w:r>
      <w:r>
        <w:rPr>
          <w:rFonts w:ascii="PT Astra Serif" w:hAnsi="PT Astra Serif"/>
          <w:sz w:val="20"/>
        </w:rPr>
        <w:t xml:space="preserve"> с 10.00 до 19.00 часов, ежедневн</w:t>
      </w:r>
      <w:r>
        <w:rPr>
          <w:rFonts w:ascii="PT Astra Serif" w:hAnsi="PT Astra Serif"/>
          <w:sz w:val="20"/>
          <w:lang w:val="ru-RU"/>
        </w:rPr>
        <w:t xml:space="preserve">о. </w:t>
      </w:r>
      <w:r>
        <w:rPr>
          <w:rFonts w:ascii="PT Astra Serif" w:hAnsi="PT Astra Serif"/>
          <w:b/>
          <w:sz w:val="20"/>
        </w:rPr>
      </w:r>
      <w:r/>
    </w:p>
    <w:p>
      <w:pPr>
        <w:pStyle w:val="891"/>
        <w:ind w:left="0" w:right="-1" w:firstLine="567"/>
        <w:jc w:val="both"/>
      </w:pPr>
      <w:r>
        <w:rPr>
          <w:rFonts w:ascii="PT Astra Serif" w:hAnsi="PT Astra Serif"/>
          <w:b/>
          <w:color w:val="000000"/>
          <w:sz w:val="20"/>
        </w:rPr>
      </w:r>
      <w:r>
        <w:rPr>
          <w:rFonts w:ascii="PT Astra Serif" w:hAnsi="PT Astra Serif"/>
          <w:b/>
          <w:color w:val="000000"/>
          <w:sz w:val="20"/>
        </w:rPr>
      </w:r>
      <w:r/>
    </w:p>
    <w:p>
      <w:pPr>
        <w:pStyle w:val="891"/>
        <w:numPr>
          <w:ilvl w:val="0"/>
          <w:numId w:val="27"/>
        </w:numPr>
        <w:ind w:left="0" w:right="-1" w:firstLine="567"/>
        <w:jc w:val="both"/>
        <w:widowControl w:val="off"/>
        <w:tabs>
          <w:tab w:val="left" w:pos="709" w:leader="none"/>
        </w:tabs>
      </w:pPr>
      <w:r>
        <w:rPr>
          <w:rFonts w:ascii="PT Astra Serif" w:hAnsi="PT Astra Serif"/>
          <w:b/>
          <w:sz w:val="20"/>
        </w:rPr>
        <w:t xml:space="preserve">Перечень оказываемых услуг:</w:t>
      </w:r>
      <w:r>
        <w:rPr>
          <w:rFonts w:ascii="PT Astra Serif" w:hAnsi="PT Astra Serif"/>
          <w:b/>
          <w:sz w:val="20"/>
        </w:rPr>
      </w:r>
      <w:r/>
    </w:p>
    <w:p>
      <w:pPr>
        <w:pStyle w:val="891"/>
        <w:numPr>
          <w:ilvl w:val="0"/>
          <w:numId w:val="28"/>
        </w:numPr>
        <w:ind w:left="0" w:right="-1" w:firstLine="567"/>
        <w:jc w:val="both"/>
        <w:tabs>
          <w:tab w:val="left" w:pos="0" w:leader="none"/>
        </w:tabs>
      </w:pPr>
      <w:r>
        <w:rPr>
          <w:rFonts w:ascii="PT Astra Serif" w:hAnsi="PT Astra Serif"/>
          <w:sz w:val="20"/>
        </w:rPr>
        <w:t xml:space="preserve">предоставление в пользование помещений спортивного комплекса для судей,</w:t>
      </w:r>
      <w:r>
        <w:rPr>
          <w:rFonts w:ascii="PT Astra Serif" w:hAnsi="PT Astra Serif"/>
          <w:sz w:val="20"/>
          <w:lang w:val="ru-RU"/>
        </w:rPr>
        <w:t xml:space="preserve"> </w:t>
      </w:r>
      <w:r>
        <w:rPr>
          <w:rFonts w:ascii="PT Astra Serif" w:hAnsi="PT Astra Serif"/>
          <w:sz w:val="20"/>
        </w:rPr>
        <w:t xml:space="preserve">обслуживающего персонала, специалистов и технических работников;</w:t>
      </w:r>
      <w:r>
        <w:rPr>
          <w:rFonts w:ascii="PT Astra Serif" w:hAnsi="PT Astra Serif"/>
          <w:sz w:val="20"/>
        </w:rPr>
      </w:r>
      <w:r/>
    </w:p>
    <w:p>
      <w:pPr>
        <w:pStyle w:val="891"/>
        <w:numPr>
          <w:ilvl w:val="0"/>
          <w:numId w:val="28"/>
        </w:numPr>
        <w:ind w:left="0" w:right="-1" w:firstLine="567"/>
        <w:jc w:val="both"/>
        <w:tabs>
          <w:tab w:val="left" w:pos="0" w:leader="none"/>
        </w:tabs>
      </w:pPr>
      <w:r>
        <w:rPr>
          <w:rFonts w:ascii="PT Astra Serif" w:hAnsi="PT Astra Serif"/>
          <w:sz w:val="20"/>
        </w:rPr>
        <w:t xml:space="preserve">предоставление в пользование оргтехники (компьютер, принтер) на период проведения соревнований;</w:t>
      </w:r>
      <w:r>
        <w:rPr>
          <w:rFonts w:ascii="PT Astra Serif" w:hAnsi="PT Astra Serif"/>
          <w:sz w:val="20"/>
        </w:rPr>
      </w:r>
      <w:r/>
    </w:p>
    <w:p>
      <w:pPr>
        <w:pStyle w:val="891"/>
        <w:numPr>
          <w:ilvl w:val="0"/>
          <w:numId w:val="28"/>
        </w:numPr>
        <w:ind w:left="0" w:right="-1" w:firstLine="567"/>
        <w:jc w:val="both"/>
        <w:tabs>
          <w:tab w:val="left" w:pos="0" w:leader="none"/>
        </w:tabs>
      </w:pPr>
      <w:r>
        <w:rPr>
          <w:rFonts w:ascii="PT Astra Serif" w:hAnsi="PT Astra Serif"/>
          <w:sz w:val="20"/>
        </w:rPr>
        <w:t xml:space="preserve">предоставление электронного табло и сопутствующей аппаратуры для звукового информационного</w:t>
      </w:r>
      <w:r>
        <w:rPr>
          <w:rFonts w:ascii="PT Astra Serif" w:hAnsi="PT Astra Serif"/>
          <w:sz w:val="20"/>
          <w:lang w:val="ru-RU"/>
        </w:rPr>
        <w:t xml:space="preserve"> </w:t>
      </w:r>
      <w:r>
        <w:rPr>
          <w:rFonts w:ascii="PT Astra Serif" w:hAnsi="PT Astra Serif"/>
          <w:sz w:val="20"/>
        </w:rPr>
        <w:t xml:space="preserve">сопровождения соревнований;</w:t>
      </w:r>
      <w:r>
        <w:rPr>
          <w:rFonts w:ascii="PT Astra Serif" w:hAnsi="PT Astra Serif"/>
          <w:sz w:val="20"/>
        </w:rPr>
      </w:r>
      <w:r/>
    </w:p>
    <w:p>
      <w:pPr>
        <w:pStyle w:val="891"/>
        <w:numPr>
          <w:ilvl w:val="0"/>
          <w:numId w:val="28"/>
        </w:numPr>
        <w:ind w:left="0" w:right="-1" w:firstLine="567"/>
        <w:jc w:val="both"/>
        <w:tabs>
          <w:tab w:val="left" w:pos="0" w:leader="none"/>
        </w:tabs>
      </w:pPr>
      <w:r>
        <w:rPr>
          <w:rFonts w:ascii="PT Astra Serif" w:hAnsi="PT Astra Serif"/>
          <w:sz w:val="20"/>
        </w:rPr>
        <w:t xml:space="preserve">предоставление конференц-зала</w:t>
      </w:r>
      <w:r>
        <w:rPr>
          <w:rFonts w:ascii="PT Astra Serif" w:hAnsi="PT Astra Serif"/>
          <w:sz w:val="20"/>
          <w:lang w:val="ru-RU"/>
        </w:rPr>
        <w:t xml:space="preserve">;</w:t>
      </w:r>
      <w:r>
        <w:rPr>
          <w:rFonts w:ascii="PT Astra Serif" w:hAnsi="PT Astra Serif"/>
          <w:sz w:val="20"/>
        </w:rPr>
      </w:r>
      <w:r/>
    </w:p>
    <w:p>
      <w:pPr>
        <w:pStyle w:val="891"/>
        <w:numPr>
          <w:ilvl w:val="0"/>
          <w:numId w:val="28"/>
        </w:numPr>
        <w:ind w:left="0" w:right="-1" w:firstLine="567"/>
        <w:jc w:val="both"/>
        <w:tabs>
          <w:tab w:val="left" w:pos="0" w:leader="none"/>
        </w:tabs>
      </w:pPr>
      <w:r>
        <w:rPr>
          <w:rFonts w:ascii="PT Astra Serif" w:hAnsi="PT Astra Serif"/>
          <w:sz w:val="20"/>
          <w:lang w:val="ru-RU"/>
        </w:rPr>
        <w:t xml:space="preserve">аренда футбольного поля</w:t>
      </w:r>
      <w:r>
        <w:rPr>
          <w:rFonts w:ascii="PT Astra Serif" w:hAnsi="PT Astra Serif"/>
          <w:sz w:val="20"/>
          <w:lang w:val="ru-RU"/>
        </w:rPr>
        <w:t xml:space="preserve">.</w:t>
      </w:r>
      <w:r>
        <w:rPr>
          <w:rFonts w:ascii="PT Astra Serif" w:hAnsi="PT Astra Serif"/>
          <w:sz w:val="20"/>
        </w:rPr>
      </w:r>
      <w:r/>
    </w:p>
    <w:p>
      <w:pPr>
        <w:pStyle w:val="891"/>
        <w:ind w:left="0" w:right="-1"/>
        <w:jc w:val="both"/>
        <w:tabs>
          <w:tab w:val="left" w:pos="993" w:leader="none"/>
        </w:tabs>
      </w:pPr>
      <w:r>
        <w:rPr>
          <w:rFonts w:ascii="PT Astra Serif" w:hAnsi="PT Astra Serif"/>
          <w:sz w:val="20"/>
          <w:lang w:val="ru-RU"/>
        </w:rPr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numPr>
          <w:ilvl w:val="0"/>
          <w:numId w:val="27"/>
        </w:numPr>
        <w:ind w:left="0" w:right="-1" w:firstLine="567"/>
        <w:jc w:val="both"/>
      </w:pPr>
      <w:r>
        <w:rPr>
          <w:rFonts w:ascii="PT Astra Serif" w:hAnsi="PT Astra Serif"/>
          <w:b/>
          <w:sz w:val="20"/>
        </w:rPr>
        <w:t xml:space="preserve">Количество участников</w:t>
      </w:r>
      <w:r>
        <w:rPr>
          <w:rFonts w:ascii="PT Astra Serif" w:hAnsi="PT Astra Serif"/>
          <w:sz w:val="20"/>
        </w:rPr>
        <w:t xml:space="preserve"> </w:t>
      </w:r>
      <w:r>
        <w:rPr>
          <w:rFonts w:ascii="PT Astra Serif" w:hAnsi="PT Astra Serif"/>
          <w:sz w:val="20"/>
          <w:lang w:val="ru-RU"/>
        </w:rPr>
        <w:t xml:space="preserve">-</w:t>
      </w:r>
      <w:r>
        <w:rPr>
          <w:rFonts w:ascii="PT Astra Serif" w:hAnsi="PT Astra Serif"/>
          <w:sz w:val="20"/>
        </w:rPr>
        <w:t xml:space="preserve"> не более </w:t>
      </w:r>
      <w:r>
        <w:rPr>
          <w:rFonts w:ascii="PT Astra Serif" w:hAnsi="PT Astra Serif"/>
          <w:sz w:val="20"/>
          <w:lang w:val="ru-RU"/>
        </w:rPr>
        <w:t xml:space="preserve">3</w:t>
      </w:r>
      <w:r>
        <w:rPr>
          <w:rFonts w:ascii="PT Astra Serif" w:hAnsi="PT Astra Serif"/>
          <w:sz w:val="20"/>
          <w:lang w:val="ru-RU"/>
        </w:rPr>
        <w:t xml:space="preserve">00</w:t>
      </w:r>
      <w:r>
        <w:rPr>
          <w:rFonts w:ascii="PT Astra Serif" w:hAnsi="PT Astra Serif"/>
          <w:sz w:val="20"/>
        </w:rPr>
        <w:t xml:space="preserve"> человек.</w:t>
      </w:r>
      <w:r>
        <w:rPr>
          <w:rFonts w:ascii="PT Astra Serif" w:hAnsi="PT Astra Serif"/>
          <w:sz w:val="20"/>
        </w:rPr>
      </w:r>
      <w:r/>
    </w:p>
    <w:p>
      <w:pPr>
        <w:pStyle w:val="891"/>
        <w:ind w:left="0" w:right="-1" w:firstLine="567"/>
        <w:jc w:val="both"/>
        <w:tabs>
          <w:tab w:val="left" w:pos="1970" w:leader="none"/>
        </w:tabs>
      </w:pPr>
      <w:r>
        <w:rPr>
          <w:rFonts w:ascii="PT Astra Serif" w:hAnsi="PT Astra Serif"/>
          <w:sz w:val="20"/>
          <w:lang w:val="ru-RU"/>
        </w:rPr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numPr>
          <w:ilvl w:val="0"/>
          <w:numId w:val="27"/>
        </w:numPr>
        <w:ind w:left="0" w:right="-1" w:firstLine="567"/>
        <w:jc w:val="both"/>
        <w:widowControl w:val="off"/>
        <w:tabs>
          <w:tab w:val="left" w:pos="709" w:leader="none"/>
        </w:tabs>
      </w:pPr>
      <w:r>
        <w:rPr>
          <w:rFonts w:ascii="PT Astra Serif" w:hAnsi="PT Astra Serif"/>
          <w:b/>
          <w:sz w:val="20"/>
        </w:rPr>
        <w:t xml:space="preserve">Требования к оказываемым услугам:</w:t>
      </w:r>
      <w:r>
        <w:rPr>
          <w:rFonts w:ascii="PT Astra Serif" w:hAnsi="PT Astra Serif"/>
          <w:b/>
          <w:sz w:val="20"/>
        </w:rPr>
      </w:r>
      <w:r/>
    </w:p>
    <w:p>
      <w:pPr>
        <w:pStyle w:val="869"/>
        <w:ind w:right="-1" w:firstLine="567"/>
        <w:jc w:val="both"/>
      </w:pPr>
      <w:r>
        <w:rPr>
          <w:rFonts w:ascii="PT Astra Serif" w:hAnsi="PT Astra Serif"/>
          <w:sz w:val="20"/>
          <w:szCs w:val="20"/>
        </w:rPr>
        <w:t xml:space="preserve">Соревнования должны быть организованы и проведены в соответствии с </w:t>
      </w:r>
      <w:r>
        <w:rPr>
          <w:rFonts w:ascii="PT Astra Serif" w:hAnsi="PT Astra Serif"/>
          <w:sz w:val="20"/>
          <w:szCs w:val="20"/>
        </w:rPr>
        <w:t xml:space="preserve">Календарным планом всероссийских</w:t>
      </w:r>
      <w:r>
        <w:rPr>
          <w:rFonts w:ascii="PT Astra Serif" w:hAnsi="PT Astra Serif"/>
          <w:sz w:val="20"/>
          <w:szCs w:val="20"/>
        </w:rPr>
        <w:t xml:space="preserve">, международных спортивных и физкультурных мероприятий Общества «Динамо» 2026 года, официальными правилами вида спорта «футбол</w:t>
      </w:r>
      <w:r>
        <w:rPr>
          <w:rFonts w:ascii="PT Astra Serif" w:hAnsi="PT Astra Serif"/>
          <w:sz w:val="20"/>
          <w:szCs w:val="20"/>
        </w:rPr>
        <w:t xml:space="preserve">»</w:t>
      </w:r>
      <w:r>
        <w:rPr>
          <w:rFonts w:ascii="PT Astra Serif" w:hAnsi="PT Astra Serif"/>
          <w:sz w:val="20"/>
          <w:szCs w:val="20"/>
        </w:rPr>
        <w:t xml:space="preserve"> (спортивная дисциплина «мини-футбол»)</w:t>
      </w:r>
      <w:r>
        <w:rPr>
          <w:rFonts w:ascii="PT Astra Serif" w:hAnsi="PT Astra Serif"/>
          <w:sz w:val="20"/>
          <w:szCs w:val="20"/>
        </w:rPr>
        <w:t xml:space="preserve">, утвержденными приказом Мин</w:t>
      </w:r>
      <w:r>
        <w:rPr>
          <w:rFonts w:ascii="PT Astra Serif" w:hAnsi="PT Astra Serif"/>
          <w:sz w:val="20"/>
          <w:szCs w:val="20"/>
        </w:rPr>
        <w:t xml:space="preserve">истерства спорта Российской Федерации </w:t>
      </w:r>
      <w:r>
        <w:rPr>
          <w:rFonts w:ascii="PT Astra Serif" w:hAnsi="PT Astra Serif"/>
          <w:sz w:val="20"/>
          <w:szCs w:val="20"/>
        </w:rPr>
        <w:t xml:space="preserve">от </w:t>
      </w:r>
      <w:r>
        <w:rPr>
          <w:rFonts w:ascii="PT Astra Serif" w:hAnsi="PT Astra Serif"/>
          <w:sz w:val="20"/>
          <w:szCs w:val="20"/>
        </w:rPr>
        <w:t xml:space="preserve">22.07.2025</w:t>
      </w:r>
      <w:r>
        <w:rPr>
          <w:rFonts w:ascii="PT Astra Serif" w:hAnsi="PT Astra Serif"/>
          <w:sz w:val="20"/>
          <w:szCs w:val="20"/>
        </w:rPr>
        <w:t xml:space="preserve"> № </w:t>
      </w:r>
      <w:r>
        <w:rPr>
          <w:rFonts w:ascii="PT Astra Serif" w:hAnsi="PT Astra Serif"/>
          <w:sz w:val="20"/>
          <w:szCs w:val="20"/>
        </w:rPr>
        <w:t xml:space="preserve">589</w:t>
      </w:r>
      <w:r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 w:eastAsia="Calibri"/>
          <w:sz w:val="20"/>
          <w:szCs w:val="20"/>
        </w:rPr>
        <w:t xml:space="preserve">«Об утверждении правил вида спорта «</w:t>
      </w:r>
      <w:r>
        <w:rPr>
          <w:rFonts w:ascii="PT Astra Serif" w:hAnsi="PT Astra Serif" w:eastAsia="Calibri"/>
          <w:sz w:val="20"/>
          <w:szCs w:val="20"/>
        </w:rPr>
        <w:t xml:space="preserve">футбол</w:t>
      </w:r>
      <w:r>
        <w:rPr>
          <w:rFonts w:ascii="PT Astra Serif" w:hAnsi="PT Astra Serif" w:eastAsia="Calibri"/>
          <w:sz w:val="20"/>
          <w:szCs w:val="20"/>
        </w:rPr>
        <w:t xml:space="preserve">».</w:t>
      </w:r>
      <w:r>
        <w:rPr>
          <w:rFonts w:ascii="PT Astra Serif" w:hAnsi="PT Astra Serif" w:eastAsia="Calibri"/>
          <w:sz w:val="20"/>
          <w:szCs w:val="20"/>
        </w:rPr>
      </w:r>
      <w:r/>
    </w:p>
    <w:p>
      <w:pPr>
        <w:pStyle w:val="869"/>
        <w:ind w:right="-1" w:firstLine="567"/>
        <w:jc w:val="both"/>
      </w:pPr>
      <w:r>
        <w:rPr>
          <w:rFonts w:ascii="PT Astra Serif" w:hAnsi="PT Astra Serif"/>
          <w:sz w:val="20"/>
          <w:szCs w:val="20"/>
        </w:rPr>
        <w:t xml:space="preserve">Соревнования должны </w:t>
      </w:r>
      <w:r>
        <w:rPr>
          <w:rFonts w:ascii="PT Astra Serif" w:hAnsi="PT Astra Serif"/>
          <w:sz w:val="20"/>
          <w:szCs w:val="20"/>
        </w:rPr>
        <w:t xml:space="preserve">быть обеспечены скорой медицинской помощью 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</w:t>
      </w:r>
      <w:r>
        <w:rPr>
          <w:rFonts w:ascii="PT Astra Serif" w:hAnsi="PT Astra Serif"/>
          <w:sz w:val="20"/>
          <w:szCs w:val="20"/>
        </w:rPr>
        <w:br/>
      </w:r>
      <w:r>
        <w:rPr>
          <w:rFonts w:ascii="PT Astra Serif" w:hAnsi="PT Astra Serif"/>
          <w:sz w:val="20"/>
          <w:szCs w:val="20"/>
        </w:rPr>
        <w:t xml:space="preserve">(в том числе при подготовке и проведении физкультурных мероприятий и спортивных мероприятий).</w:t>
      </w:r>
      <w:r>
        <w:rPr>
          <w:rFonts w:ascii="PT Astra Serif" w:hAnsi="PT Astra Serif" w:eastAsia="Calibri"/>
          <w:sz w:val="20"/>
          <w:szCs w:val="20"/>
        </w:rPr>
      </w:r>
      <w:r/>
    </w:p>
    <w:p>
      <w:pPr>
        <w:pStyle w:val="891"/>
        <w:numPr>
          <w:ilvl w:val="0"/>
          <w:numId w:val="27"/>
        </w:numPr>
        <w:contextualSpacing/>
        <w:ind w:left="0" w:right="-1" w:firstLine="567"/>
        <w:jc w:val="both"/>
        <w:tabs>
          <w:tab w:val="left" w:pos="709" w:leader="none"/>
        </w:tabs>
      </w:pPr>
      <w:r>
        <w:rPr>
          <w:rFonts w:ascii="PT Astra Serif" w:hAnsi="PT Astra Serif"/>
          <w:b/>
          <w:color w:val="000000"/>
          <w:sz w:val="20"/>
        </w:rPr>
        <w:t xml:space="preserve">Требования к </w:t>
      </w:r>
      <w:r>
        <w:rPr>
          <w:rFonts w:ascii="PT Astra Serif" w:hAnsi="PT Astra Serif"/>
          <w:b/>
          <w:color w:val="000000"/>
          <w:sz w:val="20"/>
          <w:lang w:val="ru-RU"/>
        </w:rPr>
        <w:t xml:space="preserve">стадиону</w:t>
      </w:r>
      <w:r>
        <w:rPr>
          <w:rFonts w:ascii="PT Astra Serif" w:hAnsi="PT Astra Serif"/>
          <w:b/>
          <w:color w:val="000000"/>
          <w:sz w:val="20"/>
        </w:rPr>
        <w:t xml:space="preserve">:</w:t>
      </w:r>
      <w:r>
        <w:rPr>
          <w:rFonts w:ascii="PT Astra Serif" w:hAnsi="PT Astra Serif"/>
          <w:b/>
          <w:sz w:val="20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color w:val="000000"/>
          <w:sz w:val="20"/>
          <w:lang w:val="ru-RU"/>
        </w:rPr>
        <w:t xml:space="preserve">С</w:t>
      </w:r>
      <w:r>
        <w:rPr>
          <w:rFonts w:ascii="PT Astra Serif" w:hAnsi="PT Astra Serif"/>
          <w:color w:val="000000"/>
          <w:sz w:val="20"/>
          <w:lang w:val="ru-RU"/>
        </w:rPr>
        <w:t xml:space="preserve">тадион </w:t>
      </w:r>
      <w:r>
        <w:rPr>
          <w:rFonts w:ascii="PT Astra Serif" w:hAnsi="PT Astra Serif"/>
          <w:color w:val="000000"/>
          <w:sz w:val="20"/>
        </w:rPr>
        <w:t xml:space="preserve">должен:</w:t>
      </w:r>
      <w:r>
        <w:rPr>
          <w:rFonts w:ascii="PT Astra Serif" w:hAnsi="PT Astra Serif"/>
          <w:color w:val="000000"/>
          <w:sz w:val="20"/>
          <w:lang w:val="ru-RU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color w:val="000000"/>
          <w:sz w:val="20"/>
          <w:lang w:val="ru-RU"/>
        </w:rPr>
        <w:t xml:space="preserve">– </w:t>
      </w:r>
      <w:r>
        <w:rPr>
          <w:rFonts w:ascii="PT Astra Serif" w:hAnsi="PT Astra Serif"/>
          <w:sz w:val="20"/>
          <w:lang w:val="ru-RU"/>
        </w:rPr>
        <w:t xml:space="preserve">соответствовать требованиям соответствующих нормативных правовых актов, </w:t>
      </w:r>
      <w:r>
        <w:rPr>
          <w:rFonts w:ascii="PT Astra Serif" w:hAnsi="PT Astra Serif"/>
          <w:sz w:val="20"/>
          <w:lang w:val="ru-RU"/>
        </w:rPr>
        <w:t xml:space="preserve">действующих </w:t>
      </w:r>
      <w:r>
        <w:rPr>
          <w:rFonts w:ascii="PT Astra Serif" w:hAnsi="PT Astra Serif"/>
          <w:sz w:val="20"/>
          <w:lang w:val="ru-RU"/>
        </w:rPr>
        <w:br/>
      </w:r>
      <w:r>
        <w:rPr>
          <w:rFonts w:ascii="PT Astra Serif" w:hAnsi="PT Astra Serif"/>
          <w:sz w:val="20"/>
          <w:lang w:val="ru-RU"/>
        </w:rPr>
        <w:t xml:space="preserve">на территории Российской Федерации по вопросам обеспечения общественного порядка и безопасности участников и зрителей, а также отвечающих требованиям правил по видам спорта, включенных </w:t>
      </w:r>
      <w:r>
        <w:rPr>
          <w:rFonts w:ascii="PT Astra Serif" w:hAnsi="PT Astra Serif"/>
          <w:sz w:val="20"/>
          <w:lang w:val="ru-RU"/>
        </w:rPr>
        <w:br/>
      </w:r>
      <w:r>
        <w:rPr>
          <w:rFonts w:ascii="PT Astra Serif" w:hAnsi="PT Astra Serif"/>
          <w:sz w:val="20"/>
          <w:lang w:val="ru-RU"/>
        </w:rPr>
        <w:t xml:space="preserve">во Всероссийский реестр объектов спорта в соответствии с Федеральным законом от 04.12.2007 № 329-Ф3 "O физической культуре и спорте в Российской Федерации";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sz w:val="20"/>
          <w:lang w:val="ru-RU"/>
        </w:rPr>
        <w:t xml:space="preserve">– соответствовать требованиям противопожарной безопасности, санитарным</w:t>
      </w:r>
      <w:r>
        <w:rPr>
          <w:rFonts w:ascii="PT Astra Serif" w:hAnsi="PT Astra Serif"/>
          <w:sz w:val="20"/>
          <w:lang w:val="ru-RU"/>
        </w:rPr>
        <w:t xml:space="preserve"> </w:t>
      </w:r>
      <w:r>
        <w:rPr>
          <w:rFonts w:ascii="PT Astra Serif" w:hAnsi="PT Astra Serif"/>
          <w:sz w:val="20"/>
          <w:lang w:val="ru-RU"/>
        </w:rPr>
        <w:t xml:space="preserve">нормам, государственным стандартам, установленным действующим законодательством Российской Федерации </w:t>
      </w:r>
      <w:r>
        <w:rPr>
          <w:rFonts w:ascii="PT Astra Serif" w:hAnsi="PT Astra Serif"/>
          <w:sz w:val="20"/>
          <w:lang w:val="ru-RU"/>
        </w:rPr>
        <w:br/>
      </w:r>
      <w:r>
        <w:rPr>
          <w:rFonts w:ascii="PT Astra Serif" w:hAnsi="PT Astra Serif"/>
          <w:sz w:val="20"/>
          <w:lang w:val="ru-RU"/>
        </w:rPr>
        <w:t xml:space="preserve">к данному виду помещений и отвечать требованиям безопасности жизни и здоровья человека;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sz w:val="20"/>
          <w:lang w:val="ru-RU"/>
        </w:rPr>
        <w:t xml:space="preserve">– находиться у Исполнителя на праве собственности или ином вещевом праве;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sz w:val="20"/>
          <w:lang w:val="ru-RU"/>
        </w:rPr>
        <w:t xml:space="preserve">– стадион открытого типа с искусственным травяным покрытием;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sz w:val="20"/>
          <w:lang w:val="ru-RU"/>
        </w:rPr>
        <w:t xml:space="preserve">– иметь возможность размещения 4 спортивных площадок (длина </w:t>
      </w:r>
      <w:r>
        <w:rPr>
          <w:rFonts w:ascii="PT Astra Serif" w:hAnsi="PT Astra Serif"/>
          <w:sz w:val="20"/>
          <w:lang w:val="ru-RU"/>
        </w:rPr>
        <w:t xml:space="preserve">3</w:t>
      </w:r>
      <w:r>
        <w:rPr>
          <w:rFonts w:ascii="PT Astra Serif" w:hAnsi="PT Astra Serif"/>
          <w:sz w:val="20"/>
          <w:lang w:val="ru-RU"/>
        </w:rPr>
        <w:t xml:space="preserve">8-42 м, ширина 18-22 м), футбольные ворота размером 3м</w:t>
      </w:r>
      <w:r>
        <w:rPr>
          <w:rFonts w:ascii="PT Astra Serif" w:hAnsi="PT Astra Serif"/>
          <w:sz w:val="20"/>
          <w:lang w:val="ru-RU"/>
        </w:rPr>
        <w:t xml:space="preserve"> </w:t>
      </w:r>
      <w:r>
        <w:rPr>
          <w:rFonts w:ascii="PT Astra Serif" w:hAnsi="PT Astra Serif"/>
          <w:sz w:val="20"/>
          <w:lang w:val="ru-RU"/>
        </w:rPr>
        <w:t xml:space="preserve">х</w:t>
      </w:r>
      <w:r>
        <w:rPr>
          <w:rFonts w:ascii="PT Astra Serif" w:hAnsi="PT Astra Serif"/>
          <w:sz w:val="20"/>
          <w:lang w:val="ru-RU"/>
        </w:rPr>
        <w:t xml:space="preserve"> </w:t>
      </w:r>
      <w:r>
        <w:rPr>
          <w:rFonts w:ascii="PT Astra Serif" w:hAnsi="PT Astra Serif"/>
          <w:sz w:val="20"/>
          <w:lang w:val="ru-RU"/>
        </w:rPr>
        <w:t xml:space="preserve">2 м по 2 штуки на каждой спортивной площадке;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sz w:val="20"/>
          <w:lang w:val="ru-RU"/>
        </w:rPr>
        <w:t xml:space="preserve">– и</w:t>
      </w:r>
      <w:r>
        <w:rPr>
          <w:rFonts w:ascii="PT Astra Serif" w:hAnsi="PT Astra Serif"/>
          <w:sz w:val="20"/>
          <w:lang w:val="ru-RU"/>
        </w:rPr>
        <w:t xml:space="preserve">меть трибуны не менее чем на 20</w:t>
      </w:r>
      <w:r>
        <w:rPr>
          <w:rFonts w:ascii="PT Astra Serif" w:hAnsi="PT Astra Serif"/>
          <w:sz w:val="20"/>
          <w:lang w:val="ru-RU"/>
        </w:rPr>
        <w:t xml:space="preserve">0</w:t>
      </w:r>
      <w:r>
        <w:rPr>
          <w:rFonts w:ascii="PT Astra Serif" w:hAnsi="PT Astra Serif"/>
          <w:sz w:val="20"/>
          <w:lang w:val="ru-RU"/>
        </w:rPr>
        <w:t xml:space="preserve">0 посадочных мест;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sz w:val="20"/>
          <w:lang w:val="ru-RU"/>
        </w:rPr>
        <w:t xml:space="preserve">– </w:t>
      </w:r>
      <w:r>
        <w:rPr>
          <w:rFonts w:ascii="PT Astra Serif" w:hAnsi="PT Astra Serif"/>
          <w:sz w:val="20"/>
          <w:lang w:val="ru-RU"/>
        </w:rPr>
        <w:t xml:space="preserve">и</w:t>
      </w:r>
      <w:r>
        <w:rPr>
          <w:rFonts w:ascii="PT Astra Serif" w:hAnsi="PT Astra Serif"/>
          <w:sz w:val="20"/>
          <w:lang w:val="ru-RU"/>
        </w:rPr>
        <w:t xml:space="preserve">меть электронное табло;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sz w:val="20"/>
          <w:lang w:val="ru-RU"/>
        </w:rPr>
        <w:t xml:space="preserve">– </w:t>
      </w:r>
      <w:r>
        <w:rPr>
          <w:rFonts w:ascii="PT Astra Serif" w:hAnsi="PT Astra Serif"/>
          <w:sz w:val="20"/>
          <w:lang w:val="ru-RU"/>
        </w:rPr>
        <w:t xml:space="preserve">и</w:t>
      </w:r>
      <w:r>
        <w:rPr>
          <w:rFonts w:ascii="PT Astra Serif" w:hAnsi="PT Astra Serif"/>
          <w:sz w:val="20"/>
          <w:lang w:val="ru-RU"/>
        </w:rPr>
        <w:t xml:space="preserve">меть освещение стадиона;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sz w:val="20"/>
          <w:lang w:val="ru-RU"/>
        </w:rPr>
        <w:t xml:space="preserve">– </w:t>
      </w:r>
      <w:r>
        <w:rPr>
          <w:rFonts w:ascii="PT Astra Serif" w:hAnsi="PT Astra Serif"/>
          <w:sz w:val="20"/>
          <w:lang w:val="ru-RU"/>
        </w:rPr>
        <w:t xml:space="preserve">и</w:t>
      </w:r>
      <w:r>
        <w:rPr>
          <w:rFonts w:ascii="PT Astra Serif" w:hAnsi="PT Astra Serif"/>
          <w:sz w:val="20"/>
          <w:lang w:val="ru-RU"/>
        </w:rPr>
        <w:t xml:space="preserve">меть точку доступа Wi-Fi;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sz w:val="20"/>
          <w:lang w:val="ru-RU"/>
        </w:rPr>
        <w:t xml:space="preserve">– иметь возможность размещения судейской бригады в составе не менее 10 человек;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sz w:val="20"/>
          <w:lang w:val="ru-RU"/>
        </w:rPr>
        <w:t xml:space="preserve">– иметь зону ожидания не менее чем на 50 человек;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sz w:val="20"/>
          <w:lang w:val="ru-RU"/>
        </w:rPr>
        <w:t xml:space="preserve">– иметь кабинет для оказания первой медицинской помощи и средства оказания первой медицинской помощи;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sz w:val="20"/>
          <w:lang w:val="ru-RU"/>
        </w:rPr>
        <w:t xml:space="preserve">– иметь раздевальные помещения в количестве не мене 6 штук, каждое оборудовано санузлом, скамейками с вешалками;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widowControl w:val="off"/>
        <w:tabs>
          <w:tab w:val="left" w:pos="0" w:leader="none"/>
        </w:tabs>
      </w:pPr>
      <w:r>
        <w:rPr>
          <w:rFonts w:ascii="PT Astra Serif" w:hAnsi="PT Astra Serif"/>
          <w:sz w:val="20"/>
          <w:lang w:val="ru-RU"/>
        </w:rPr>
        <w:t xml:space="preserve">– места для подъезда автобусов.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tabs>
          <w:tab w:val="left" w:pos="993" w:leader="none"/>
        </w:tabs>
      </w:pPr>
      <w:r>
        <w:rPr>
          <w:rFonts w:ascii="PT Astra Serif" w:hAnsi="PT Astra Serif"/>
          <w:b/>
          <w:sz w:val="20"/>
          <w:lang w:val="ru-RU"/>
        </w:rPr>
      </w:r>
      <w:r>
        <w:rPr>
          <w:rFonts w:ascii="PT Astra Serif" w:hAnsi="PT Astra Serif"/>
          <w:b/>
          <w:sz w:val="20"/>
          <w:lang w:val="ru-RU"/>
        </w:rPr>
      </w:r>
      <w:r/>
    </w:p>
    <w:p>
      <w:pPr>
        <w:pStyle w:val="891"/>
        <w:numPr>
          <w:ilvl w:val="0"/>
          <w:numId w:val="27"/>
        </w:numPr>
        <w:contextualSpacing/>
        <w:ind w:left="0" w:right="-1" w:firstLine="567"/>
        <w:jc w:val="both"/>
        <w:tabs>
          <w:tab w:val="left" w:pos="709" w:leader="none"/>
          <w:tab w:val="left" w:pos="1134" w:leader="none"/>
        </w:tabs>
      </w:pPr>
      <w:r>
        <w:rPr>
          <w:rFonts w:ascii="PT Astra Serif" w:hAnsi="PT Astra Serif"/>
          <w:b/>
          <w:sz w:val="20"/>
        </w:rPr>
        <w:t xml:space="preserve">Требования к отчетной документации</w:t>
      </w:r>
      <w:r>
        <w:rPr>
          <w:rFonts w:ascii="PT Astra Serif" w:hAnsi="PT Astra Serif"/>
          <w:b/>
          <w:sz w:val="20"/>
        </w:rPr>
      </w:r>
      <w:r/>
    </w:p>
    <w:p>
      <w:pPr>
        <w:pStyle w:val="891"/>
        <w:ind w:left="0" w:right="-1" w:firstLine="567"/>
        <w:jc w:val="both"/>
        <w:tabs>
          <w:tab w:val="left" w:pos="709" w:leader="none"/>
          <w:tab w:val="left" w:pos="1134" w:leader="none"/>
        </w:tabs>
        <w:rPr>
          <w:rFonts w:ascii="PT Astra Serif" w:hAnsi="PT Astra Serif" w:eastAsia="Calibri"/>
          <w:b/>
          <w:bCs/>
          <w:color w:val="000000"/>
          <w:szCs w:val="20"/>
        </w:rPr>
      </w:pPr>
      <w:r>
        <w:rPr>
          <w:rFonts w:ascii="PT Astra Serif" w:hAnsi="PT Astra Serif"/>
          <w:sz w:val="20"/>
        </w:rPr>
        <w:t xml:space="preserve"> По окончании проведения мероприятия Исполнитель предоставляет Заказчику акт оказанных услуг </w:t>
      </w:r>
      <w:r>
        <w:rPr>
          <w:rFonts w:ascii="PT Astra Serif" w:hAnsi="PT Astra Serif"/>
          <w:sz w:val="20"/>
          <w:lang w:val="ru-RU"/>
        </w:rPr>
        <w:br/>
      </w:r>
      <w:r>
        <w:rPr>
          <w:rFonts w:ascii="PT Astra Serif" w:hAnsi="PT Astra Serif"/>
          <w:sz w:val="20"/>
        </w:rPr>
        <w:t xml:space="preserve">в 2-х экземплярах.  </w:t>
      </w:r>
      <w:r>
        <w:rPr>
          <w:rFonts w:ascii="PT Astra Serif" w:hAnsi="PT Astra Serif"/>
          <w:sz w:val="20"/>
          <w:lang w:val="ru-RU"/>
        </w:rPr>
      </w:r>
      <w:r/>
    </w:p>
    <w:p>
      <w:pPr>
        <w:pStyle w:val="891"/>
        <w:ind w:left="0" w:right="-1" w:firstLine="567"/>
        <w:jc w:val="both"/>
        <w:spacing w:after="0" w:line="240" w:lineRule="auto"/>
        <w:tabs>
          <w:tab w:val="left" w:pos="709" w:leader="none"/>
          <w:tab w:val="left" w:pos="1134" w:leader="none"/>
        </w:tabs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36"/>
        <w:gridCol w:w="4676"/>
      </w:tblGrid>
      <w:tr>
        <w:trPr>
          <w:trHeight w:val="1253"/>
        </w:trPr>
        <w:tc>
          <w:tcPr>
            <w:tcW w:w="5036" w:type="dxa"/>
            <w:vAlign w:val="top"/>
            <w:textDirection w:val="lrTb"/>
            <w:noWrap w:val="false"/>
          </w:tcPr>
          <w:p>
            <w:pPr>
              <w:pStyle w:val="869"/>
              <w:ind w:firstLine="567"/>
              <w:jc w:val="center"/>
              <w:keepNext/>
              <w:spacing w:after="0" w:line="240" w:lineRule="auto"/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ИСПОЛНИТЕЛЬ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»: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highlight w:val="none"/>
              </w:rPr>
            </w:r>
            <w:r/>
          </w:p>
          <w:p>
            <w:pPr>
              <w:ind w:firstLine="567"/>
              <w:jc w:val="center"/>
              <w:keepNext/>
              <w:spacing w:after="0" w:line="240" w:lineRule="auto"/>
            </w:pPr>
            <w:r>
              <w:rPr>
                <w:rFonts w:ascii="Times New Roman" w:hAnsi="Times New Roman" w:eastAsia="Calibri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/>
          </w:p>
          <w:p>
            <w:pPr>
              <w:pStyle w:val="912"/>
              <w:jc w:val="both"/>
              <w:rPr>
                <w:rFonts w:ascii="Times New Roman" w:hAnsi="Times New Roman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_______________/</w:t>
            </w:r>
            <w:r>
              <w:rPr>
                <w:rFonts w:ascii="Times New Roman" w:hAnsi="Times New Roman"/>
                <w:sz w:val="20"/>
                <w:szCs w:val="20"/>
                <w:u w:val="none"/>
                <w:lang w:eastAsia="ar-SA"/>
              </w:rPr>
              <w:t xml:space="preserve">_______________/</w:t>
            </w:r>
            <w:r>
              <w:rPr>
                <w:u w:val="none"/>
              </w:rPr>
            </w:r>
            <w:r/>
          </w:p>
          <w:p>
            <w:pPr>
              <w:pStyle w:val="912"/>
              <w:jc w:val="both"/>
              <w:rPr>
                <w:rFonts w:ascii="Times New Roman" w:hAnsi="Times New Roman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  <w:u w:val="single"/>
                <w:lang w:eastAsia="ar-SA"/>
              </w:rPr>
            </w:r>
            <w:r>
              <w:rPr>
                <w:rFonts w:ascii="Times New Roman" w:hAnsi="Times New Roman"/>
                <w:sz w:val="20"/>
                <w:szCs w:val="20"/>
                <w:highlight w:val="none"/>
                <w:u w:val="single"/>
                <w:lang w:eastAsia="ar-SA"/>
              </w:rPr>
            </w:r>
            <w:r/>
          </w:p>
          <w:p>
            <w:pPr>
              <w:pStyle w:val="892"/>
              <w:jc w:val="both"/>
              <w:keepNext/>
              <w:spacing w:before="0" w:beforeAutospacing="0" w:after="0" w:afterAutospacing="0"/>
              <w:shd w:val="clear" w:color="auto" w:fill="ffffff"/>
              <w:rPr>
                <w:rFonts w:ascii="Times New Roman" w:hAnsi="Times New Roman" w:eastAsia="Calibri" w:cs="Times New Roman"/>
                <w:highlight w:val="none"/>
                <w:u w:val="single"/>
                <w:lang w:eastAsia="ar-SA"/>
              </w:rPr>
            </w:pPr>
            <w:r>
              <w:rPr>
                <w:rFonts w:eastAsia="Calibri"/>
                <w:sz w:val="20"/>
                <w:szCs w:val="20"/>
                <w:lang w:eastAsia="ar-SA"/>
              </w:rPr>
            </w:r>
            <w:r>
              <w:rPr>
                <w:rFonts w:eastAsia="Calibri"/>
                <w:sz w:val="20"/>
                <w:szCs w:val="20"/>
                <w:lang w:eastAsia="ar-SA"/>
              </w:rPr>
            </w:r>
            <w:r/>
          </w:p>
        </w:tc>
        <w:tc>
          <w:tcPr>
            <w:tcW w:w="4676" w:type="dxa"/>
            <w:vAlign w:val="top"/>
            <w:textDirection w:val="lrTb"/>
            <w:noWrap w:val="false"/>
          </w:tcPr>
          <w:p>
            <w:pPr>
              <w:pStyle w:val="892"/>
              <w:ind w:firstLine="567"/>
              <w:jc w:val="center"/>
              <w:spacing w:before="0" w:beforeAutospacing="0" w:after="0" w:afterAutospacing="0"/>
              <w:shd w:val="clear" w:color="auto" w:fill="ffffff"/>
            </w:pPr>
            <w:r>
              <w:rPr>
                <w:rStyle w:val="893"/>
                <w:bCs/>
                <w:color w:val="000000"/>
                <w:sz w:val="20"/>
                <w:szCs w:val="20"/>
              </w:rPr>
              <w:t xml:space="preserve">«ЗАКАЗЧИК»:</w:t>
            </w:r>
            <w:r>
              <w:rPr>
                <w:rStyle w:val="893"/>
              </w:rPr>
            </w:r>
            <w:r/>
          </w:p>
          <w:p>
            <w:pPr>
              <w:pStyle w:val="869"/>
              <w:ind w:right="-2"/>
              <w:jc w:val="both"/>
              <w:spacing w:after="0" w:line="240" w:lineRule="auto"/>
              <w:widowControl w:val="off"/>
              <w:tabs>
                <w:tab w:val="center" w:pos="4677" w:leader="none"/>
                <w:tab w:val="right" w:pos="9355" w:leader="none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pStyle w:val="912"/>
              <w:jc w:val="both"/>
              <w:rPr>
                <w:u w:val="none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_______________/</w:t>
            </w:r>
            <w:r>
              <w:rPr>
                <w:rFonts w:ascii="Times New Roman" w:hAnsi="Times New Roman"/>
                <w:sz w:val="20"/>
                <w:szCs w:val="20"/>
                <w:u w:val="none"/>
                <w:lang w:eastAsia="ar-SA"/>
              </w:rPr>
              <w:t xml:space="preserve">__________________/</w:t>
            </w:r>
            <w:r>
              <w:rPr>
                <w:u w:val="none"/>
              </w:rPr>
            </w:r>
            <w:r/>
          </w:p>
          <w:p>
            <w:pPr>
              <w:pStyle w:val="869"/>
              <w:jc w:val="both"/>
              <w:keepNext/>
              <w:spacing w:after="0" w:line="240" w:lineRule="auto"/>
              <w:rPr>
                <w:rFonts w:ascii="Times New Roman" w:hAnsi="Times New Roman" w:cs="Times New Roman"/>
                <w:color w:val="000000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709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Verdana">
    <w:panose1 w:val="020B0606030504020204"/>
  </w:font>
  <w:font w:name="Segoe UI">
    <w:panose1 w:val="020B0502040504020204"/>
  </w:font>
  <w:font w:name="DejaVu Sans">
    <w:panose1 w:val="020B0603030804020204"/>
  </w:font>
  <w:font w:name="Cambria">
    <w:panose1 w:val="0204050305040603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2"/>
      </w:pPr>
      <w:r>
        <w:rPr>
          <w:rStyle w:val="854"/>
        </w:rPr>
        <w:footnoteRef/>
      </w:r>
      <w:r>
        <w:t xml:space="preserve"> </w:t>
      </w:r>
      <w:r/>
      <w:r>
        <w:rPr>
          <w:rFonts w:ascii="XO Thames" w:hAnsi="XO Thames" w:eastAsia="Calibri" w:cs="XO Thames"/>
          <w:i/>
          <w:sz w:val="16"/>
          <w:szCs w:val="16"/>
          <w:lang w:eastAsia="en-US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Р</w:t>
      </w:r>
      <w:r>
        <w:rPr>
          <w:rFonts w:ascii="XO Thames" w:hAnsi="XO Thames" w:eastAsia="Calibri" w:cs="XO Thames"/>
          <w:i/>
          <w:sz w:val="16"/>
          <w:szCs w:val="16"/>
          <w:lang w:eastAsia="en-US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</w:t>
      </w:r>
      <w:r/>
      <w:r/>
      <w:r/>
    </w:p>
  </w:footnote>
  <w:footnote w:id="3">
    <w:p>
      <w:pPr>
        <w:pStyle w:val="852"/>
      </w:pPr>
      <w:r>
        <w:rPr>
          <w:rStyle w:val="854"/>
        </w:rPr>
        <w:footnoteRef/>
      </w:r>
      <w:r>
        <w:t xml:space="preserve"> </w:t>
      </w:r>
      <w:r/>
      <w:r>
        <w:rPr>
          <w:rFonts w:ascii="XO Thames" w:hAnsi="XO Thames" w:cs="XO Thames"/>
          <w:sz w:val="16"/>
          <w:szCs w:val="16"/>
        </w:rPr>
        <w:t xml:space="preserve"> </w:t>
      </w:r>
      <w:r>
        <w:rPr>
          <w:rFonts w:ascii="XO Thames" w:hAnsi="XO Thames" w:cs="XO Thames"/>
          <w:i/>
          <w:color w:val="000000"/>
          <w:sz w:val="16"/>
          <w:szCs w:val="16"/>
        </w:rPr>
        <w:t xml:space="preserve">Если цена Контракта</w:t>
      </w:r>
      <w:r>
        <w:rPr>
          <w:rFonts w:ascii="XO Thames" w:hAnsi="XO Thames" w:cs="XO Thames"/>
          <w:i/>
          <w:sz w:val="16"/>
          <w:szCs w:val="16"/>
        </w:rPr>
        <w:t xml:space="preserve"> не облагается НДС – указать «НДС не облагается», в остальных случаях выделять ставку НДС и сумму цифрами и прописью.</w:t>
      </w:r>
      <w:r/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pStyle w:val="869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69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69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69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69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69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69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69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69"/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pStyle w:val="869"/>
        <w:ind w:left="360" w:hanging="360"/>
      </w:pPr>
    </w:lvl>
    <w:lvl w:ilvl="1">
      <w:start w:val="1"/>
      <w:numFmt w:val="decimal"/>
      <w:isLgl w:val="false"/>
      <w:suff w:val="space"/>
      <w:lvlText w:val="%1.%2."/>
      <w:lvlJc w:val="left"/>
      <w:pPr>
        <w:pStyle w:val="869"/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69"/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69"/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69"/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69"/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69"/>
        <w:ind w:left="108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69"/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69"/>
        <w:ind w:left="1440" w:hanging="144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6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6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6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6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6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6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6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6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69"/>
        <w:ind w:left="6480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pStyle w:val="86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6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6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6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6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6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6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6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69"/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pStyle w:val="869"/>
        <w:ind w:left="360" w:hanging="360"/>
      </w:pPr>
      <w:rPr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86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6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6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6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6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6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6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69"/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pStyle w:val="869"/>
        <w:ind w:left="360" w:hanging="360"/>
      </w:pPr>
    </w:lvl>
    <w:lvl w:ilvl="1">
      <w:start w:val="1"/>
      <w:numFmt w:val="decimal"/>
      <w:isLgl w:val="false"/>
      <w:suff w:val="space"/>
      <w:lvlText w:val="%1.%2."/>
      <w:lvlJc w:val="left"/>
      <w:pPr>
        <w:pStyle w:val="869"/>
        <w:ind w:left="432" w:hanging="432"/>
      </w:pPr>
      <w:rPr>
        <w:rFonts w:ascii="Times New Roman" w:hAnsi="Times New Roman" w:cs="Times New Roman"/>
        <w:b w:val="0"/>
        <w:color w:val="000000"/>
        <w:sz w:val="20"/>
        <w:szCs w:val="20"/>
      </w:rPr>
    </w:lvl>
    <w:lvl w:ilvl="2">
      <w:start w:val="1"/>
      <w:numFmt w:val="decimal"/>
      <w:isLgl w:val="false"/>
      <w:suff w:val="space"/>
      <w:lvlText w:val="%1.%2.%3."/>
      <w:lvlJc w:val="left"/>
      <w:pPr>
        <w:pStyle w:val="869"/>
        <w:ind w:left="2915" w:hanging="504"/>
      </w:pPr>
      <w:rPr>
        <w:b w:val="0"/>
        <w:sz w:val="20"/>
        <w:szCs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869"/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69"/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69"/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69"/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69"/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69"/>
        <w:ind w:left="4320" w:hanging="1440"/>
      </w:pPr>
    </w:lvl>
  </w:abstractNum>
  <w:abstractNum w:abstractNumId="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pStyle w:val="869"/>
        <w:ind w:left="720" w:hanging="360"/>
      </w:pPr>
      <w:rPr>
        <w:color w:val="000000"/>
      </w:rPr>
    </w:lvl>
    <w:lvl w:ilvl="1">
      <w:start w:val="1"/>
      <w:numFmt w:val="decimal"/>
      <w:isLgl w:val="false"/>
      <w:suff w:val="space"/>
      <w:lvlText w:val="%1.%2."/>
      <w:lvlJc w:val="left"/>
      <w:pPr>
        <w:pStyle w:val="869"/>
        <w:ind w:left="900" w:hanging="360"/>
      </w:pPr>
      <w:rPr>
        <w:rFonts w:eastAsia="Times New Roman" w:cs="Calibri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869"/>
        <w:ind w:left="1440" w:hanging="720"/>
      </w:pPr>
      <w:rPr>
        <w:rFonts w:eastAsia="Times New Roman" w:cs="Calibri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869"/>
        <w:ind w:left="1620" w:hanging="720"/>
      </w:pPr>
      <w:rPr>
        <w:rFonts w:eastAsia="Times New Roman" w:cs="Calibri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869"/>
        <w:ind w:left="2160" w:hanging="1080"/>
      </w:pPr>
      <w:rPr>
        <w:rFonts w:eastAsia="Times New Roman" w:cs="Calibri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869"/>
        <w:ind w:left="2340" w:hanging="1080"/>
      </w:pPr>
      <w:rPr>
        <w:rFonts w:eastAsia="Times New Roman" w:cs="Calibr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869"/>
        <w:ind w:left="2520" w:hanging="1080"/>
      </w:pPr>
      <w:rPr>
        <w:rFonts w:eastAsia="Times New Roman" w:cs="Calibr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69"/>
        <w:ind w:left="3060" w:hanging="1440"/>
      </w:pPr>
      <w:rPr>
        <w:rFonts w:eastAsia="Times New Roman" w:cs="Calibr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69"/>
        <w:ind w:left="3240" w:hanging="1440"/>
      </w:pPr>
      <w:rPr>
        <w:rFonts w:eastAsia="Times New Roman" w:cs="Calibri"/>
      </w:r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pStyle w:val="869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6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6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6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6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6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6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6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69"/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pStyle w:val="869"/>
        <w:ind w:left="786" w:hanging="360"/>
      </w:pPr>
      <w:rPr>
        <w:rFonts w:ascii="Symbol" w:hAnsi="Symbol"/>
        <w:b/>
      </w:rPr>
    </w:lvl>
    <w:lvl w:ilvl="1">
      <w:start w:val="1"/>
      <w:numFmt w:val="decimal"/>
      <w:isLgl w:val="false"/>
      <w:suff w:val="tab"/>
      <w:lvlText w:val="%1.%2."/>
      <w:lvlJc w:val="left"/>
      <w:pPr>
        <w:pStyle w:val="869"/>
        <w:ind w:left="1495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69"/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69"/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69"/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69"/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69"/>
        <w:ind w:left="186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69"/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69"/>
        <w:ind w:left="2226" w:hanging="180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869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69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69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69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69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69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69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69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69"/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pStyle w:val="869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69"/>
        <w:ind w:left="140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69"/>
        <w:ind w:left="212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69"/>
        <w:ind w:left="284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69"/>
        <w:ind w:left="356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69"/>
        <w:ind w:left="428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69"/>
        <w:ind w:left="500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69"/>
        <w:ind w:left="572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69"/>
        <w:ind w:left="6448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69"/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pStyle w:val="869"/>
        <w:ind w:left="1069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69"/>
        <w:ind w:left="1713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69"/>
        <w:ind w:left="212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69"/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69"/>
        <w:ind w:left="318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69"/>
        <w:ind w:left="38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69"/>
        <w:ind w:left="424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69"/>
        <w:ind w:left="4952" w:hanging="1800"/>
      </w:p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pStyle w:val="86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6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6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6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6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6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6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6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69"/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pStyle w:val="869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69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69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69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69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69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69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69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69"/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pStyle w:val="869"/>
        <w:ind w:left="786" w:hanging="360"/>
      </w:pPr>
      <w:rPr>
        <w:b/>
      </w:rPr>
    </w:lvl>
    <w:lvl w:ilvl="1">
      <w:start w:val="1"/>
      <w:numFmt w:val="decimal"/>
      <w:isLgl w:val="false"/>
      <w:suff w:val="space"/>
      <w:lvlText w:val="%1.%2."/>
      <w:lvlJc w:val="left"/>
      <w:pPr>
        <w:pStyle w:val="869"/>
        <w:ind w:left="1495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69"/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69"/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69"/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69"/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69"/>
        <w:ind w:left="186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69"/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69"/>
        <w:ind w:left="2226" w:hanging="1800"/>
      </w:pPr>
    </w:lvl>
  </w:abstractNum>
  <w:abstractNum w:abstractNumId="15">
    <w:multiLevelType w:val="hybridMultilevel"/>
    <w:lvl w:ilvl="0">
      <w:start w:val="2"/>
      <w:numFmt w:val="decimal"/>
      <w:isLgl w:val="false"/>
      <w:suff w:val="space"/>
      <w:lvlText w:val="%1."/>
      <w:lvlJc w:val="left"/>
      <w:pPr>
        <w:pStyle w:val="869"/>
        <w:ind w:left="360" w:hanging="360"/>
      </w:pPr>
    </w:lvl>
    <w:lvl w:ilvl="1">
      <w:start w:val="5"/>
      <w:numFmt w:val="decimal"/>
      <w:isLgl w:val="false"/>
      <w:suff w:val="space"/>
      <w:lvlText w:val="%1.%2."/>
      <w:lvlJc w:val="left"/>
      <w:pPr>
        <w:pStyle w:val="869"/>
        <w:ind w:left="360" w:hanging="360"/>
      </w:pPr>
      <w:rPr>
        <w:sz w:val="20"/>
        <w:szCs w:val="20"/>
      </w:rPr>
    </w:lvl>
    <w:lvl w:ilvl="2">
      <w:start w:val="1"/>
      <w:numFmt w:val="decimal"/>
      <w:isLgl w:val="false"/>
      <w:suff w:val="space"/>
      <w:lvlText w:val="%1.%2.%3."/>
      <w:lvlJc w:val="left"/>
      <w:pPr>
        <w:pStyle w:val="869"/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69"/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69"/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69"/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69"/>
        <w:ind w:left="108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69"/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69"/>
        <w:ind w:left="1440" w:hanging="1440"/>
      </w:pPr>
    </w:lvl>
  </w:abstractNum>
  <w:abstractNum w:abstractNumId="1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pStyle w:val="869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6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6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6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6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6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6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6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69"/>
        <w:ind w:left="6480" w:hanging="180"/>
      </w:p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pStyle w:val="86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6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6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6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6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6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6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6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69"/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pStyle w:val="869"/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69"/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69"/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69"/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69"/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69"/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69"/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69"/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69"/>
        <w:ind w:left="7188" w:hanging="360"/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69"/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69"/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69"/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69"/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69"/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69"/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69"/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69"/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69"/>
        <w:ind w:left="6120" w:hanging="180"/>
        <w:tabs>
          <w:tab w:val="num" w:pos="6120" w:leader="none"/>
        </w:tabs>
      </w:pPr>
    </w:lvl>
  </w:abstractNum>
  <w:abstractNum w:abstractNumId="20">
    <w:multiLevelType w:val="hybridMultilevel"/>
    <w:lvl w:ilvl="0">
      <w:start w:val="3"/>
      <w:numFmt w:val="decimal"/>
      <w:isLgl w:val="false"/>
      <w:suff w:val="space"/>
      <w:lvlText w:val="%1."/>
      <w:lvlJc w:val="left"/>
      <w:pPr>
        <w:pStyle w:val="869"/>
        <w:ind w:left="360" w:hanging="360"/>
      </w:pPr>
    </w:lvl>
    <w:lvl w:ilvl="1">
      <w:start w:val="1"/>
      <w:numFmt w:val="decimal"/>
      <w:isLgl w:val="false"/>
      <w:suff w:val="space"/>
      <w:lvlText w:val="%1.%2."/>
      <w:lvlJc w:val="left"/>
      <w:pPr>
        <w:pStyle w:val="869"/>
        <w:ind w:left="360" w:hanging="360"/>
      </w:pPr>
    </w:lvl>
    <w:lvl w:ilvl="2">
      <w:start w:val="1"/>
      <w:numFmt w:val="decimal"/>
      <w:isLgl w:val="false"/>
      <w:suff w:val="space"/>
      <w:lvlText w:val="%1.%2.%3."/>
      <w:lvlJc w:val="left"/>
      <w:pPr>
        <w:pStyle w:val="869"/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69"/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69"/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69"/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69"/>
        <w:ind w:left="108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69"/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69"/>
        <w:ind w:left="1440" w:hanging="144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869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69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69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69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69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69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69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69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69"/>
        <w:ind w:left="6480" w:hanging="360"/>
      </w:pPr>
      <w:rPr>
        <w:rFonts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pStyle w:val="869"/>
        <w:ind w:left="3905" w:hanging="360"/>
      </w:pPr>
      <w:rPr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869"/>
        <w:ind w:left="49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69"/>
        <w:ind w:left="5705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69"/>
        <w:ind w:left="64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69"/>
        <w:ind w:left="71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69"/>
        <w:ind w:left="7865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69"/>
        <w:ind w:left="85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69"/>
        <w:ind w:left="93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69"/>
        <w:ind w:left="10025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pStyle w:val="869"/>
        <w:ind w:left="360" w:hanging="360"/>
      </w:pPr>
      <w:rPr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86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6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6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6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6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6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6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69"/>
        <w:ind w:left="6480" w:hanging="180"/>
      </w:pPr>
    </w:lvl>
  </w:abstractNum>
  <w:abstractNum w:abstractNumId="2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869"/>
        <w:ind w:left="360" w:hanging="360"/>
        <w:tabs>
          <w:tab w:val="num" w:pos="360" w:leader="none"/>
        </w:tabs>
      </w:pPr>
      <w:rPr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86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6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6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6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6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6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6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69"/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space"/>
      <w:lvlText w:val=""/>
      <w:lvlJc w:val="center"/>
      <w:pPr>
        <w:pStyle w:val="869"/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69"/>
        <w:ind w:left="249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69"/>
        <w:ind w:left="321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69"/>
        <w:ind w:left="393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69"/>
        <w:ind w:left="465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69"/>
        <w:ind w:left="537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69"/>
        <w:ind w:left="609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69"/>
        <w:ind w:left="681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69"/>
        <w:ind w:left="7538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pStyle w:val="869"/>
        <w:ind w:left="786" w:hanging="360"/>
      </w:pPr>
      <w:rPr>
        <w:b/>
      </w:rPr>
    </w:lvl>
    <w:lvl w:ilvl="1">
      <w:start w:val="1"/>
      <w:numFmt w:val="decimal"/>
      <w:isLgl w:val="false"/>
      <w:suff w:val="space"/>
      <w:lvlText w:val="%1.%2."/>
      <w:lvlJc w:val="left"/>
      <w:pPr>
        <w:pStyle w:val="869"/>
        <w:ind w:left="1495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69"/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69"/>
        <w:ind w:left="1146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69"/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69"/>
        <w:ind w:left="1506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69"/>
        <w:ind w:left="186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69"/>
        <w:ind w:left="186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69"/>
        <w:ind w:left="2226" w:hanging="180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center"/>
      <w:pPr>
        <w:pStyle w:val="869"/>
        <w:ind w:left="631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69"/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69"/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69"/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69"/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69"/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69"/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69"/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69"/>
        <w:ind w:left="7188" w:hanging="360"/>
      </w:pPr>
      <w:rPr>
        <w:rFonts w:ascii="Wingdings" w:hAnsi="Wingdings"/>
      </w:r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24"/>
  </w:num>
  <w:num w:numId="5">
    <w:abstractNumId w:val="4"/>
  </w:num>
  <w:num w:numId="6">
    <w:abstractNumId w:val="5"/>
  </w:num>
  <w:num w:numId="7">
    <w:abstractNumId w:val="15"/>
  </w:num>
  <w:num w:numId="8">
    <w:abstractNumId w:val="20"/>
  </w:num>
  <w:num w:numId="9">
    <w:abstractNumId w:val="1"/>
  </w:num>
  <w:num w:numId="10">
    <w:abstractNumId w:val="21"/>
  </w:num>
  <w:num w:numId="11">
    <w:abstractNumId w:val="0"/>
  </w:num>
  <w:num w:numId="12">
    <w:abstractNumId w:val="13"/>
  </w:num>
  <w:num w:numId="13">
    <w:abstractNumId w:val="22"/>
  </w:num>
  <w:num w:numId="14">
    <w:abstractNumId w:val="12"/>
  </w:num>
  <w:num w:numId="15">
    <w:abstractNumId w:val="7"/>
  </w:num>
  <w:num w:numId="16">
    <w:abstractNumId w:val="10"/>
  </w:num>
  <w:num w:numId="17">
    <w:abstractNumId w:val="16"/>
  </w:num>
  <w:num w:numId="18">
    <w:abstractNumId w:val="2"/>
  </w:num>
  <w:num w:numId="19">
    <w:abstractNumId w:val="9"/>
  </w:num>
  <w:num w:numId="20">
    <w:abstractNumId w:val="23"/>
  </w:num>
  <w:num w:numId="21">
    <w:abstractNumId w:val="3"/>
  </w:num>
  <w:num w:numId="22">
    <w:abstractNumId w:val="17"/>
  </w:num>
  <w:num w:numId="23">
    <w:abstractNumId w:val="14"/>
  </w:num>
  <w:num w:numId="24">
    <w:abstractNumId w:val="25"/>
  </w:num>
  <w:num w:numId="25">
    <w:abstractNumId w:val="18"/>
  </w:num>
  <w:num w:numId="26">
    <w:abstractNumId w:val="8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basedOn w:val="869"/>
    <w:next w:val="869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3">
    <w:name w:val="Heading 1 Char"/>
    <w:link w:val="692"/>
    <w:uiPriority w:val="9"/>
    <w:rPr>
      <w:rFonts w:ascii="Arial" w:hAnsi="Arial" w:eastAsia="Arial" w:cs="Arial"/>
      <w:sz w:val="40"/>
      <w:szCs w:val="40"/>
    </w:rPr>
  </w:style>
  <w:style w:type="paragraph" w:styleId="694">
    <w:name w:val="Heading 2"/>
    <w:basedOn w:val="869"/>
    <w:next w:val="869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5">
    <w:name w:val="Heading 2 Char"/>
    <w:link w:val="694"/>
    <w:uiPriority w:val="9"/>
    <w:rPr>
      <w:rFonts w:ascii="Arial" w:hAnsi="Arial" w:eastAsia="Arial" w:cs="Arial"/>
      <w:sz w:val="34"/>
    </w:rPr>
  </w:style>
  <w:style w:type="paragraph" w:styleId="696">
    <w:name w:val="Heading 3"/>
    <w:basedOn w:val="869"/>
    <w:next w:val="869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7">
    <w:name w:val="Heading 3 Char"/>
    <w:link w:val="696"/>
    <w:uiPriority w:val="9"/>
    <w:rPr>
      <w:rFonts w:ascii="Arial" w:hAnsi="Arial" w:eastAsia="Arial" w:cs="Arial"/>
      <w:sz w:val="30"/>
      <w:szCs w:val="30"/>
    </w:rPr>
  </w:style>
  <w:style w:type="paragraph" w:styleId="698">
    <w:name w:val="Heading 4"/>
    <w:basedOn w:val="869"/>
    <w:next w:val="869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>
    <w:name w:val="Heading 4 Char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69"/>
    <w:next w:val="869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69"/>
    <w:next w:val="869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69"/>
    <w:next w:val="869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69"/>
    <w:next w:val="869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69"/>
    <w:next w:val="869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List Paragraph"/>
    <w:basedOn w:val="869"/>
    <w:uiPriority w:val="34"/>
    <w:qFormat/>
    <w:pPr>
      <w:contextualSpacing/>
      <w:ind w:left="720"/>
    </w:pPr>
  </w:style>
  <w:style w:type="paragraph" w:styleId="711">
    <w:name w:val="Title"/>
    <w:basedOn w:val="869"/>
    <w:next w:val="869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>
    <w:name w:val="Title Char"/>
    <w:link w:val="711"/>
    <w:uiPriority w:val="10"/>
    <w:rPr>
      <w:sz w:val="48"/>
      <w:szCs w:val="48"/>
    </w:rPr>
  </w:style>
  <w:style w:type="paragraph" w:styleId="713">
    <w:name w:val="Subtitle"/>
    <w:basedOn w:val="869"/>
    <w:next w:val="869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>
    <w:name w:val="Subtitle Char"/>
    <w:link w:val="713"/>
    <w:uiPriority w:val="11"/>
    <w:rPr>
      <w:sz w:val="24"/>
      <w:szCs w:val="24"/>
    </w:rPr>
  </w:style>
  <w:style w:type="paragraph" w:styleId="715">
    <w:name w:val="Quote"/>
    <w:basedOn w:val="869"/>
    <w:next w:val="869"/>
    <w:link w:val="716"/>
    <w:uiPriority w:val="29"/>
    <w:qFormat/>
    <w:pPr>
      <w:ind w:left="720" w:right="720"/>
    </w:pPr>
    <w:rPr>
      <w:i/>
    </w:rPr>
  </w:style>
  <w:style w:type="character" w:styleId="716">
    <w:name w:val="Quote Char"/>
    <w:link w:val="715"/>
    <w:uiPriority w:val="29"/>
    <w:rPr>
      <w:i/>
    </w:rPr>
  </w:style>
  <w:style w:type="paragraph" w:styleId="717">
    <w:name w:val="Intense Quote"/>
    <w:basedOn w:val="869"/>
    <w:next w:val="869"/>
    <w:link w:val="71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>
    <w:name w:val="Intense Quote Char"/>
    <w:link w:val="717"/>
    <w:uiPriority w:val="30"/>
    <w:rPr>
      <w:i/>
    </w:rPr>
  </w:style>
  <w:style w:type="paragraph" w:styleId="719">
    <w:name w:val="Header"/>
    <w:basedOn w:val="869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0">
    <w:name w:val="Header Char"/>
    <w:link w:val="719"/>
    <w:uiPriority w:val="99"/>
  </w:style>
  <w:style w:type="paragraph" w:styleId="721">
    <w:name w:val="Footer"/>
    <w:basedOn w:val="869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2">
    <w:name w:val="Footer Char"/>
    <w:link w:val="721"/>
    <w:uiPriority w:val="99"/>
  </w:style>
  <w:style w:type="paragraph" w:styleId="723">
    <w:name w:val="Caption"/>
    <w:basedOn w:val="869"/>
    <w:next w:val="8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723"/>
    <w:link w:val="721"/>
    <w:uiPriority w:val="99"/>
  </w:style>
  <w:style w:type="table" w:styleId="72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1">
    <w:name w:val="Hyperlink"/>
    <w:uiPriority w:val="99"/>
    <w:unhideWhenUsed/>
    <w:rPr>
      <w:color w:val="0000ff" w:themeColor="hyperlink"/>
      <w:u w:val="single"/>
    </w:rPr>
  </w:style>
  <w:style w:type="paragraph" w:styleId="852">
    <w:name w:val="footnote text"/>
    <w:basedOn w:val="869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>
    <w:name w:val="Footnote Text Char"/>
    <w:link w:val="852"/>
    <w:uiPriority w:val="99"/>
    <w:rPr>
      <w:sz w:val="18"/>
    </w:rPr>
  </w:style>
  <w:style w:type="character" w:styleId="854">
    <w:name w:val="footnote reference"/>
    <w:uiPriority w:val="99"/>
    <w:unhideWhenUsed/>
    <w:rPr>
      <w:vertAlign w:val="superscript"/>
    </w:rPr>
  </w:style>
  <w:style w:type="paragraph" w:styleId="855">
    <w:name w:val="endnote text"/>
    <w:basedOn w:val="869"/>
    <w:link w:val="856"/>
    <w:uiPriority w:val="99"/>
    <w:semiHidden/>
    <w:unhideWhenUsed/>
    <w:pPr>
      <w:spacing w:after="0" w:line="240" w:lineRule="auto"/>
    </w:pPr>
    <w:rPr>
      <w:sz w:val="20"/>
    </w:rPr>
  </w:style>
  <w:style w:type="character" w:styleId="856">
    <w:name w:val="Endnote Text Char"/>
    <w:link w:val="855"/>
    <w:uiPriority w:val="99"/>
    <w:rPr>
      <w:sz w:val="20"/>
    </w:rPr>
  </w:style>
  <w:style w:type="character" w:styleId="857">
    <w:name w:val="endnote reference"/>
    <w:uiPriority w:val="99"/>
    <w:semiHidden/>
    <w:unhideWhenUsed/>
    <w:rPr>
      <w:vertAlign w:val="superscript"/>
    </w:rPr>
  </w:style>
  <w:style w:type="paragraph" w:styleId="858">
    <w:name w:val="toc 1"/>
    <w:basedOn w:val="869"/>
    <w:next w:val="869"/>
    <w:uiPriority w:val="39"/>
    <w:unhideWhenUsed/>
    <w:pPr>
      <w:ind w:left="0" w:right="0" w:firstLine="0"/>
      <w:spacing w:after="57"/>
    </w:pPr>
  </w:style>
  <w:style w:type="paragraph" w:styleId="859">
    <w:name w:val="toc 2"/>
    <w:basedOn w:val="869"/>
    <w:next w:val="869"/>
    <w:uiPriority w:val="39"/>
    <w:unhideWhenUsed/>
    <w:pPr>
      <w:ind w:left="283" w:right="0" w:firstLine="0"/>
      <w:spacing w:after="57"/>
    </w:pPr>
  </w:style>
  <w:style w:type="paragraph" w:styleId="860">
    <w:name w:val="toc 3"/>
    <w:basedOn w:val="869"/>
    <w:next w:val="869"/>
    <w:uiPriority w:val="39"/>
    <w:unhideWhenUsed/>
    <w:pPr>
      <w:ind w:left="567" w:right="0" w:firstLine="0"/>
      <w:spacing w:after="57"/>
    </w:pPr>
  </w:style>
  <w:style w:type="paragraph" w:styleId="861">
    <w:name w:val="toc 4"/>
    <w:basedOn w:val="869"/>
    <w:next w:val="869"/>
    <w:uiPriority w:val="39"/>
    <w:unhideWhenUsed/>
    <w:pPr>
      <w:ind w:left="850" w:right="0" w:firstLine="0"/>
      <w:spacing w:after="57"/>
    </w:pPr>
  </w:style>
  <w:style w:type="paragraph" w:styleId="862">
    <w:name w:val="toc 5"/>
    <w:basedOn w:val="869"/>
    <w:next w:val="869"/>
    <w:uiPriority w:val="39"/>
    <w:unhideWhenUsed/>
    <w:pPr>
      <w:ind w:left="1134" w:right="0" w:firstLine="0"/>
      <w:spacing w:after="57"/>
    </w:pPr>
  </w:style>
  <w:style w:type="paragraph" w:styleId="863">
    <w:name w:val="toc 6"/>
    <w:basedOn w:val="869"/>
    <w:next w:val="869"/>
    <w:uiPriority w:val="39"/>
    <w:unhideWhenUsed/>
    <w:pPr>
      <w:ind w:left="1417" w:right="0" w:firstLine="0"/>
      <w:spacing w:after="57"/>
    </w:pPr>
  </w:style>
  <w:style w:type="paragraph" w:styleId="864">
    <w:name w:val="toc 7"/>
    <w:basedOn w:val="869"/>
    <w:next w:val="869"/>
    <w:uiPriority w:val="39"/>
    <w:unhideWhenUsed/>
    <w:pPr>
      <w:ind w:left="1701" w:right="0" w:firstLine="0"/>
      <w:spacing w:after="57"/>
    </w:pPr>
  </w:style>
  <w:style w:type="paragraph" w:styleId="865">
    <w:name w:val="toc 8"/>
    <w:basedOn w:val="869"/>
    <w:next w:val="869"/>
    <w:uiPriority w:val="39"/>
    <w:unhideWhenUsed/>
    <w:pPr>
      <w:ind w:left="1984" w:right="0" w:firstLine="0"/>
      <w:spacing w:after="57"/>
    </w:pPr>
  </w:style>
  <w:style w:type="paragraph" w:styleId="866">
    <w:name w:val="toc 9"/>
    <w:basedOn w:val="869"/>
    <w:next w:val="869"/>
    <w:uiPriority w:val="39"/>
    <w:unhideWhenUsed/>
    <w:pPr>
      <w:ind w:left="2268" w:right="0" w:firstLine="0"/>
      <w:spacing w:after="57"/>
    </w:pPr>
  </w:style>
  <w:style w:type="paragraph" w:styleId="867">
    <w:name w:val="TOC Heading"/>
    <w:uiPriority w:val="39"/>
    <w:unhideWhenUsed/>
  </w:style>
  <w:style w:type="paragraph" w:styleId="868">
    <w:name w:val="table of figures"/>
    <w:basedOn w:val="869"/>
    <w:next w:val="869"/>
    <w:uiPriority w:val="99"/>
    <w:unhideWhenUsed/>
    <w:pPr>
      <w:spacing w:after="0" w:afterAutospacing="0"/>
    </w:pPr>
  </w:style>
  <w:style w:type="paragraph" w:styleId="869" w:default="1">
    <w:name w:val="Normal"/>
    <w:next w:val="869"/>
    <w:link w:val="869"/>
    <w:qFormat/>
    <w:pPr>
      <w:spacing w:after="200" w:line="276" w:lineRule="auto"/>
    </w:pPr>
    <w:rPr>
      <w:rFonts w:eastAsia="Times New Roman" w:cs="Calibri"/>
      <w:sz w:val="22"/>
      <w:szCs w:val="22"/>
      <w:lang w:val="ru-RU" w:eastAsia="ar-SA" w:bidi="ar-SA"/>
    </w:rPr>
  </w:style>
  <w:style w:type="paragraph" w:styleId="870">
    <w:name w:val="Заголовок 1"/>
    <w:basedOn w:val="869"/>
    <w:next w:val="869"/>
    <w:link w:val="910"/>
    <w:uiPriority w:val="9"/>
    <w:qFormat/>
    <w:pPr>
      <w:keepNext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paragraph" w:styleId="871">
    <w:name w:val="Заголовок 3"/>
    <w:basedOn w:val="869"/>
    <w:next w:val="869"/>
    <w:link w:val="875"/>
    <w:qFormat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lang w:val="en-US"/>
    </w:rPr>
  </w:style>
  <w:style w:type="character" w:styleId="872">
    <w:name w:val="Основной шрифт абзаца"/>
    <w:next w:val="872"/>
    <w:link w:val="869"/>
    <w:uiPriority w:val="1"/>
    <w:unhideWhenUsed/>
  </w:style>
  <w:style w:type="table" w:styleId="873">
    <w:name w:val="Обычная таблица"/>
    <w:next w:val="873"/>
    <w:link w:val="869"/>
    <w:uiPriority w:val="99"/>
    <w:semiHidden/>
    <w:unhideWhenUsed/>
    <w:qFormat/>
    <w:tblPr/>
  </w:style>
  <w:style w:type="numbering" w:styleId="874">
    <w:name w:val="Нет списка"/>
    <w:next w:val="874"/>
    <w:link w:val="869"/>
    <w:uiPriority w:val="99"/>
    <w:semiHidden/>
    <w:unhideWhenUsed/>
  </w:style>
  <w:style w:type="character" w:styleId="875">
    <w:name w:val="Заголовок 3 Знак"/>
    <w:next w:val="875"/>
    <w:link w:val="871"/>
    <w:rPr>
      <w:rFonts w:ascii="Arial" w:hAnsi="Arial" w:eastAsia="Times New Roman" w:cs="Arial"/>
      <w:b/>
      <w:bCs/>
      <w:sz w:val="26"/>
      <w:szCs w:val="26"/>
      <w:lang w:eastAsia="ar-SA"/>
    </w:rPr>
  </w:style>
  <w:style w:type="character" w:styleId="876">
    <w:name w:val="Текст сноски Знак"/>
    <w:next w:val="876"/>
    <w:link w:val="877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7">
    <w:name w:val="Текст сноски"/>
    <w:basedOn w:val="869"/>
    <w:next w:val="877"/>
    <w:link w:val="876"/>
    <w:uiPriority w:val="99"/>
    <w:unhideWhenUsed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ru-RU"/>
    </w:rPr>
  </w:style>
  <w:style w:type="paragraph" w:styleId="878">
    <w:name w:val="Верхний колонтитул"/>
    <w:basedOn w:val="869"/>
    <w:next w:val="878"/>
    <w:link w:val="879"/>
    <w:uiPriority w:val="99"/>
    <w:unhideWhenUsed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cs="Times New Roman"/>
      <w:sz w:val="20"/>
      <w:szCs w:val="20"/>
      <w:lang w:val="en-US" w:eastAsia="ru-RU"/>
    </w:rPr>
  </w:style>
  <w:style w:type="character" w:styleId="879">
    <w:name w:val="Верхний колонтитул Знак"/>
    <w:next w:val="879"/>
    <w:link w:val="878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80">
    <w:name w:val="Основной текст"/>
    <w:basedOn w:val="869"/>
    <w:next w:val="880"/>
    <w:link w:val="881"/>
    <w:unhideWhenUsed/>
    <w:pPr>
      <w:spacing w:after="120"/>
    </w:pPr>
    <w:rPr>
      <w:rFonts w:cs="Times New Roman"/>
      <w:sz w:val="20"/>
      <w:szCs w:val="20"/>
      <w:lang w:val="en-US"/>
    </w:rPr>
  </w:style>
  <w:style w:type="character" w:styleId="881">
    <w:name w:val="Основной текст Знак"/>
    <w:next w:val="881"/>
    <w:link w:val="880"/>
    <w:rPr>
      <w:rFonts w:ascii="Calibri" w:hAnsi="Calibri" w:eastAsia="Times New Roman" w:cs="Calibri"/>
      <w:lang w:eastAsia="ar-SA"/>
    </w:rPr>
  </w:style>
  <w:style w:type="paragraph" w:styleId="882">
    <w:name w:val="Основной текст с отступом 3"/>
    <w:basedOn w:val="869"/>
    <w:next w:val="882"/>
    <w:link w:val="883"/>
    <w:uiPriority w:val="99"/>
    <w:semiHidden/>
    <w:unhideWhenUsed/>
    <w:pPr>
      <w:ind w:left="283"/>
      <w:spacing w:after="120"/>
    </w:pPr>
    <w:rPr>
      <w:rFonts w:cs="Times New Roman"/>
      <w:sz w:val="16"/>
      <w:szCs w:val="16"/>
      <w:lang w:val="en-US"/>
    </w:rPr>
  </w:style>
  <w:style w:type="character" w:styleId="883">
    <w:name w:val="Основной текст с отступом 3 Знак"/>
    <w:next w:val="883"/>
    <w:link w:val="882"/>
    <w:uiPriority w:val="99"/>
    <w:semiHidden/>
    <w:rPr>
      <w:rFonts w:ascii="Calibri" w:hAnsi="Calibri" w:eastAsia="Times New Roman" w:cs="Calibri"/>
      <w:sz w:val="16"/>
      <w:szCs w:val="16"/>
      <w:lang w:eastAsia="ar-SA"/>
    </w:rPr>
  </w:style>
  <w:style w:type="paragraph" w:styleId="884">
    <w:name w:val="Без интервала"/>
    <w:next w:val="884"/>
    <w:link w:val="911"/>
    <w:uiPriority w:val="1"/>
    <w:qFormat/>
    <w:rPr>
      <w:rFonts w:eastAsia="Times New Roman"/>
      <w:sz w:val="22"/>
      <w:szCs w:val="22"/>
      <w:lang w:bidi="ar-SA"/>
    </w:rPr>
  </w:style>
  <w:style w:type="paragraph" w:styleId="885">
    <w:name w:val="Обычный1"/>
    <w:next w:val="885"/>
    <w:link w:val="869"/>
    <w:uiPriority w:val="99"/>
    <w:pPr>
      <w:ind w:firstLine="720"/>
      <w:jc w:val="both"/>
      <w:spacing w:line="300" w:lineRule="auto"/>
      <w:widowControl w:val="off"/>
    </w:pPr>
    <w:rPr>
      <w:rFonts w:ascii="Times New Roman" w:hAnsi="Times New Roman" w:eastAsia="Times New Roman"/>
      <w:sz w:val="24"/>
      <w:lang w:val="ru-RU" w:eastAsia="ru-RU" w:bidi="ar-SA"/>
    </w:rPr>
  </w:style>
  <w:style w:type="character" w:styleId="886">
    <w:name w:val="Основной текст_"/>
    <w:next w:val="886"/>
    <w:link w:val="887"/>
    <w:rPr>
      <w:rFonts w:ascii="Times New Roman" w:hAnsi="Times New Roman" w:eastAsia="Times New Roman" w:cs="Times New Roman"/>
      <w:sz w:val="19"/>
      <w:szCs w:val="19"/>
      <w:shd w:val="clear" w:color="auto" w:fill="ffffff"/>
    </w:rPr>
  </w:style>
  <w:style w:type="paragraph" w:styleId="887">
    <w:name w:val="Основной текст4"/>
    <w:basedOn w:val="869"/>
    <w:next w:val="887"/>
    <w:link w:val="886"/>
    <w:pPr>
      <w:ind w:hanging="240"/>
      <w:spacing w:after="60" w:line="205" w:lineRule="exact"/>
      <w:shd w:val="clear" w:color="auto" w:fill="ffffff"/>
    </w:pPr>
    <w:rPr>
      <w:rFonts w:ascii="Times New Roman" w:hAnsi="Times New Roman" w:cs="Times New Roman"/>
      <w:sz w:val="19"/>
      <w:szCs w:val="19"/>
      <w:lang w:val="en-US" w:eastAsia="en-US"/>
    </w:rPr>
  </w:style>
  <w:style w:type="character" w:styleId="888">
    <w:name w:val="Не вступил в силу"/>
    <w:next w:val="888"/>
    <w:link w:val="869"/>
    <w:rPr>
      <w:rFonts w:ascii="Times New Roman" w:hAnsi="Times New Roman" w:cs="Times New Roman"/>
      <w:color w:val="008080"/>
      <w:sz w:val="20"/>
      <w:szCs w:val="20"/>
    </w:rPr>
  </w:style>
  <w:style w:type="table" w:styleId="889">
    <w:name w:val="Сетка таблицы"/>
    <w:basedOn w:val="873"/>
    <w:next w:val="889"/>
    <w:link w:val="869"/>
    <w:uiPriority w:val="59"/>
    <w:pPr>
      <w:spacing w:after="0" w:line="240" w:lineRule="auto"/>
    </w:pPr>
    <w:tblPr/>
  </w:style>
  <w:style w:type="paragraph" w:styleId="890">
    <w:name w:val="ConsPlusNormal"/>
    <w:next w:val="890"/>
    <w:link w:val="869"/>
    <w:rPr>
      <w:rFonts w:ascii="Arial" w:hAnsi="Arial" w:cs="Arial"/>
      <w:lang w:val="ru-RU" w:eastAsia="en-US" w:bidi="ar-SA"/>
    </w:rPr>
  </w:style>
  <w:style w:type="paragraph" w:styleId="891">
    <w:name w:val="Абзац списка"/>
    <w:basedOn w:val="869"/>
    <w:next w:val="891"/>
    <w:link w:val="904"/>
    <w:qFormat/>
    <w:pPr>
      <w:contextualSpacing/>
      <w:ind w:left="720"/>
    </w:pPr>
    <w:rPr>
      <w:rFonts w:cs="Times New Roman"/>
      <w:lang w:val="en-US"/>
    </w:rPr>
  </w:style>
  <w:style w:type="paragraph" w:styleId="892">
    <w:name w:val="p10"/>
    <w:basedOn w:val="869"/>
    <w:next w:val="892"/>
    <w:link w:val="8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893">
    <w:name w:val="s1"/>
    <w:basedOn w:val="872"/>
    <w:next w:val="893"/>
    <w:link w:val="869"/>
  </w:style>
  <w:style w:type="paragraph" w:styleId="894">
    <w:name w:val="p11"/>
    <w:basedOn w:val="869"/>
    <w:next w:val="894"/>
    <w:link w:val="8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895">
    <w:name w:val="ConsNormal"/>
    <w:next w:val="895"/>
    <w:link w:val="869"/>
    <w:pPr>
      <w:ind w:firstLine="720"/>
      <w:widowControl w:val="off"/>
    </w:pPr>
    <w:rPr>
      <w:rFonts w:ascii="Arial" w:hAnsi="Arial" w:eastAsia="Arial"/>
      <w:lang w:val="ru-RU" w:eastAsia="ru-RU" w:bidi="ar-SA"/>
    </w:rPr>
  </w:style>
  <w:style w:type="paragraph" w:styleId="896">
    <w:name w:val="Îñíîâíîé òåêñò ñ îòñòóïîì 31"/>
    <w:basedOn w:val="869"/>
    <w:next w:val="896"/>
    <w:link w:val="869"/>
    <w:pPr>
      <w:ind w:firstLine="567"/>
      <w:jc w:val="both"/>
      <w:spacing w:after="0" w:line="240" w:lineRule="auto"/>
      <w:widowControl w:val="off"/>
    </w:pPr>
    <w:rPr>
      <w:rFonts w:ascii="Times New Roman" w:hAnsi="Times New Roman" w:eastAsia="DejaVu Sans" w:cs="Times New Roman"/>
      <w:sz w:val="28"/>
      <w:szCs w:val="24"/>
      <w:lang w:eastAsia="ru-RU"/>
    </w:rPr>
  </w:style>
  <w:style w:type="character" w:styleId="897">
    <w:name w:val="Основной текст + Курсив,Интервал 0 pt3"/>
    <w:next w:val="897"/>
    <w:link w:val="869"/>
    <w:rPr>
      <w:rFonts w:ascii="Times New Roman" w:hAnsi="Times New Roman" w:eastAsia="Times New Roman" w:cs="Times New Roman"/>
      <w:i/>
      <w:iCs/>
      <w:spacing w:val="-2"/>
      <w:sz w:val="21"/>
      <w:szCs w:val="21"/>
      <w:u w:val="none"/>
      <w:shd w:val="clear" w:color="auto" w:fill="ffffff"/>
    </w:rPr>
  </w:style>
  <w:style w:type="paragraph" w:styleId="898">
    <w:name w:val="Normal1"/>
    <w:next w:val="898"/>
    <w:link w:val="869"/>
    <w:pPr>
      <w:widowControl w:val="off"/>
    </w:pPr>
    <w:rPr>
      <w:rFonts w:ascii="Arial" w:hAnsi="Arial" w:eastAsia="Times New Roman"/>
      <w:lang w:val="ru-RU" w:eastAsia="ru-RU" w:bidi="ar-SA"/>
    </w:rPr>
  </w:style>
  <w:style w:type="character" w:styleId="899">
    <w:name w:val="Гиперссылка"/>
    <w:next w:val="899"/>
    <w:link w:val="869"/>
    <w:rPr>
      <w:color w:val="0000ff"/>
      <w:u w:val="single"/>
    </w:rPr>
  </w:style>
  <w:style w:type="paragraph" w:styleId="900">
    <w:name w:val=" Знак Знак Знак1"/>
    <w:basedOn w:val="869"/>
    <w:next w:val="900"/>
    <w:link w:val="869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901">
    <w:name w:val="Текст выноски"/>
    <w:basedOn w:val="869"/>
    <w:next w:val="901"/>
    <w:link w:val="902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styleId="902">
    <w:name w:val="Текст выноски Знак"/>
    <w:next w:val="902"/>
    <w:link w:val="901"/>
    <w:uiPriority w:val="99"/>
    <w:semiHidden/>
    <w:rPr>
      <w:rFonts w:ascii="Segoe UI" w:hAnsi="Segoe UI" w:eastAsia="Times New Roman" w:cs="Segoe UI"/>
      <w:sz w:val="18"/>
      <w:szCs w:val="18"/>
      <w:lang w:eastAsia="ar-SA"/>
    </w:rPr>
  </w:style>
  <w:style w:type="character" w:styleId="903">
    <w:name w:val="Знак сноски"/>
    <w:next w:val="903"/>
    <w:link w:val="869"/>
    <w:rPr>
      <w:vertAlign w:val="superscript"/>
    </w:rPr>
  </w:style>
  <w:style w:type="character" w:styleId="904">
    <w:name w:val="Абзац списка Знак"/>
    <w:next w:val="904"/>
    <w:link w:val="891"/>
    <w:rPr>
      <w:rFonts w:eastAsia="Times New Roman" w:cs="Calibri"/>
      <w:sz w:val="22"/>
      <w:szCs w:val="22"/>
      <w:lang w:eastAsia="ar-SA"/>
    </w:rPr>
  </w:style>
  <w:style w:type="paragraph" w:styleId="905">
    <w:name w:val="Нижний колонтитул"/>
    <w:basedOn w:val="869"/>
    <w:next w:val="905"/>
    <w:link w:val="90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06">
    <w:name w:val="Нижний колонтитул Знак"/>
    <w:basedOn w:val="872"/>
    <w:next w:val="906"/>
    <w:link w:val="905"/>
    <w:uiPriority w:val="99"/>
    <w:semiHidden/>
    <w:rPr>
      <w:rFonts w:eastAsia="Times New Roman" w:cs="Calibri"/>
      <w:sz w:val="22"/>
      <w:szCs w:val="22"/>
      <w:lang w:eastAsia="ar-SA"/>
    </w:rPr>
  </w:style>
  <w:style w:type="paragraph" w:styleId="907">
    <w:name w:val="western"/>
    <w:basedOn w:val="869"/>
    <w:next w:val="907"/>
    <w:link w:val="869"/>
    <w:qFormat/>
    <w:pPr>
      <w:spacing w:beforeAutospacing="1" w:after="142" w:line="288" w:lineRule="auto"/>
    </w:pPr>
    <w:rPr>
      <w:rFonts w:cs="Times New Roman"/>
      <w:color w:val="00000a"/>
      <w:lang w:eastAsia="ru-RU"/>
    </w:rPr>
  </w:style>
  <w:style w:type="paragraph" w:styleId="908">
    <w:name w:val="Основной текст 3"/>
    <w:basedOn w:val="869"/>
    <w:next w:val="908"/>
    <w:link w:val="909"/>
    <w:uiPriority w:val="99"/>
    <w:semiHidden/>
    <w:unhideWhenUsed/>
    <w:pPr>
      <w:spacing w:after="120"/>
    </w:pPr>
    <w:rPr>
      <w:sz w:val="16"/>
      <w:szCs w:val="16"/>
    </w:rPr>
  </w:style>
  <w:style w:type="character" w:styleId="909">
    <w:name w:val="Основной текст 3 Знак"/>
    <w:basedOn w:val="872"/>
    <w:next w:val="909"/>
    <w:link w:val="908"/>
    <w:uiPriority w:val="99"/>
    <w:semiHidden/>
    <w:rPr>
      <w:rFonts w:eastAsia="Times New Roman" w:cs="Calibri"/>
      <w:sz w:val="16"/>
      <w:szCs w:val="16"/>
      <w:lang w:eastAsia="ar-SA"/>
    </w:rPr>
  </w:style>
  <w:style w:type="character" w:styleId="910">
    <w:name w:val="Заголовок 1 Знак"/>
    <w:basedOn w:val="872"/>
    <w:next w:val="910"/>
    <w:link w:val="870"/>
    <w:uiPriority w:val="9"/>
    <w:rPr>
      <w:rFonts w:ascii="Cambria" w:hAnsi="Cambria" w:eastAsia="Times New Roman" w:cs="Times New Roman"/>
      <w:b/>
      <w:bCs/>
      <w:sz w:val="32"/>
      <w:szCs w:val="32"/>
      <w:lang w:eastAsia="ar-SA"/>
    </w:rPr>
  </w:style>
  <w:style w:type="character" w:styleId="911">
    <w:name w:val="Без интервала Знак"/>
    <w:next w:val="911"/>
    <w:link w:val="884"/>
    <w:uiPriority w:val="1"/>
    <w:rPr>
      <w:rFonts w:eastAsia="Times New Roman"/>
      <w:sz w:val="22"/>
      <w:szCs w:val="22"/>
      <w:lang w:bidi="ar-SA"/>
    </w:rPr>
  </w:style>
  <w:style w:type="paragraph" w:styleId="912">
    <w:name w:val="No Spacing"/>
    <w:next w:val="912"/>
    <w:link w:val="869"/>
    <w:rPr>
      <w:rFonts w:eastAsia="Times New Roman"/>
      <w:sz w:val="22"/>
      <w:szCs w:val="22"/>
      <w:lang w:val="ru-RU" w:eastAsia="ru-RU" w:bidi="ar-SA"/>
    </w:rPr>
  </w:style>
  <w:style w:type="character" w:styleId="913" w:default="1">
    <w:name w:val="Default Paragraph Font"/>
    <w:uiPriority w:val="1"/>
    <w:semiHidden/>
    <w:unhideWhenUsed/>
  </w:style>
  <w:style w:type="numbering" w:styleId="914" w:default="1">
    <w:name w:val="No List"/>
    <w:uiPriority w:val="99"/>
    <w:semiHidden/>
    <w:unhideWhenUsed/>
  </w:style>
  <w:style w:type="table" w:styleId="91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WolfishLair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</dc:title>
  <dc:creator>Lena</dc:creator>
  <cp:revision>16</cp:revision>
  <dcterms:created xsi:type="dcterms:W3CDTF">2023-12-26T09:46:00Z</dcterms:created>
  <dcterms:modified xsi:type="dcterms:W3CDTF">2026-08-21T13:20:10Z</dcterms:modified>
  <cp:version>786432</cp:version>
</cp:coreProperties>
</file>