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Проект договора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ДОГОВОР ПОСТАВКИ № 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Сарапул</w:t>
        <w:tab/>
        <w:tab/>
        <w:tab/>
        <w:tab/>
        <w:tab/>
        <w:tab/>
        <w:tab/>
        <w:tab/>
        <w:tab/>
        <w:tab/>
        <w:t xml:space="preserve">                                        "___" __________ 2026 г.</w:t>
      </w:r>
      <w:bookmarkStart w:id="0" w:name="__DdeLink__11995_763210211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Федеральное бюджетное учреждение "Администрация Камского бассейна внутренних водных путей", именуемый в дальнейшем Покупатель, в лице начальника Нижне-Камского района водных путей и судоходства - филиала ФБУ "Администрация Камского бассейна внутренних водных путей" Мосина Артёма Юрьевича, действующего на основании доверенности от 29.12.2025 № 15-12-07, </w:t>
      </w:r>
      <w:bookmarkEnd w:id="0"/>
      <w:r>
        <w:rPr>
          <w:rFonts w:cs="Times New Roman" w:ascii="Times New Roman" w:hAnsi="Times New Roman"/>
        </w:rPr>
        <w:t xml:space="preserve">с одной стороны, </w:t>
      </w:r>
      <w:r>
        <w:rPr>
          <w:rFonts w:eastAsia="Times New Roman" w:cs="Times New Roman" w:ascii="Times New Roman" w:hAnsi="Times New Roman"/>
        </w:rPr>
        <w:t>и ________________, именуемое в дальнейшем "Поставщик", в лице ________________, действующего на основании ________, с другой стороны, с соблюдением требований Гражданского кодекса Российской Федерации, Федерального закона от 05.04.2013 N 44-ФЗ (объявление о закупке на ЕАТ.РФ № _______ от _____, Итоговый протокол закупочной сессии № ___ от __________)</w:t>
      </w:r>
      <w:r>
        <w:rPr>
          <w:rFonts w:cs="Times New Roman" w:ascii="Times New Roman" w:hAnsi="Times New Roman"/>
        </w:rPr>
        <w:t xml:space="preserve"> вместе именуемые "Стороны" и каждый в отдельности "Сторона",</w:t>
      </w:r>
      <w:r>
        <w:rPr>
          <w:rFonts w:eastAsia="Arial CYR" w:cs="Times New Roman" w:ascii="Times New Roman" w:hAnsi="Times New Roman"/>
        </w:rPr>
        <w:t xml:space="preserve"> заключили настоящий договор о нижеследующем:</w:t>
      </w:r>
    </w:p>
    <w:p>
      <w:pPr>
        <w:pStyle w:val="Normal"/>
        <w:numPr>
          <w:ilvl w:val="0"/>
          <w:numId w:val="2"/>
        </w:numPr>
        <w:tabs>
          <w:tab w:val="clear" w:pos="4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ПРЕДМЕТ ДОГОВОРА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Поставщик обязуется поставить Покупателю датчик-реле уровня жидкости поплавкового для теплоходов "Горлица" и "Мыс",  в количестве 3 шт.</w:t>
      </w:r>
      <w:r>
        <w:rPr>
          <w:rFonts w:eastAsia="Segoe UI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соответствии с Техническим заданием (Приложение №1 к настоящему договору) в обусловленный Договором срок, а Покупатель обязуется принять и оплатить этот Товар в порядке и сроки, установленные Договором.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Поставщик гарантирует, что на момент заключения Договора Товар в споре и под арестом не состоит, не является предметом залога и не обременён другими правами третьих лиц.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Качество товара должно соответствовать ГОСТ или ТУ на данный вид Продукции и подтверждаться сертификатом качества либо декларацией соответствия качества, выданным производителем.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</w:t>
      </w:r>
      <w:r>
        <w:rPr>
          <w:rFonts w:cs="Times New Roman" w:ascii="Times New Roman" w:hAnsi="Times New Roman"/>
          <w:b/>
          <w:bCs/>
        </w:rPr>
        <w:t>СРОКИ И ПОРЯДОК ПОСТАВКИ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2.1. Поставщик обязуется поставить Товар в течение 10 календарных дней с даты заключения договора.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Товар должен быть упакован надлежащим образом, обеспечивающим его сохранность при перевозке и хранении.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Покупатель обязан совершить все необходимые действия, обеспечивающие принятие Товара.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2.4. Место поставки: Удмуртская Республика, г. Сарапул, ж/р Котово, ул. Водников, 11.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2.5. Право собственности на Товар переходит к Покупателю с момента передачи Товара Покупателю.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</w:rPr>
        <w:t>2.6. Риск случайной гибели или случайного повреждения Товара переходит к Покупателю с момента передачи Товара Покупателю.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2.7. Качество и комплектность товара проверяются на соответствие требованиям, предусмотренным Договором. Количество товара проверяется на соответствие сведениям, указанным в сопроводительных документах, путем подсчета товарных единиц.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2.8. Для проверки качества товара представитель Покупателя проводит их визуальный осмотр и проверку работоспособности.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2.9. В случае выявления недостатков и несоответствий товара Стороны составляют акт о выявленных нарушениях.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2.10. При передаче товара ненадлежащего качества Поставщик обязан в течение 5 (пяти) рабочих дней с даты подписания Сторонами акта о выявленных нарушениях заменить этот товар товаром надлежащего качества либо устранить недостатки.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При замене товара его возврат осуществляется силами и за счет Поставщика. Покупатель обязан обеспечить Поставщику возможность вывоза такого товара.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2.11. В случае выявления существенных нарушений требований к качеству товара Поставщик должен в течение 5 (пяти) рабочих дней с момента подписания акта о выявленных нарушениях заменить товар ненадлежащего качества товаром, соответствующим Договору.</w:t>
      </w:r>
    </w:p>
    <w:p>
      <w:pPr>
        <w:pStyle w:val="ConsPlus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sz w:val="24"/>
        </w:rPr>
        <w:t>Существенным нарушением требований к качеству товара признается обнаружение неустранимых недостатков, недостатков, которые не могут быть устранены без несоразмерных расходов или затрат времени либо которые выявляются неоднократно или проявляются вновь после устранения, и других подобных недостатков (</w:t>
      </w:r>
      <w:r>
        <w:rPr>
          <w:rStyle w:val="-"/>
          <w:rFonts w:cs="Times New Roman" w:ascii="Times New Roman" w:hAnsi="Times New Roman"/>
          <w:color w:val="000000"/>
          <w:sz w:val="24"/>
          <w:u w:val="none"/>
        </w:rPr>
        <w:t>п. 2 ст. 475</w:t>
      </w:r>
      <w:r>
        <w:rPr>
          <w:rFonts w:cs="Times New Roman" w:ascii="Times New Roman" w:hAnsi="Times New Roman"/>
          <w:sz w:val="24"/>
        </w:rPr>
        <w:t xml:space="preserve"> ГК РФ).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3. ЦЕНА И ПОРЯДОК РАСЧЁТОВ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3.1. Сумма Договора составляет ___________ (______________________) рубля 00 копеек, в том числе НДС (при наличии).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Сумма Договора уплачивается после передачи Товара Покупателю, не позднее семи рабочих дней со дня подписания Сторонами товарной накладной.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Все расчёты по Договору производятся в безналичном порядке путём перечисления денежных средств на указанный в Договоре расчётный счёт Поставщика.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 Обязательство Покупателя по оплате считаются исполненным с момента списания денежных средств со счета Покупателя.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7"/>
        <w:tabs>
          <w:tab w:val="clear" w:pos="408"/>
          <w:tab w:val="left" w:pos="0" w:leader="none"/>
        </w:tabs>
        <w:autoSpaceDE w:val="false"/>
        <w:ind w:left="1440" w:right="0" w:hanging="0"/>
        <w:jc w:val="center"/>
        <w:rPr>
          <w:rFonts w:ascii="Times New Roman" w:hAnsi="Times New Roman" w:eastAsia="Calibri" w:cs="Times New Roman"/>
        </w:rPr>
      </w:pPr>
      <w:r>
        <w:rPr>
          <w:b/>
        </w:rPr>
        <w:t>4. КАЧЕСТВО И БЕЗОПАСНОСТЬ ТОВАРА</w:t>
      </w:r>
    </w:p>
    <w:p>
      <w:pPr>
        <w:pStyle w:val="Normal"/>
        <w:tabs>
          <w:tab w:val="clear" w:pos="408"/>
          <w:tab w:val="left" w:pos="284" w:leader="none"/>
        </w:tabs>
        <w:suppressAutoHyphens w:val="false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4.1. </w:t>
      </w:r>
      <w:r>
        <w:rPr>
          <w:rFonts w:eastAsia="Calibri" w:cs="Times New Roman" w:ascii="Times New Roman" w:hAnsi="Times New Roman"/>
          <w:bCs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законодательством Российской федерации.</w:t>
      </w:r>
    </w:p>
    <w:p>
      <w:pPr>
        <w:pStyle w:val="Normal"/>
        <w:shd w:fill="FFFFFF" w:val="clear"/>
        <w:suppressAutoHyphens w:val="false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4.2. Поставщиком устанавливается гарантийный срок, продолжительностью 12 </w:t>
      </w:r>
      <w:r>
        <w:rPr>
          <w:rFonts w:cs="Times New Roman" w:ascii="Times New Roman" w:hAnsi="Times New Roman"/>
        </w:rPr>
        <w:t xml:space="preserve">месяцев с даты подписания Покупателем документа о приемке Товаров. </w:t>
      </w:r>
      <w:r>
        <w:rPr>
          <w:rFonts w:eastAsia="Calibri" w:cs="Times New Roman" w:ascii="Times New Roman" w:hAnsi="Times New Roman"/>
        </w:rPr>
        <w:t>Гарантия распространяется на скрытые дефекты, выявленные в процессе эксплуатации товара.</w:t>
      </w:r>
    </w:p>
    <w:p>
      <w:pPr>
        <w:pStyle w:val="Normal"/>
        <w:shd w:fill="FFFFFF" w:val="clear"/>
        <w:suppressAutoHyphens w:val="false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4.3. Если в течение срока гарантийного срока обнаружатся недостатки, то они подлежат устранению силами и за счет средств Поставщика.</w:t>
      </w:r>
    </w:p>
    <w:p>
      <w:pPr>
        <w:pStyle w:val="Normal"/>
        <w:shd w:fill="FFFFFF" w:val="clear"/>
        <w:suppressAutoHyphens w:val="false"/>
        <w:jc w:val="both"/>
        <w:rPr>
          <w:rFonts w:eastAsia="Calibri"/>
          <w:bCs/>
        </w:rPr>
      </w:pPr>
      <w:r>
        <w:rPr>
          <w:rFonts w:eastAsia="Calibri" w:cs="Times New Roman" w:ascii="Times New Roman" w:hAnsi="Times New Roman"/>
        </w:rPr>
        <w:t>4.4. Покупатель</w:t>
      </w:r>
      <w:r>
        <w:rPr>
          <w:rFonts w:cs="Times New Roman" w:ascii="Times New Roman" w:hAnsi="Times New Roman"/>
        </w:rPr>
        <w:t xml:space="preserve">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 в соответствии с требованиями гражданского законодательства Российской Федерации</w:t>
      </w:r>
    </w:p>
    <w:p>
      <w:pPr>
        <w:pStyle w:val="Style27"/>
        <w:shd w:fill="FFFFFF" w:val="clear"/>
        <w:tabs>
          <w:tab w:val="clear" w:pos="408"/>
          <w:tab w:val="left" w:pos="284" w:leader="none"/>
        </w:tabs>
        <w:ind w:left="0" w:right="0" w:hanging="0"/>
        <w:jc w:val="both"/>
        <w:rPr>
          <w:rFonts w:ascii="Times New Roman" w:hAnsi="Times New Roman" w:cs="Times New Roman"/>
        </w:rPr>
      </w:pPr>
      <w:r>
        <w:rPr>
          <w:rFonts w:eastAsia="Calibri"/>
          <w:bCs/>
        </w:rPr>
        <w:t>4.5. При исполнении договора существенными нарушениями Поставщиком требований к качеству товара является поставка товара с неустранимыми недостатками, которые не могут быть устранены без несоразмерных расходов или затрат времени, или выявляющимися неоднократно вновь после их устранения, а также с другими подобными недостатками.</w:t>
      </w:r>
      <w:r>
        <w:rPr>
          <w:bCs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 </w:t>
      </w:r>
      <w:r>
        <w:rPr>
          <w:rFonts w:cs="Times New Roman" w:ascii="Times New Roman" w:hAnsi="Times New Roman"/>
          <w:b/>
          <w:bCs/>
        </w:rPr>
        <w:t>ОТВЕТСТВЕННОСТЬ СТОРОН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За нарушение сроков оплаты, предусмотренных Договором, Поставщик вправе требовать с Покупателя уплаты неустойки (пеней) в размере 1\300 ключевой ставки Банка России от неуплаченной суммы за каждый день просрочки.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За нарушение сроков поставки Товара Покупатель вправе требовать с Поставщика уплаты неустойки (пени) в размере 1\300 ключевой ставки Банка России от стоимости не поставленного в срок Товара за каждый день просрочки.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Сторона, не исполнившая или ненадлежащим образом исполнившая обязательства по Договору, обязана возместить другой Стороне причинённые такими нарушениями убытки.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 </w:t>
      </w:r>
      <w:r>
        <w:rPr>
          <w:rFonts w:cs="Times New Roman" w:ascii="Times New Roman" w:hAnsi="Times New Roman"/>
          <w:b/>
          <w:bCs/>
        </w:rPr>
        <w:t>ОБСТОЯТЕЛЬСТВА НЕПРЕОДОЛИМОЙ СИЛЫ (ФОРС-МАЖОР)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 предотвратимых при данных условиях обстоятельств.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В случае наступления этих обстоятельств Сторона обязана в течение трёх рабочих дней уведомить об этом другую Сторону.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 Если обстоятельства непреодолимой силы продолжают действовать более 10 дней, то каждая Сторона вправе отказаться от Договора в одностороннем порядке.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</w:t>
      </w:r>
      <w:r>
        <w:rPr>
          <w:rFonts w:cs="Times New Roman" w:ascii="Times New Roman" w:hAnsi="Times New Roman"/>
          <w:b/>
          <w:bCs/>
        </w:rPr>
        <w:t>СРОК ДЕЙСТВИЯ, ИЗМЕНЕНИЕ И ДОСРОЧНОЕ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7.3. Договор вступает в силу со дня его заключения и действует до полного исполнения сторонами своих обязательств по договору.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 </w:t>
      </w:r>
      <w:r>
        <w:rPr>
          <w:rFonts w:cs="Times New Roman" w:ascii="Times New Roman" w:hAnsi="Times New Roman"/>
          <w:b/>
          <w:bCs/>
        </w:rPr>
        <w:t>РАЗРЕШЕНИЕ СПОРОВ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Все споры, связанные с заключением, исполнением, толкованием, изменением и расторжением Договора, Стороны будут разрешать путём переговоров.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 В случае не достижения соглашения путём переговоров заинтересованная Сторона направляет в письменной форме претензию, подписанную уполномоченным лицом.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Претензия направляется любым из следующих способов: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заказным письмом с уведомлением о вручении;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курьерской доставкой. В этом случае факт получения претензии должен подтверждаться распиской Стороны в её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её подписало, то она считается не предъявленной и рассмотрению не подлежит.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8.4. Сторона, в адрес которой направлена претензия, обязана её рассмотреть и о результатах уведомить в письменной форме другую Сторону в течение семи рабочих дней со дня получения претензии.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8.5. В случае если спор не урегулирован в претензионном порядке или ответ на претензию не получен в течение указанного срока, спор в соответствии со ст. 35 АПК РФ передаётся в арбитражный суд Удмуртской Республики.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 </w:t>
      </w:r>
      <w:r>
        <w:rPr>
          <w:rFonts w:cs="Times New Roman" w:ascii="Times New Roman" w:hAnsi="Times New Roman"/>
          <w:b/>
          <w:bCs/>
        </w:rPr>
        <w:t>ЗАКЛЮЧИТЕЛЬНЫЕ ПОЛОЖЕНИЯ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9.1. Договор составлен в двух экземплярах, по одному для каждой из Сторон.</w:t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10. </w:t>
      </w:r>
      <w:r>
        <w:rPr>
          <w:rFonts w:cs="Times New Roman" w:ascii="Times New Roman" w:hAnsi="Times New Roman"/>
          <w:b/>
          <w:bCs/>
          <w:sz w:val="20"/>
          <w:szCs w:val="20"/>
        </w:rPr>
        <w:t>АДРЕСА, РЕКВИЗИТЫ И ПОДПИСИ СТОРОН</w:t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5279"/>
      </w:tblGrid>
      <w:tr>
        <w:trPr>
          <w:trHeight w:val="138" w:hRule="atLeast"/>
        </w:trPr>
        <w:tc>
          <w:tcPr>
            <w:tcW w:w="492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Покупатель: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Федеральное бюджетное учреждение «Администрация Камского бассейна внутренних водных путей» (сокращенно ФБУ «Администрация «Камводпуть»)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Юридический адрес: 614015 г. Пермь, ул. Советская,20-а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Получатель и плательщик: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Нижне – Камский район водных путей и судоходства – филиал ФБУ «Администрация Камского бассейна внутренних водных путей (сокращенно НКРВПС)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Фактический адрес и почтовый адрес: 427960, Удмуртская Республика, г. Сарапул, ул. Оползина, 8а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ИНН/КПП 5902290191/182702001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Тел./факс: (341-47) 4-18-93; 4-19-93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Получатель: УФК по Нижегородской области (НКРВПС л/с 20136Х86880)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Казначейский счет 03214643000000013239 в ОКЦ № 1 ВВГУ БАНКА РОССИИ//УФК по Нижегородской области, г. Нижний Новгород, БИК 012202102,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к/с 40102810745370000024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Начальник филиала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  <w:t>____________________ /А.Ю. Мосин</w:t>
            </w:r>
          </w:p>
          <w:p>
            <w:pPr>
              <w:pStyle w:val="Style25"/>
              <w:widowControl w:val="false"/>
              <w:spacing w:before="0" w:after="0"/>
              <w:ind w:left="0" w:right="0" w:hanging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5279" w:type="dxa"/>
            <w:tcBorders/>
          </w:tcPr>
          <w:p>
            <w:pPr>
              <w:pStyle w:val="Style15"/>
              <w:spacing w:lineRule="auto" w:line="240" w:before="0" w:after="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Поставщик: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______________/__________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Приложение № 1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 _____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"__"___________2026г.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Техническое задание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поставку  датчика-реле уровня жидкости поплавкового для теплоходов «Горлица», "Мыс"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Общие требования: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ab/>
        <w:t>1.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и сопровождаться соответствующими документами, оформленными в соответствии с законодательством Российской Федерации, подтверждающими качество Товара.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ab/>
        <w:t>2. Поставляемый Товар должен быть новым Товаром, то есть Товаром, который не был в употреблении, не прошел ремонт, в том числе восстановление,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ab/>
        <w:t>3.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ar-SA"/>
        </w:rPr>
        <w:t>Товар не должен содержать токсичных материалов, приносящих вред людям и окружающей среде, и не должен требовать специальной утилизации.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none"/>
        </w:rPr>
        <w:tab/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Условия поставки товара: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п</w:t>
      </w:r>
      <w:r>
        <w:rPr>
          <w:rFonts w:cs="Times New Roman" w:ascii="Times New Roman" w:hAnsi="Times New Roman"/>
          <w:sz w:val="24"/>
          <w:szCs w:val="24"/>
        </w:rPr>
        <w:t>оставка товара должна осуществляться на склад Заказчика по адресу: Удмуртская Республика, г.Сарапул, ж/р Котово, ул. Водников, 11, силами и за счёт Поставщика. Поставка товара производится в течении 10 календарных дней с момента подписания договора.</w:t>
      </w:r>
      <w:r>
        <w:rPr>
          <w:rFonts w:cs="Times New Roman" w:ascii="Times New Roman" w:hAnsi="Times New Roman"/>
          <w:b/>
          <w:bCs/>
          <w:sz w:val="24"/>
          <w:szCs w:val="24"/>
        </w:rPr>
        <w:tab/>
      </w:r>
    </w:p>
    <w:p>
      <w:pPr>
        <w:pStyle w:val="Normal"/>
        <w:spacing w:lineRule="exact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  </w:t>
      </w:r>
    </w:p>
    <w:p>
      <w:pPr>
        <w:pStyle w:val="Normal"/>
        <w:spacing w:lineRule="exact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>Требования к качеству, техническим и функциональным характеристикам (потребительским свойствам) товара:</w:t>
      </w:r>
    </w:p>
    <w:tbl>
      <w:tblPr>
        <w:tblW w:w="9638" w:type="dxa"/>
        <w:jc w:val="left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2"/>
        <w:gridCol w:w="1897"/>
        <w:gridCol w:w="3347"/>
        <w:gridCol w:w="2606"/>
        <w:gridCol w:w="787"/>
        <w:gridCol w:w="629"/>
      </w:tblGrid>
      <w:tr>
        <w:trPr/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Обоснование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Ед.изм.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>
          <w:trHeight w:val="89" w:hRule="atLeast"/>
        </w:trPr>
        <w:tc>
          <w:tcPr>
            <w:tcW w:w="3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"/>
              <w:widowControl w:val="false"/>
              <w:numPr>
                <w:ilvl w:val="0"/>
                <w:numId w:val="1"/>
              </w:numPr>
              <w:tabs>
                <w:tab w:val="clear" w:pos="0"/>
              </w:tabs>
              <w:spacing w:lineRule="auto" w:line="240" w:before="240" w:after="12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Датчик-реле уровня жидкости поплавковый</w:t>
            </w:r>
          </w:p>
          <w:p>
            <w:pPr>
              <w:pStyle w:val="Style21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940" cy="662940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5" t="-35" r="-35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1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1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Модель: ДРУ-1ПМ-СКБ (220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V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V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РУ=0,8МПа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r>
          </w:p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Предназначен для </w:t>
            </w:r>
            <w:r>
              <w:rPr>
                <w:rStyle w:val="Style13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контроля верхнего или нижнего уровня жидких сред</w:t>
            </w:r>
            <w:r>
              <w:rPr>
                <w:rFonts w:cs="Times New Roman" w:ascii="Times New Roman" w:hAnsi="Times New Roman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в различных системах автоматизации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теплохода «Горлица»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23" w:hRule="atLeast"/>
        </w:trPr>
        <w:tc>
          <w:tcPr>
            <w:tcW w:w="37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/>
              <w:spacing w:lineRule="atLeast" w:line="330" w:before="0" w:after="12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Тип: стационарный</w:t>
            </w:r>
          </w:p>
        </w:tc>
        <w:tc>
          <w:tcPr>
            <w:tcW w:w="260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37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/>
              <w:spacing w:lineRule="atLeast" w:line="330" w:before="0" w:after="120"/>
              <w:ind w:left="0" w:right="0" w:hanging="0"/>
              <w:jc w:val="left"/>
              <w:rPr>
                <w:rFonts w:ascii="Times New Roman" w:hAnsi="Times New Roman" w:eastAsia="Liberation Serif;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Liberation Serif;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Материал изготовления: сталь 12Х18Н10Т, резина</w:t>
            </w:r>
          </w:p>
        </w:tc>
        <w:tc>
          <w:tcPr>
            <w:tcW w:w="260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37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Комплектация: датчик, паспорт, руководство по эксплуатации</w:t>
            </w:r>
          </w:p>
        </w:tc>
        <w:tc>
          <w:tcPr>
            <w:tcW w:w="260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8860" cy="235521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35" r="-1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0" w:after="0"/>
        <w:ind w:left="0" w:right="0" w:firstLine="53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</w:rPr>
        <w:t>Требования к размерам, упаковке, отгрузке товара: поставляемый товар должен быть упакован в тару, обеспечивающую его полную сохранность и качество при погрузочно-разгрузочных работах, транспортировке и хранении.  На упаковке товара должна содержаться маркировка со сведениями о: наименовании товара, производителе товара (наименование производителя, адрес, контактный телефон), гарантийном сроке товара, правилах хранения и транспортировки, дату изготовления товара. Маркировка упаковки должна быть отчетливой, изло</w:t>
      </w:r>
      <w:r>
        <w:rPr>
          <w:rFonts w:cs="Times New Roman" w:ascii="Times New Roman" w:hAnsi="Times New Roman"/>
          <w:sz w:val="24"/>
          <w:szCs w:val="24"/>
          <w:u w:val="none"/>
        </w:rPr>
        <w:t>жена на русском языке. Допускается дополнительное использование других языков.</w:t>
      </w:r>
    </w:p>
    <w:p>
      <w:pPr>
        <w:pStyle w:val="Normal"/>
        <w:spacing w:lineRule="auto" w:line="240" w:before="0" w:after="0"/>
        <w:ind w:left="0" w:right="0" w:firstLine="53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Cs/>
          <w:color w:val="000000"/>
          <w:spacing w:val="1"/>
          <w:sz w:val="24"/>
          <w:szCs w:val="24"/>
          <w:u w:val="none"/>
        </w:rPr>
        <w:t>Приемка Товара осуществляется путем передачи Поставщиком Товара и документов подтверждающих качество Товара (сертификатами, декларациями о соответствии и иными документами, подтверждающими качество Товара), обязательными для данного вида Товара, оформленные в соответствии с действующим законодательством Российской Федерации.</w:t>
      </w:r>
    </w:p>
    <w:p>
      <w:pPr>
        <w:pStyle w:val="NormalWeb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ind w:left="0" w:right="0" w:firstLine="53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ind w:left="0" w:right="14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Покупатель:                                                                       Поставщик: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 xml:space="preserve">Начальник филиала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</w:t>
      </w:r>
    </w:p>
    <w:p>
      <w:pPr>
        <w:pStyle w:val="Normal"/>
        <w:ind w:left="0" w:right="14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0" w:right="141" w:hanging="0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</w:rPr>
        <w:t>____________/Мосин А.Ю./                                         ____________/____________/</w:t>
      </w:r>
    </w:p>
    <w:p>
      <w:pPr>
        <w:pStyle w:val="Normal"/>
        <w:ind w:left="0" w:right="141" w:hanging="0"/>
        <w:rPr/>
      </w:pPr>
      <w:r>
        <w:rPr>
          <w:rFonts w:eastAsia="Times New Roman"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 xml:space="preserve">м. п.                                                                            м. п. </w:t>
      </w:r>
    </w:p>
    <w:sectPr>
      <w:type w:val="nextPage"/>
      <w:pgSz w:w="11906" w:h="16838"/>
      <w:pgMar w:left="1134" w:right="851" w:gutter="0" w:header="0" w:top="709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egoe UI">
    <w:charset w:val="cc"/>
    <w:family w:val="swiss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;宋体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4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SimSun;宋体" w:cs="Mangal;Liberation Mono"/>
      <w:color w:val="000000"/>
      <w:kern w:val="2"/>
      <w:sz w:val="24"/>
      <w:szCs w:val="24"/>
      <w:lang w:val="ru-RU" w:eastAsia="zh-CN" w:bidi="hi-IN"/>
    </w:rPr>
  </w:style>
  <w:style w:type="paragraph" w:styleId="1">
    <w:name w:val="Heading 1"/>
    <w:basedOn w:val="18"/>
    <w:next w:val="Style15"/>
    <w:qFormat/>
    <w:pPr>
      <w:numPr>
        <w:ilvl w:val="0"/>
        <w:numId w:val="1"/>
      </w:numPr>
      <w:tabs>
        <w:tab w:val="clear" w:pos="408"/>
        <w:tab w:val="left" w:pos="0" w:leader="none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18"/>
    <w:next w:val="Style15"/>
    <w:qFormat/>
    <w:pPr>
      <w:numPr>
        <w:ilvl w:val="1"/>
        <w:numId w:val="1"/>
      </w:numPr>
      <w:tabs>
        <w:tab w:val="clear" w:pos="408"/>
        <w:tab w:val="left" w:pos="0" w:leader="none"/>
      </w:tabs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18"/>
    <w:next w:val="Style15"/>
    <w:qFormat/>
    <w:pPr>
      <w:numPr>
        <w:ilvl w:val="2"/>
        <w:numId w:val="1"/>
      </w:numPr>
      <w:tabs>
        <w:tab w:val="clear" w:pos="408"/>
        <w:tab w:val="left" w:pos="0" w:leader="none"/>
      </w:tabs>
      <w:outlineLvl w:val="2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408"/>
        <w:tab w:val="left" w:pos="0" w:leader="none"/>
      </w:tabs>
      <w:ind w:left="-360" w:right="-104" w:hanging="0"/>
      <w:outlineLvl w:val="5"/>
    </w:pPr>
    <w:rPr>
      <w:b/>
      <w:bCs/>
      <w:color w:val="000000"/>
    </w:rPr>
  </w:style>
  <w:style w:type="character" w:styleId="WW8Num2z0">
    <w:name w:val="WW8Num2z0"/>
    <w:qFormat/>
    <w:rPr>
      <w:rFonts w:eastAsia="SimSun;宋体"/>
    </w:rPr>
  </w:style>
  <w:style w:type="character" w:styleId="Style10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21">
    <w:name w:val="Основной шрифт абзаца2"/>
    <w:qFormat/>
    <w:rPr/>
  </w:style>
  <w:style w:type="character" w:styleId="-">
    <w:name w:val="Hyperlink"/>
    <w:rPr>
      <w:color w:val="000080"/>
      <w:u w:val="single" w:color="000000"/>
      <w:lang w:val="zxx" w:bidi="zxx"/>
    </w:rPr>
  </w:style>
  <w:style w:type="character" w:styleId="15">
    <w:name w:val="Основной шрифт абзаца15"/>
    <w:qFormat/>
    <w:rPr/>
  </w:style>
  <w:style w:type="character" w:styleId="14">
    <w:name w:val="Основной шрифт абзаца14"/>
    <w:qFormat/>
    <w:rPr/>
  </w:style>
  <w:style w:type="character" w:styleId="13">
    <w:name w:val="Основной шрифт абзаца13"/>
    <w:qFormat/>
    <w:rPr/>
  </w:style>
  <w:style w:type="character" w:styleId="12">
    <w:name w:val="Основной шрифт абзаца12"/>
    <w:qFormat/>
    <w:rPr/>
  </w:style>
  <w:style w:type="character" w:styleId="11">
    <w:name w:val="Основной шрифт абзаца11"/>
    <w:qFormat/>
    <w:rPr/>
  </w:style>
  <w:style w:type="character" w:styleId="Style11">
    <w:name w:val="Текст выноски Знак"/>
    <w:qFormat/>
    <w:rPr>
      <w:rFonts w:ascii="Segoe UI" w:hAnsi="Segoe UI" w:eastAsia="SimSun;宋体" w:cs="Mangal;Liberation Mono"/>
      <w:kern w:val="2"/>
      <w:sz w:val="18"/>
      <w:szCs w:val="16"/>
      <w:lang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6">
    <w:name w:val="Основной шрифт абзаца1"/>
    <w:qFormat/>
    <w:rPr/>
  </w:style>
  <w:style w:type="character" w:styleId="Style1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Strong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StrongEmphasis">
    <w:name w:val="Strong Emphasis"/>
    <w:qFormat/>
    <w:rPr>
      <w:b/>
      <w:bCs/>
    </w:rPr>
  </w:style>
  <w:style w:type="character" w:styleId="17">
    <w:name w:val="Текст выноски Знак1"/>
    <w:qFormat/>
    <w:rPr>
      <w:rFonts w:ascii="Segoe UI" w:hAnsi="Segoe UI" w:eastAsia="SimSun;宋体" w:cs="Mangal;Liberation Mono"/>
      <w:color w:val="000000"/>
      <w:kern w:val="2"/>
      <w:sz w:val="18"/>
      <w:szCs w:val="16"/>
      <w:lang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Lucida Sans;Times New Roman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;Liberation Mono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8">
    <w:name w:val="Заголовок1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4">
    <w:name w:val="Указатель4"/>
    <w:basedOn w:val="Normal"/>
    <w:qFormat/>
    <w:pPr>
      <w:suppressLineNumbers/>
    </w:pPr>
    <w:rPr>
      <w:rFonts w:cs="Arial"/>
    </w:rPr>
  </w:style>
  <w:style w:type="paragraph" w:styleId="22">
    <w:name w:val="Название объекта2"/>
    <w:basedOn w:val="Normal"/>
    <w:qFormat/>
    <w:pPr>
      <w:suppressLineNumbers/>
      <w:spacing w:before="120" w:after="120"/>
    </w:pPr>
    <w:rPr>
      <w:rFonts w:cs="Lucida Sans;Times New Roman"/>
      <w:i/>
      <w:iCs/>
      <w:sz w:val="24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Lucida Sans;Times New Roman"/>
    </w:rPr>
  </w:style>
  <w:style w:type="paragraph" w:styleId="Style20">
    <w:name w:val="Subtitle"/>
    <w:basedOn w:val="18"/>
    <w:next w:val="Style15"/>
    <w:qFormat/>
    <w:pPr>
      <w:jc w:val="center"/>
    </w:pPr>
    <w:rPr>
      <w:i/>
      <w:iCs/>
      <w:sz w:val="28"/>
      <w:szCs w:val="28"/>
    </w:rPr>
  </w:style>
  <w:style w:type="paragraph" w:styleId="151">
    <w:name w:val="Указатель15"/>
    <w:basedOn w:val="Normal"/>
    <w:qFormat/>
    <w:pPr>
      <w:suppressLineNumbers/>
    </w:pPr>
    <w:rPr>
      <w:rFonts w:cs="Lucida Sans;Times New Roman"/>
    </w:rPr>
  </w:style>
  <w:style w:type="paragraph" w:styleId="141">
    <w:name w:val="Указатель14"/>
    <w:basedOn w:val="Normal"/>
    <w:qFormat/>
    <w:pPr>
      <w:suppressLineNumbers/>
    </w:pPr>
    <w:rPr>
      <w:rFonts w:cs="Lucida Sans;Times New Roman"/>
    </w:rPr>
  </w:style>
  <w:style w:type="paragraph" w:styleId="131">
    <w:name w:val="Указатель13"/>
    <w:basedOn w:val="Normal"/>
    <w:qFormat/>
    <w:pPr>
      <w:suppressLineNumbers/>
    </w:pPr>
    <w:rPr>
      <w:rFonts w:cs="Lucida Sans;Times New Roman"/>
    </w:rPr>
  </w:style>
  <w:style w:type="paragraph" w:styleId="121">
    <w:name w:val="Указатель12"/>
    <w:basedOn w:val="Normal"/>
    <w:qFormat/>
    <w:pPr>
      <w:suppressLineNumbers/>
    </w:pPr>
    <w:rPr>
      <w:rFonts w:cs="Lucida Sans;Times New Roman"/>
    </w:rPr>
  </w:style>
  <w:style w:type="paragraph" w:styleId="111">
    <w:name w:val="Указатель11"/>
    <w:basedOn w:val="Normal"/>
    <w:qFormat/>
    <w:pPr>
      <w:suppressLineNumbers/>
    </w:pPr>
    <w:rPr>
      <w:rFonts w:cs="Lucida Sans;Times New Roman"/>
    </w:rPr>
  </w:style>
  <w:style w:type="paragraph" w:styleId="19">
    <w:name w:val="Текст выноски1"/>
    <w:basedOn w:val="Normal"/>
    <w:qFormat/>
    <w:pPr/>
    <w:rPr>
      <w:rFonts w:ascii="Segoe UI" w:hAnsi="Segoe UI" w:cs="Segoe UI"/>
      <w:sz w:val="18"/>
      <w:szCs w:val="16"/>
    </w:rPr>
  </w:style>
  <w:style w:type="paragraph" w:styleId="112">
    <w:name w:val="Название объекта11"/>
    <w:basedOn w:val="18"/>
    <w:next w:val="Style15"/>
    <w:qFormat/>
    <w:pPr>
      <w:jc w:val="center"/>
    </w:pPr>
    <w:rPr>
      <w:b/>
      <w:bCs/>
      <w:sz w:val="36"/>
      <w:szCs w:val="36"/>
    </w:rPr>
  </w:style>
  <w:style w:type="paragraph" w:styleId="23">
    <w:name w:val="Указатель2"/>
    <w:basedOn w:val="Normal"/>
    <w:qFormat/>
    <w:pPr>
      <w:suppressLineNumbers/>
    </w:pPr>
    <w:rPr>
      <w:rFonts w:cs="Lucida Sans;Times New Roman"/>
    </w:rPr>
  </w:style>
  <w:style w:type="paragraph" w:styleId="110">
    <w:name w:val="Название объекта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113">
    <w:name w:val="Указатель1"/>
    <w:basedOn w:val="Normal"/>
    <w:qFormat/>
    <w:pPr>
      <w:suppressLineNumbers/>
    </w:pPr>
    <w:rPr>
      <w:rFonts w:cs="Mangal;Liberation Mono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4">
    <w:name w:val="Без интервала"/>
    <w:qFormat/>
    <w:pPr>
      <w:widowControl/>
      <w:suppressAutoHyphens w:val="true"/>
      <w:bidi w:val="0"/>
    </w:pPr>
    <w:rPr>
      <w:rFonts w:ascii="Calibri" w:hAnsi="Calibri" w:eastAsia="Calibri" w:cs="Calibri"/>
      <w:color w:val="000000"/>
      <w:sz w:val="22"/>
      <w:szCs w:val="22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</w:pPr>
    <w:rPr>
      <w:rFonts w:ascii="Arial" w:hAnsi="Arial" w:eastAsia="Arial" w:cs="Courier New"/>
      <w:color w:val="auto"/>
      <w:sz w:val="16"/>
      <w:szCs w:val="24"/>
      <w:lang w:val="ru-RU" w:eastAsia="zh-CN" w:bidi="hi-IN"/>
    </w:rPr>
  </w:style>
  <w:style w:type="paragraph" w:styleId="Style25">
    <w:name w:val="Body Text Indent"/>
    <w:basedOn w:val="Normal"/>
    <w:pPr>
      <w:spacing w:before="0" w:after="120"/>
      <w:ind w:left="283" w:right="0" w:hanging="0"/>
    </w:pPr>
    <w:rPr/>
  </w:style>
  <w:style w:type="paragraph" w:styleId="NormalWeb">
    <w:name w:val="Normal (Web)"/>
    <w:basedOn w:val="Normal"/>
    <w:qFormat/>
    <w:pPr>
      <w:spacing w:lineRule="exact" w:line="240" w:before="280" w:after="119"/>
    </w:pPr>
    <w:rPr>
      <w:rFonts w:ascii="Times New Roman" w:hAnsi="Times New Roman" w:eastAsia="Times New Roman" w:cs="Times New Roman"/>
      <w:color w:val="00000A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ableContents">
    <w:name w:val="Table Contents"/>
    <w:basedOn w:val="Standard"/>
    <w:qFormat/>
    <w:pPr/>
    <w:rPr/>
  </w:style>
  <w:style w:type="paragraph" w:styleId="Textbody">
    <w:name w:val="Text body"/>
    <w:basedOn w:val="Standard"/>
    <w:qFormat/>
    <w:pPr>
      <w:spacing w:lineRule="auto" w:line="276" w:before="0" w:after="283"/>
    </w:pPr>
    <w:rPr/>
  </w:style>
  <w:style w:type="paragraph" w:styleId="Style26">
    <w:name w:val="Текст выноски"/>
    <w:basedOn w:val="Normal"/>
    <w:qFormat/>
    <w:pPr/>
    <w:rPr>
      <w:rFonts w:ascii="Segoe UI" w:hAnsi="Segoe UI" w:cs="Segoe UI"/>
      <w:sz w:val="18"/>
      <w:szCs w:val="16"/>
    </w:rPr>
  </w:style>
  <w:style w:type="paragraph" w:styleId="Style27">
    <w:name w:val="Абзац списка"/>
    <w:basedOn w:val="Normal"/>
    <w:qFormat/>
    <w:pPr>
      <w:spacing w:lineRule="auto" w:line="240" w:before="0" w:after="0"/>
      <w:ind w:left="720" w:right="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Docdata">
    <w:name w:val="docdata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82</TotalTime>
  <Application>LibreOffice/7.5.6.2$Windows_X86_64 LibreOffice_project/f654817fb68d6d4600d7d2f6b647e47729f55f15</Application>
  <AppVersion>15.0000</AppVersion>
  <Pages>5</Pages>
  <Words>1642</Words>
  <Characters>11467</Characters>
  <CharactersWithSpaces>13405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2026-03-25T14:00:00Z</dcterms:created>
  <dc:creator>User</dc:creator>
  <dc:description/>
  <dc:language>ru-RU</dc:language>
  <cp:lastModifiedBy/>
  <cp:lastPrinted>2026-05-27T08:25:00Z</cp:lastPrinted>
  <dcterms:modified xsi:type="dcterms:W3CDTF">2026-06-02T08:13:55Z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144CA0C409B34507B09556134566308D_12</vt:lpwstr>
  </property>
  <property fmtid="{D5CDD505-2E9C-101B-9397-08002B2CF9AE}" pid="3" name="KSOProductBuildVer">
    <vt:lpwstr>1049-12.2.0.19805_x0000__x0000_</vt:lpwstr>
  </property>
</Properties>
</file>