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before="0" w:line="240" w:lineRule="auto"/>
        <w:ind w:left="0"/>
        <w:contextualSpacing w:val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sz w:val="24"/>
        </w:rPr>
        <w:t>ОПИСАНИЕ ОБЪЕКТА ЗАКУПКИ</w:t>
      </w:r>
    </w:p>
    <w:p w14:paraId="02000000">
      <w:pPr>
        <w:pStyle w:val="Style_1"/>
        <w:widowControl w:val="1"/>
        <w:spacing w:before="0" w:line="240" w:lineRule="auto"/>
        <w:ind w:left="0"/>
        <w:contextualSpacing w:val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Техническая часть</w:t>
      </w:r>
    </w:p>
    <w:p w14:paraId="03000000">
      <w:pPr>
        <w:widowControl w:val="0"/>
        <w:tabs>
          <w:tab w:leader="none" w:pos="851" w:val="left"/>
          <w:tab w:leader="none" w:pos="1134" w:val="left"/>
        </w:tabs>
        <w:spacing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1. Наименование объекта закупки: </w:t>
      </w:r>
      <w:r>
        <w:rPr>
          <w:rFonts w:ascii="Times New Roman" w:hAnsi="Times New Roman"/>
          <w:sz w:val="24"/>
        </w:rPr>
        <w:t>оказание услуг по проведению диспансеризации государственных гражданских служащих по программам «Мужчины от 18 до 40 лет», «Мужчины после 40 до 45 лет», «Мужчины после 45 лет»</w:t>
      </w:r>
      <w:r>
        <w:rPr>
          <w:rFonts w:ascii="Times New Roman" w:hAnsi="Times New Roman"/>
          <w:sz w:val="24"/>
        </w:rPr>
        <w:t xml:space="preserve"> (далее – Услуги).</w:t>
      </w:r>
    </w:p>
    <w:p w14:paraId="04000000">
      <w:pPr>
        <w:widowControl w:val="0"/>
        <w:tabs>
          <w:tab w:leader="none" w:pos="851" w:val="left"/>
          <w:tab w:leader="none" w:pos="1134" w:val="left"/>
        </w:tabs>
        <w:spacing w:before="0" w:line="240" w:lineRule="auto"/>
        <w:ind w:firstLine="567"/>
        <w:contextualSpacing w:val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 Место оказания У</w:t>
      </w:r>
      <w:r>
        <w:rPr>
          <w:rFonts w:ascii="Times New Roman" w:hAnsi="Times New Roman"/>
          <w:b w:val="1"/>
          <w:sz w:val="24"/>
        </w:rPr>
        <w:t xml:space="preserve">слуг: </w:t>
      </w:r>
      <w:r>
        <w:rPr>
          <w:rFonts w:ascii="Times New Roman" w:hAnsi="Times New Roman"/>
          <w:sz w:val="24"/>
        </w:rPr>
        <w:t>по местонахождению</w:t>
      </w:r>
      <w:r>
        <w:rPr>
          <w:rFonts w:ascii="Times New Roman" w:hAnsi="Times New Roman"/>
          <w:sz w:val="24"/>
        </w:rPr>
        <w:t xml:space="preserve"> Исполнителя</w:t>
      </w:r>
      <w:r>
        <w:rPr>
          <w:rFonts w:ascii="Times New Roman" w:hAnsi="Times New Roman"/>
          <w:b w:val="1"/>
          <w:sz w:val="24"/>
        </w:rPr>
        <w:t>.</w:t>
      </w:r>
    </w:p>
    <w:p w14:paraId="05000000">
      <w:pPr>
        <w:widowControl w:val="0"/>
        <w:tabs>
          <w:tab w:leader="none" w:pos="851" w:val="left"/>
          <w:tab w:leader="none" w:pos="1134" w:val="left"/>
        </w:tabs>
        <w:spacing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У</w:t>
      </w:r>
      <w:r>
        <w:rPr>
          <w:rFonts w:ascii="Times New Roman" w:hAnsi="Times New Roman"/>
          <w:sz w:val="24"/>
        </w:rPr>
        <w:t xml:space="preserve">слуги должны оказываться в медицинском учреждении, расположенном в </w:t>
      </w:r>
      <w:r>
        <w:rPr>
          <w:rFonts w:ascii="Times New Roman" w:hAnsi="Times New Roman"/>
          <w:sz w:val="24"/>
        </w:rPr>
        <w:t xml:space="preserve">ЦАО </w:t>
      </w:r>
      <w:r>
        <w:rPr>
          <w:rFonts w:ascii="Times New Roman" w:hAnsi="Times New Roman"/>
          <w:sz w:val="24"/>
        </w:rPr>
        <w:t>г. Москв</w:t>
      </w:r>
      <w:r>
        <w:rPr>
          <w:rFonts w:ascii="Times New Roman" w:hAnsi="Times New Roman"/>
          <w:sz w:val="24"/>
        </w:rPr>
        <w:t>ы</w:t>
      </w:r>
      <w:r>
        <w:rPr>
          <w:rFonts w:ascii="Times New Roman" w:hAnsi="Times New Roman"/>
          <w:sz w:val="24"/>
        </w:rPr>
        <w:t xml:space="preserve">, в </w:t>
      </w:r>
      <w:r>
        <w:rPr>
          <w:rFonts w:ascii="Times New Roman" w:hAnsi="Times New Roman"/>
          <w:sz w:val="24"/>
        </w:rPr>
        <w:t xml:space="preserve">пределах </w:t>
      </w: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 xml:space="preserve">00 метров </w:t>
      </w:r>
      <w:r>
        <w:rPr>
          <w:rFonts w:ascii="Times New Roman" w:hAnsi="Times New Roman"/>
          <w:sz w:val="24"/>
        </w:rPr>
        <w:t>от станции метрополитена</w:t>
      </w:r>
      <w:r>
        <w:rPr>
          <w:rFonts w:ascii="Times New Roman" w:hAnsi="Times New Roman"/>
          <w:sz w:val="24"/>
        </w:rPr>
        <w:t xml:space="preserve"> г. Москвы</w:t>
      </w:r>
      <w:r>
        <w:rPr>
          <w:rFonts w:ascii="Times New Roman" w:hAnsi="Times New Roman"/>
          <w:sz w:val="24"/>
        </w:rPr>
        <w:t>.</w:t>
      </w:r>
    </w:p>
    <w:p w14:paraId="06000000">
      <w:pPr>
        <w:widowControl w:val="1"/>
        <w:spacing w:after="0"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Оказание Услуг должно осуществляться исключительно в месте оказания Услуг, предложенном Исполнителем и указанном в лицензии в качестве адреса места осуществления лицензируемых видов деятельности; направление </w:t>
      </w:r>
      <w:r>
        <w:rPr>
          <w:rFonts w:ascii="Times New Roman" w:hAnsi="Times New Roman"/>
          <w:sz w:val="24"/>
        </w:rPr>
        <w:t xml:space="preserve">государственных гражданских служащих центрального аппарата Федерального агентства по управлению государственным имуществом (далее – Государственные служащие) в другие лечебные учреждения и лаборатории </w:t>
      </w:r>
      <w:r>
        <w:rPr>
          <w:rFonts w:ascii="Times New Roman" w:hAnsi="Times New Roman"/>
          <w:sz w:val="24"/>
        </w:rPr>
        <w:t xml:space="preserve">не </w:t>
      </w:r>
      <w:r>
        <w:rPr>
          <w:rFonts w:ascii="Times New Roman" w:hAnsi="Times New Roman"/>
          <w:sz w:val="24"/>
        </w:rPr>
        <w:t>допускается</w:t>
      </w:r>
      <w:r>
        <w:rPr>
          <w:rFonts w:ascii="Times New Roman" w:hAnsi="Times New Roman"/>
          <w:sz w:val="24"/>
        </w:rPr>
        <w:t>.</w:t>
      </w:r>
    </w:p>
    <w:p w14:paraId="07000000">
      <w:pPr>
        <w:widowControl w:val="0"/>
        <w:tabs>
          <w:tab w:leader="none" w:pos="851" w:val="left"/>
          <w:tab w:leader="none" w:pos="1134" w:val="left"/>
        </w:tabs>
        <w:spacing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3. Срок оказания Услуг: </w:t>
      </w:r>
      <w:r>
        <w:rPr>
          <w:rFonts w:ascii="Times New Roman" w:hAnsi="Times New Roman"/>
          <w:sz w:val="24"/>
        </w:rPr>
        <w:t>с даты заключ</w:t>
      </w:r>
      <w:r>
        <w:rPr>
          <w:rFonts w:ascii="Times New Roman" w:hAnsi="Times New Roman"/>
          <w:sz w:val="24"/>
        </w:rPr>
        <w:t xml:space="preserve">ения государственного контракта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по 30.09.2026 г.</w:t>
      </w:r>
    </w:p>
    <w:p w14:paraId="08000000">
      <w:pPr>
        <w:widowControl w:val="1"/>
        <w:spacing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Услуги оказываются в соответствии с Календарным планом прохождения диспансеризации (далее – Календарный план), который разрабатывается Исполнителем на основании направленного Заказчиком поименного спи</w:t>
      </w:r>
      <w:r>
        <w:rPr>
          <w:rFonts w:ascii="Times New Roman" w:hAnsi="Times New Roman"/>
          <w:sz w:val="24"/>
        </w:rPr>
        <w:t>ска Государственных служащих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и утверждается совместно с Заказчиком в течение 5 (пяти) рабочих дней с даты за</w:t>
      </w:r>
      <w:bookmarkStart w:id="1" w:name="undefined"/>
      <w:bookmarkEnd w:id="1"/>
      <w:r>
        <w:rPr>
          <w:rFonts w:ascii="Times New Roman" w:hAnsi="Times New Roman"/>
          <w:sz w:val="24"/>
        </w:rPr>
        <w:t>ключения государственного контракта.</w:t>
      </w:r>
    </w:p>
    <w:p w14:paraId="09000000">
      <w:pPr>
        <w:widowControl w:val="1"/>
        <w:spacing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Календарный план должен предусматривать проведение диспансеризации Государственных служащих в служебное время: </w:t>
      </w:r>
      <w:r>
        <w:rPr>
          <w:rFonts w:ascii="Times New Roman" w:hAnsi="Times New Roman"/>
          <w:sz w:val="24"/>
        </w:rPr>
        <w:t xml:space="preserve">в рабочие дни в период с 9 часов 00 минут </w:t>
      </w:r>
      <w:r>
        <w:rPr>
          <w:rFonts w:ascii="Times New Roman" w:hAnsi="Times New Roman"/>
          <w:sz w:val="24"/>
        </w:rPr>
        <w:t xml:space="preserve">до 18 часов 00 минут (по пятницам - с 9 часов 00 минут до 16 часов 45 минут)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по московскому времени.</w:t>
      </w:r>
    </w:p>
    <w:p w14:paraId="0A000000">
      <w:pPr>
        <w:widowControl w:val="1"/>
        <w:spacing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дни проведения диспансеризации Государственных служащих Исполнитель обязан обеспечить отсутствие приема иных </w:t>
      </w:r>
      <w:r>
        <w:rPr>
          <w:rFonts w:ascii="Times New Roman" w:hAnsi="Times New Roman"/>
          <w:sz w:val="24"/>
        </w:rPr>
        <w:t xml:space="preserve">граждан врачами-специалистами, привлеченными </w:t>
      </w:r>
      <w:r>
        <w:rPr>
          <w:rFonts w:ascii="Times New Roman" w:hAnsi="Times New Roman"/>
          <w:sz w:val="24"/>
        </w:rPr>
        <w:t xml:space="preserve">к проведению диспансеризации Государственных служащих. </w:t>
      </w:r>
    </w:p>
    <w:p w14:paraId="0B000000">
      <w:pPr>
        <w:pStyle w:val="Style_2"/>
        <w:widowControl w:val="1"/>
        <w:ind w:firstLine="709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sz w:val="24"/>
        </w:rPr>
        <w:t xml:space="preserve">4. </w:t>
      </w:r>
      <w:r>
        <w:rPr>
          <w:rFonts w:ascii="Times New Roman" w:hAnsi="Times New Roman"/>
          <w:b w:val="1"/>
          <w:sz w:val="24"/>
        </w:rPr>
        <w:t>Функциональные, технические и качественные характеристики, характеристики объекта закупки</w:t>
      </w:r>
      <w:r>
        <w:rPr>
          <w:rFonts w:ascii="Times New Roman" w:hAnsi="Times New Roman"/>
          <w:b w:val="1"/>
          <w:sz w:val="24"/>
        </w:rPr>
        <w:t>:</w:t>
      </w:r>
    </w:p>
    <w:p w14:paraId="0C000000">
      <w:pPr>
        <w:widowControl w:val="1"/>
        <w:spacing w:after="0" w:before="0" w:line="276" w:lineRule="auto"/>
        <w:ind w:firstLine="709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Услуги должны быть оказаны в соответствии требованиями действующего законодательства, регламентирующего осуществление медицинской деятельности,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в частности проведение диспансеризации Государственных служащих Российской Федерации, в том числе:</w:t>
      </w:r>
    </w:p>
    <w:p w14:paraId="0D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риказ Минздрава России от 14.04.2025 № 201н "Об утверждении Порядка прохождения диспансеризации федеральными государственными гражданскими служащими, государственными гражданскими служащими субъектов Российской Федерации и муниципальными служащими, перечня</w:t>
      </w:r>
      <w:r>
        <w:rPr>
          <w:rFonts w:ascii="Times New Roman" w:hAnsi="Times New Roman"/>
          <w:sz w:val="24"/>
        </w:rPr>
        <w:t xml:space="preserve">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медицинской организации" </w:t>
      </w:r>
      <w:r>
        <w:rPr>
          <w:rFonts w:ascii="Times New Roman" w:hAnsi="Times New Roman"/>
          <w:sz w:val="24"/>
        </w:rPr>
        <w:t xml:space="preserve"> (далее – Приказ № 201н).</w:t>
      </w:r>
    </w:p>
    <w:p w14:paraId="0E000000">
      <w:pPr>
        <w:widowControl w:val="1"/>
        <w:spacing w:after="0" w:before="0" w:line="276" w:lineRule="auto"/>
        <w:ind w:firstLine="709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приказа </w:t>
      </w:r>
      <w:r>
        <w:rPr>
          <w:rFonts w:ascii="Times New Roman" w:hAnsi="Times New Roman"/>
          <w:sz w:val="24"/>
        </w:rPr>
        <w:t>Минздравсоцразвития</w:t>
      </w:r>
      <w:r>
        <w:rPr>
          <w:rFonts w:ascii="Times New Roman" w:hAnsi="Times New Roman"/>
          <w:sz w:val="24"/>
        </w:rPr>
        <w:t xml:space="preserve"> Российской Федерации от 26 августа 2011 г. № 989н «Об утверждении перечня медицинских противопоказаний для работы с использованием сведений, составляющих государственную тайну, порядка получения и формы справки </w:t>
      </w:r>
      <w:r>
        <w:rPr>
          <w:rFonts w:ascii="Times New Roman" w:hAnsi="Times New Roman"/>
          <w:sz w:val="24"/>
        </w:rPr>
        <w:t>об отсутствии медицинских противопоказаний для работы с использованием сведений, составляющих государственную тайну»;</w:t>
      </w:r>
    </w:p>
    <w:p w14:paraId="0F000000">
      <w:pPr>
        <w:widowControl w:val="1"/>
        <w:spacing w:after="0" w:before="0" w:line="276" w:lineRule="auto"/>
        <w:ind w:firstLine="709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Федерального закона от 4 мая 2011 г. № 99-ФЗ «О лицензировании отдельных видов деятельности»;</w:t>
      </w:r>
    </w:p>
    <w:p w14:paraId="10000000">
      <w:pPr>
        <w:widowControl w:val="1"/>
        <w:spacing w:after="0" w:before="0" w:line="276" w:lineRule="auto"/>
        <w:ind w:firstLine="709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постановления Правительства Российской Федерации от 1 июня 2021 г.  № 852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в частную систему здравоохранения, на территории инновационного центра «</w:t>
      </w:r>
      <w:r>
        <w:rPr>
          <w:rFonts w:ascii="Times New Roman" w:hAnsi="Times New Roman"/>
          <w:sz w:val="24"/>
        </w:rPr>
        <w:t>Сколково</w:t>
      </w:r>
      <w:r>
        <w:rPr>
          <w:rFonts w:ascii="Times New Roman" w:hAnsi="Times New Roman"/>
          <w:sz w:val="24"/>
        </w:rPr>
        <w:t xml:space="preserve">»)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и признании утратившими силу некоторых актов Правительства Российской Федераци</w:t>
      </w:r>
      <w:r>
        <w:rPr>
          <w:rFonts w:ascii="Times New Roman" w:hAnsi="Times New Roman"/>
          <w:sz w:val="24"/>
        </w:rPr>
        <w:t>и» (вместе с «Положением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</w:t>
      </w:r>
      <w:r>
        <w:rPr>
          <w:rFonts w:ascii="Times New Roman" w:hAnsi="Times New Roman"/>
          <w:sz w:val="24"/>
        </w:rPr>
        <w:t>Сколково</w:t>
      </w:r>
      <w:r>
        <w:rPr>
          <w:rFonts w:ascii="Times New Roman" w:hAnsi="Times New Roman"/>
          <w:sz w:val="24"/>
        </w:rPr>
        <w:t>») и др.</w:t>
      </w:r>
    </w:p>
    <w:p w14:paraId="11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4.1.</w:t>
      </w:r>
      <w:r>
        <w:rPr>
          <w:rFonts w:ascii="Times New Roman" w:hAnsi="Times New Roman"/>
          <w:b w:val="1"/>
          <w:i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Категория граждан: </w:t>
      </w:r>
      <w:r>
        <w:rPr>
          <w:rFonts w:ascii="Times New Roman" w:hAnsi="Times New Roman"/>
          <w:sz w:val="24"/>
        </w:rPr>
        <w:t xml:space="preserve">государственные гражданские служащие центрального аппарата Федерального агентства по управлению государственным имуществом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(г. Москва).</w:t>
      </w:r>
    </w:p>
    <w:p w14:paraId="12000000">
      <w:pPr>
        <w:keepNext w:val="1"/>
        <w:widowControl w:val="1"/>
        <w:spacing w:after="240" w:before="0" w:line="240" w:lineRule="auto"/>
        <w:ind w:firstLine="567"/>
        <w:contextualSpacing w:val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4.2. Услуги:</w:t>
      </w:r>
    </w:p>
    <w:tbl>
      <w:tblPr>
        <w:tblStyle w:val="Style_3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  <w:gridCol w:w="9344"/>
      </w:tblGrid>
      <w:tr>
        <w:trPr>
          <w:trHeight w:hRule="atLeast" w:val="839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00000">
            <w:pPr>
              <w:widowControl w:val="1"/>
              <w:spacing w:before="0" w:line="240" w:lineRule="auto"/>
              <w:ind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type="dxa" w:w="93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00000">
            <w:pPr>
              <w:widowControl w:val="1"/>
              <w:spacing w:before="0" w:line="240" w:lineRule="auto"/>
              <w:ind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услуги</w:t>
            </w:r>
          </w:p>
        </w:tc>
      </w:tr>
      <w:tr>
        <w:trPr>
          <w:trHeight w:hRule="atLeast" w:val="567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widowControl w:val="1"/>
              <w:spacing w:before="0" w:line="240" w:lineRule="auto"/>
              <w:ind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93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00000">
            <w:pPr>
              <w:widowControl w:val="1"/>
              <w:spacing w:before="0" w:line="240" w:lineRule="auto"/>
              <w:ind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Диспансеризация государственных гражданских служащих по Программе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№ 1 (Мужчины от 18 до 40 лет)</w:t>
            </w:r>
          </w:p>
        </w:tc>
      </w:tr>
      <w:tr>
        <w:trPr>
          <w:trHeight w:hRule="atLeast" w:val="606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widowControl w:val="1"/>
              <w:spacing w:before="0" w:line="240" w:lineRule="auto"/>
              <w:ind/>
              <w:contextualSpacing w:val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2.</w:t>
            </w:r>
          </w:p>
        </w:tc>
        <w:tc>
          <w:tcPr>
            <w:tcW w:type="dxa" w:w="93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00000">
            <w:pPr>
              <w:widowControl w:val="1"/>
              <w:spacing w:before="0" w:line="240" w:lineRule="auto"/>
              <w:ind/>
              <w:contextualSpacing w:val="0"/>
              <w:jc w:val="both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Диспансеризация государственных гражданских служащих по Программе </w:t>
            </w:r>
            <w:r>
              <w:rPr>
                <w:rFonts w:ascii="Times New Roman" w:hAnsi="Times New Roman"/>
                <w:b w:val="0"/>
                <w:sz w:val="24"/>
              </w:rPr>
              <w:br/>
            </w:r>
            <w:r>
              <w:rPr>
                <w:rFonts w:ascii="Times New Roman" w:hAnsi="Times New Roman"/>
                <w:b w:val="0"/>
                <w:sz w:val="24"/>
              </w:rPr>
              <w:t xml:space="preserve">№ 2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(Мужчины после 40 до 45 лет)</w:t>
            </w:r>
          </w:p>
        </w:tc>
      </w:tr>
      <w:tr>
        <w:trPr>
          <w:trHeight w:hRule="atLeast" w:val="567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widowControl w:val="1"/>
              <w:spacing w:before="0" w:line="240" w:lineRule="auto"/>
              <w:ind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93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00000">
            <w:pPr>
              <w:widowControl w:val="1"/>
              <w:spacing w:before="0" w:line="240" w:lineRule="auto"/>
              <w:ind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Диспансеризация государственных гражданских служащих по Программе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№ 3 (Мужчины после 45 лет)</w:t>
            </w:r>
          </w:p>
        </w:tc>
      </w:tr>
    </w:tbl>
    <w:p w14:paraId="1B000000">
      <w:pPr>
        <w:widowControl w:val="1"/>
        <w:ind w:firstLine="567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4.3. Сведения об обязательном объеме Услуг и видах необходимых исследований:</w:t>
      </w:r>
    </w:p>
    <w:tbl>
      <w:tblPr>
        <w:tblStyle w:val="Style_3"/>
        <w:tblW w:type="auto" w:w="0"/>
        <w:tblInd w:type="dxa" w:w="-120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7"/>
        <w:gridCol w:w="1908"/>
        <w:gridCol w:w="4754"/>
        <w:gridCol w:w="992"/>
        <w:gridCol w:w="1134"/>
      </w:tblGrid>
      <w:tr>
        <w:trPr>
          <w:trHeight w:hRule="atLeast" w:val="948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№ п/п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Наименование услуги</w:t>
            </w:r>
          </w:p>
        </w:tc>
        <w:tc>
          <w:tcPr>
            <w:tcW w:type="dxa" w:w="4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E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Свойства, дополнительные параметры, характеристики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F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Ед. изм.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Кол-во человек</w:t>
            </w:r>
          </w:p>
        </w:tc>
      </w:tr>
      <w:tr>
        <w:trPr>
          <w:trHeight w:hRule="atLeast" w:val="169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1.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widowControl w:val="1"/>
              <w:spacing w:line="276" w:lineRule="auto"/>
              <w:ind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Программа № 1 (мужчины от 18</w:t>
            </w:r>
            <w:r>
              <w:rPr>
                <w:rFonts w:ascii="Times New Roman" w:hAnsi="Times New Roman"/>
                <w:b w:val="1"/>
                <w:color w:val="000000"/>
              </w:rPr>
              <w:br/>
            </w:r>
            <w:r>
              <w:rPr>
                <w:rFonts w:ascii="Times New Roman" w:hAnsi="Times New Roman"/>
                <w:b w:val="1"/>
                <w:color w:val="000000"/>
              </w:rPr>
              <w:t>до 40 лет)</w:t>
            </w:r>
          </w:p>
          <w:p w14:paraId="23000000">
            <w:pPr>
              <w:pStyle w:val="Style_1"/>
              <w:widowControl w:val="1"/>
              <w:ind w:lef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  <w:highlight w:val="white"/>
              </w:rPr>
              <w:t>86.21.10.120-00000001</w:t>
            </w:r>
          </w:p>
          <w:p w14:paraId="24000000">
            <w:pPr>
              <w:widowControl w:val="1"/>
              <w:spacing w:line="276" w:lineRule="auto"/>
              <w:ind/>
              <w:rPr>
                <w:rFonts w:ascii="Times New Roman" w:hAnsi="Times New Roman"/>
                <w:b w:val="1"/>
                <w:color w:val="000000"/>
              </w:rPr>
            </w:pPr>
          </w:p>
          <w:p w14:paraId="25000000">
            <w:pPr>
              <w:widowControl w:val="1"/>
              <w:spacing w:line="276" w:lineRule="auto"/>
              <w:ind/>
              <w:rPr>
                <w:rFonts w:ascii="Times New Roman" w:hAnsi="Times New Roman"/>
                <w:b w:val="1"/>
                <w:color w:val="000000"/>
              </w:rPr>
            </w:pPr>
          </w:p>
        </w:tc>
        <w:tc>
          <w:tcPr>
            <w:tcW w:type="dxa" w:w="4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1. Осмотр врачами-специалистами:</w:t>
            </w:r>
          </w:p>
          <w:p w14:paraId="27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врача-терапевта, включающий установл</w:t>
            </w:r>
            <w:r>
              <w:rPr>
                <w:rFonts w:ascii="Times New Roman" w:hAnsi="Times New Roman"/>
                <w:color w:val="000000"/>
              </w:rPr>
              <w:t>ение диагноза,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определение группы здоровья, груп</w:t>
            </w:r>
            <w:r>
              <w:rPr>
                <w:rFonts w:ascii="Times New Roman" w:hAnsi="Times New Roman"/>
                <w:color w:val="000000"/>
              </w:rPr>
              <w:t xml:space="preserve">пы диспансерного наблюдения (с учетом заключений врачей-специалистов и результатов медицинских исследований), проведение краткого профилактического консультирования (рекомендации по здоровому питанию, уровню физической активности, отказу от курения табака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>и снижению риска пагубного потребления алкоголя), определение медицинских показаний для углубленного профилактического консультирования, а также для дополнительных обследований и консультаций вне рамок диспансеризации</w:t>
            </w:r>
          </w:p>
          <w:p w14:paraId="28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уролога</w:t>
            </w:r>
          </w:p>
          <w:p w14:paraId="29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врача-невролога</w:t>
            </w:r>
          </w:p>
          <w:p w14:paraId="2A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врача-хирурга</w:t>
            </w:r>
          </w:p>
          <w:p w14:paraId="2B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врача-офтальмолога</w:t>
            </w:r>
          </w:p>
          <w:p w14:paraId="2C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врача-отоларинголога</w:t>
            </w:r>
          </w:p>
          <w:p w14:paraId="2D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врача-эндокринолога</w:t>
            </w:r>
          </w:p>
          <w:p w14:paraId="2E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врача-психиатра</w:t>
            </w:r>
          </w:p>
          <w:p w14:paraId="2F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врача-психиатра-нарколога</w:t>
            </w:r>
          </w:p>
          <w:p w14:paraId="30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врача по результатам обследования</w:t>
            </w:r>
          </w:p>
          <w:p w14:paraId="31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2. Лабораторные исследования</w:t>
            </w:r>
          </w:p>
          <w:p w14:paraId="32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(клинический) анализ крови</w:t>
            </w:r>
          </w:p>
          <w:p w14:paraId="33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(клинический) анализ мочи</w:t>
            </w:r>
          </w:p>
          <w:p w14:paraId="34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холестерина в крови</w:t>
            </w:r>
          </w:p>
          <w:p w14:paraId="35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глюкозы в крови</w:t>
            </w:r>
          </w:p>
          <w:p w14:paraId="36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общего билирубина крови</w:t>
            </w:r>
          </w:p>
          <w:p w14:paraId="37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общего белка в крови</w:t>
            </w:r>
          </w:p>
          <w:p w14:paraId="38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Определение активности амилазы в крови</w:t>
            </w:r>
          </w:p>
          <w:p w14:paraId="39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креатинина в крови</w:t>
            </w:r>
          </w:p>
          <w:p w14:paraId="3A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мочевой кислоты в крови</w:t>
            </w:r>
          </w:p>
          <w:p w14:paraId="3B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холестерина липопротеидов низкой плотности сыворотки крови</w:t>
            </w:r>
          </w:p>
          <w:p w14:paraId="3C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триглицеридов сыворотки крови</w:t>
            </w:r>
          </w:p>
          <w:p w14:paraId="3D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3. Функциональные исследования</w:t>
            </w:r>
          </w:p>
          <w:p w14:paraId="3E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Измерение артериального давления на периферических артериях</w:t>
            </w:r>
          </w:p>
          <w:p w14:paraId="3F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Опрос (анкетирование), направленное на выявление хронических неинфекционных заболеваний, факторов риска их развития, потребления наркотических средств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>и психотропных веществ без назначения врача</w:t>
            </w:r>
          </w:p>
          <w:p w14:paraId="40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Антропометрические исследования (измерения роста стоя, массы тела, окружности талии), расчет индекса массы тела </w:t>
            </w:r>
          </w:p>
          <w:p w14:paraId="41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Определение относительного суммарного сердечно-сосудистого риска, у граждан в возрасте 21 - 39 лет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 xml:space="preserve">не имеющих заболеваний, связанных с атеросклерозом, сахарного диабета второго типа и хронического заболевания почек </w:t>
            </w:r>
          </w:p>
          <w:p w14:paraId="42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Электрокардиография</w:t>
            </w:r>
          </w:p>
          <w:p w14:paraId="43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Регистрация электрокардиограммы и расшифровка, описание и интерпретация электрокардиографических данных</w:t>
            </w:r>
          </w:p>
          <w:p w14:paraId="44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Флюорография (1 раз в год)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72</w:t>
            </w:r>
          </w:p>
        </w:tc>
      </w:tr>
      <w:tr>
        <w:trPr>
          <w:trHeight w:hRule="atLeast" w:val="169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2.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widowControl w:val="1"/>
              <w:spacing w:line="276" w:lineRule="auto"/>
              <w:ind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Программа № 2 (мужчины после 40 до 45 лет)</w:t>
            </w:r>
          </w:p>
          <w:p w14:paraId="49000000">
            <w:pPr>
              <w:pStyle w:val="Style_2"/>
              <w:widowControl w:val="1"/>
              <w:spacing w:after="172"/>
              <w:ind/>
              <w:rPr>
                <w:rFonts w:ascii="Times New Roman" w:hAnsi="Times New Roman"/>
                <w:color w:val="00000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2"/>
                <w:highlight w:val="white"/>
              </w:rPr>
              <w:t>86.21.10.120-00000002</w:t>
            </w:r>
          </w:p>
          <w:p w14:paraId="4A000000">
            <w:pPr>
              <w:widowControl w:val="1"/>
              <w:spacing w:line="276" w:lineRule="auto"/>
              <w:ind/>
              <w:rPr>
                <w:rFonts w:ascii="Times New Roman" w:hAnsi="Times New Roman"/>
                <w:b w:val="1"/>
                <w:color w:val="000000"/>
              </w:rPr>
            </w:pPr>
          </w:p>
          <w:p w14:paraId="4B000000">
            <w:pPr>
              <w:widowControl w:val="1"/>
              <w:spacing w:line="276" w:lineRule="auto"/>
              <w:ind/>
              <w:rPr>
                <w:rFonts w:ascii="Times New Roman" w:hAnsi="Times New Roman"/>
                <w:b w:val="1"/>
                <w:color w:val="000000"/>
              </w:rPr>
            </w:pPr>
          </w:p>
        </w:tc>
        <w:tc>
          <w:tcPr>
            <w:tcW w:type="dxa" w:w="4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1. Осмотр врачами-специалистами:</w:t>
            </w:r>
          </w:p>
          <w:p w14:paraId="4D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врача-терапевта, включающий установление диагноза, в том числе осмотр на выявление визуальных и иных лока</w:t>
            </w:r>
            <w:r>
              <w:rPr>
                <w:rFonts w:ascii="Times New Roman" w:hAnsi="Times New Roman"/>
                <w:color w:val="000000"/>
              </w:rPr>
              <w:t xml:space="preserve">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определение группы здоровья, группы диспансерного наблюдения (с учетом заключений врачей-специалистов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 xml:space="preserve">и результатов медицинских исследований), проведение краткого профилактического консультирования (рекомендации по здоровому питанию, уровню физической активности, отказу от курения табака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>и снижению риска пагубного потребления алкоголя), определение медицинских показаний для углубленного профилактического консультирования, а также для дополнительных обследований и консультаций вне рамок диспансеризации</w:t>
            </w:r>
          </w:p>
          <w:p w14:paraId="4E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уролога</w:t>
            </w:r>
          </w:p>
          <w:p w14:paraId="4F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врача-невролога</w:t>
            </w:r>
          </w:p>
          <w:p w14:paraId="50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врача-хирурга</w:t>
            </w:r>
          </w:p>
          <w:p w14:paraId="51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врача-офтальмолога</w:t>
            </w:r>
          </w:p>
          <w:p w14:paraId="52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врача-отоларинголога</w:t>
            </w:r>
          </w:p>
          <w:p w14:paraId="53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врача-эндокринолога</w:t>
            </w:r>
          </w:p>
          <w:p w14:paraId="54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врача-психиатра</w:t>
            </w:r>
          </w:p>
          <w:p w14:paraId="55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врача-психиатра-нарколога</w:t>
            </w:r>
          </w:p>
          <w:p w14:paraId="56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врача по результатам обследования</w:t>
            </w:r>
          </w:p>
          <w:p w14:paraId="57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2. Лабораторные исследования</w:t>
            </w:r>
          </w:p>
          <w:p w14:paraId="58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(клинический) анализ крови</w:t>
            </w:r>
          </w:p>
          <w:p w14:paraId="59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(клинический) анализ мочи</w:t>
            </w:r>
          </w:p>
          <w:p w14:paraId="5A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холестерина в крови</w:t>
            </w:r>
          </w:p>
          <w:p w14:paraId="5B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глюкозы в крови</w:t>
            </w:r>
          </w:p>
          <w:p w14:paraId="5C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общего билирубина крови</w:t>
            </w:r>
          </w:p>
          <w:p w14:paraId="5D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общего белка в крови</w:t>
            </w:r>
          </w:p>
          <w:p w14:paraId="5E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Определение активности амилазы в крови</w:t>
            </w:r>
          </w:p>
          <w:p w14:paraId="5F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креатинина в крови</w:t>
            </w:r>
          </w:p>
          <w:p w14:paraId="60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мочевой кислоты в крови</w:t>
            </w:r>
          </w:p>
          <w:p w14:paraId="61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холестерина липопротеидов низкой плотности сыворотки крови</w:t>
            </w:r>
          </w:p>
          <w:p w14:paraId="62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триглицеридов сыворотки крови</w:t>
            </w:r>
          </w:p>
          <w:p w14:paraId="63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Онкомаркер</w:t>
            </w:r>
            <w:r>
              <w:rPr>
                <w:rFonts w:ascii="Times New Roman" w:hAnsi="Times New Roman"/>
                <w:color w:val="000000"/>
              </w:rPr>
              <w:t xml:space="preserve"> специфический PSA</w:t>
            </w:r>
          </w:p>
          <w:p w14:paraId="64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3. Функциональные исследования</w:t>
            </w:r>
          </w:p>
          <w:p w14:paraId="65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Измерение артериального давления на периферических артериях</w:t>
            </w:r>
          </w:p>
          <w:p w14:paraId="66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Опрос (анкетирование), направленное на выявление хронических неинфекционных заболеваний, факторов риска их развития, потребления наркотических средств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>и психотропных веществ без назначения врача</w:t>
            </w:r>
          </w:p>
          <w:p w14:paraId="67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Антропометрические исследования (измерения роста стоя, массы тела, окружности талии), расчет индекса массы тела </w:t>
            </w:r>
          </w:p>
          <w:p w14:paraId="68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Определение абсолютного суммарного сердечно-сосудистого риска, у граждан не имеющих заболеваний, связанных с атеросклерозом, сахарного диабета второго типа и хронического заболевания почек </w:t>
            </w:r>
          </w:p>
          <w:p w14:paraId="69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Электрокардиография</w:t>
            </w:r>
          </w:p>
          <w:p w14:paraId="6A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Регистрация электрокардиограммы и расшифровка, описание и интерпретация электрокардиографических данных</w:t>
            </w:r>
          </w:p>
          <w:p w14:paraId="6B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Флюорография (1 раз в год)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</w:tr>
      <w:tr>
        <w:trPr>
          <w:trHeight w:hRule="atLeast" w:val="169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3.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widowControl w:val="1"/>
              <w:spacing w:line="276" w:lineRule="auto"/>
              <w:ind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Программа № 3 (мужчины после 45 лет)</w:t>
            </w:r>
          </w:p>
          <w:p w14:paraId="70000000">
            <w:pPr>
              <w:pStyle w:val="Style_2"/>
              <w:widowControl w:val="1"/>
              <w:spacing w:after="172"/>
              <w:ind/>
              <w:rPr>
                <w:rFonts w:ascii="Times New Roman" w:hAnsi="Times New Roman"/>
                <w:color w:val="000000"/>
                <w:sz w:val="22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2"/>
                <w:highlight w:val="white"/>
              </w:rPr>
              <w:t>86.21.10.120-00000002</w:t>
            </w:r>
          </w:p>
          <w:p w14:paraId="71000000">
            <w:pPr>
              <w:widowControl w:val="1"/>
              <w:spacing w:line="276" w:lineRule="auto"/>
              <w:ind/>
              <w:rPr>
                <w:rFonts w:ascii="Times New Roman" w:hAnsi="Times New Roman"/>
                <w:b w:val="1"/>
                <w:color w:val="000000"/>
              </w:rPr>
            </w:pPr>
          </w:p>
          <w:p w14:paraId="72000000">
            <w:pPr>
              <w:widowControl w:val="1"/>
              <w:spacing w:line="276" w:lineRule="auto"/>
              <w:ind/>
              <w:rPr>
                <w:rFonts w:ascii="Times New Roman" w:hAnsi="Times New Roman"/>
                <w:b w:val="1"/>
                <w:color w:val="000000"/>
              </w:rPr>
            </w:pPr>
          </w:p>
        </w:tc>
        <w:tc>
          <w:tcPr>
            <w:tcW w:type="dxa" w:w="4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1. Осмотр врачами-специалистами:</w:t>
            </w:r>
          </w:p>
          <w:p w14:paraId="74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Прием (осмотр/консультация) врача-терапевта, включающий установление диагноза, в том числе осмотр на выявление визуальных и иных локализаций онкологических заболеваний, включающий осмотр </w:t>
            </w:r>
            <w:r>
              <w:rPr>
                <w:rFonts w:ascii="Times New Roman" w:hAnsi="Times New Roman"/>
                <w:color w:val="000000"/>
              </w:rPr>
              <w:t>кожных покровов, слизистых губ и ротовой полости, пальпацию щитовидной железы, лимфатических у</w:t>
            </w:r>
            <w:r>
              <w:rPr>
                <w:rFonts w:ascii="Times New Roman" w:hAnsi="Times New Roman"/>
                <w:color w:val="000000"/>
              </w:rPr>
              <w:t>злов, определение группы здоровья, группы диспансерного наблюдения (с учетом заключений врачей-специалистов и результатов медицинских исследований), проведение краткого профилактического консультирования (рекомендации по здоровому питанию, уровню физическо</w:t>
            </w:r>
            <w:r>
              <w:rPr>
                <w:rFonts w:ascii="Times New Roman" w:hAnsi="Times New Roman"/>
                <w:color w:val="000000"/>
              </w:rPr>
              <w:t>й активности, отказу от курения табака и снижению риска пагубного потребления алкоголя), определение медицинских показаний для углубленного профилактического консультирования, а также для дополнительных обследований и консультаций вне рамок диспансеризации</w:t>
            </w:r>
          </w:p>
          <w:p w14:paraId="75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уролога</w:t>
            </w:r>
          </w:p>
          <w:p w14:paraId="76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врача-невролога</w:t>
            </w:r>
          </w:p>
          <w:p w14:paraId="77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врача-хирурга</w:t>
            </w:r>
          </w:p>
          <w:p w14:paraId="78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врача-офтальмолога</w:t>
            </w:r>
          </w:p>
          <w:p w14:paraId="79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врача-отоларинголога</w:t>
            </w:r>
          </w:p>
          <w:p w14:paraId="7A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врача-эндокринолога</w:t>
            </w:r>
          </w:p>
          <w:p w14:paraId="7B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врача-психиатра</w:t>
            </w:r>
          </w:p>
          <w:p w14:paraId="7C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врача-психиатра-нарколога</w:t>
            </w:r>
          </w:p>
          <w:p w14:paraId="7D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врача по результатам обследования</w:t>
            </w:r>
          </w:p>
          <w:p w14:paraId="7E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2. Лабораторные исследования</w:t>
            </w:r>
          </w:p>
          <w:p w14:paraId="7F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(клинический) анализ крови</w:t>
            </w:r>
          </w:p>
          <w:p w14:paraId="80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(клинический) анализ мочи</w:t>
            </w:r>
          </w:p>
          <w:p w14:paraId="81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холестерина в крови</w:t>
            </w:r>
          </w:p>
          <w:p w14:paraId="82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глюкозы в крови</w:t>
            </w:r>
          </w:p>
          <w:p w14:paraId="83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общего билирубина крови</w:t>
            </w:r>
          </w:p>
          <w:p w14:paraId="84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общего белка в крови</w:t>
            </w:r>
          </w:p>
          <w:p w14:paraId="85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Определение активности амилазы в крови</w:t>
            </w:r>
          </w:p>
          <w:p w14:paraId="86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креатинина в крови</w:t>
            </w:r>
          </w:p>
          <w:p w14:paraId="87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мочевой кислоты в крови</w:t>
            </w:r>
          </w:p>
          <w:p w14:paraId="88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холестерина липопротеидов низкой плотности сыворотки крови</w:t>
            </w:r>
          </w:p>
          <w:p w14:paraId="89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триглицеридов сыворотки крови</w:t>
            </w:r>
          </w:p>
          <w:p w14:paraId="8A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Онкомаркер</w:t>
            </w:r>
            <w:r>
              <w:rPr>
                <w:rFonts w:ascii="Times New Roman" w:hAnsi="Times New Roman"/>
                <w:color w:val="000000"/>
              </w:rPr>
              <w:t xml:space="preserve"> специфический PSA</w:t>
            </w:r>
          </w:p>
          <w:p w14:paraId="8B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кала на скрытую кровь иммунохимическим методом</w:t>
            </w:r>
          </w:p>
          <w:p w14:paraId="8C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3. Функциональные исследования</w:t>
            </w:r>
          </w:p>
          <w:p w14:paraId="8D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Измерение артериального давления на периферических артериях</w:t>
            </w:r>
          </w:p>
          <w:p w14:paraId="8E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Опрос (анкетирование), направленное на выявление хронических неинфекционных заболеваний, факторов риска их развития, потребления наркотических средств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>и психотропных веществ без назначения врача</w:t>
            </w:r>
          </w:p>
          <w:p w14:paraId="8F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Антропометрические исследования (измерения роста стоя, массы тела, окружности талии), расчет индекса массы тела </w:t>
            </w:r>
          </w:p>
          <w:p w14:paraId="90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Определение абсолютного суммарного сердечно-сосудистого риска, у граждан не имеющих заболеваний, связанных с атеросклерозом, сахарного диабета второго типа и хронического заболевания почек </w:t>
            </w:r>
          </w:p>
          <w:p w14:paraId="91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Электрокардиография</w:t>
            </w:r>
          </w:p>
          <w:p w14:paraId="92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Регистрация электрокардиограммы и расшифровка, описание и интерпретация электрокардиографических данных</w:t>
            </w:r>
          </w:p>
          <w:p w14:paraId="93000000">
            <w:pPr>
              <w:widowControl w:val="1"/>
              <w:spacing w:after="0" w:before="0" w:line="276" w:lineRule="auto"/>
              <w:ind/>
              <w:contextualSpacing w:val="0"/>
              <w:jc w:val="both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Флюорография (1 раз в год)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</w:t>
            </w:r>
          </w:p>
        </w:tc>
      </w:tr>
    </w:tbl>
    <w:p w14:paraId="96000000">
      <w:pPr>
        <w:widowControl w:val="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Объем обследований и лабораторно-клинических исследований, указанный в Приказе № 201н, является обязательным.</w:t>
      </w:r>
    </w:p>
    <w:p w14:paraId="97000000">
      <w:pPr>
        <w:keepNext w:val="1"/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sz w:val="24"/>
        </w:rPr>
        <w:t>4.3.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Требования к результату услуг: </w:t>
      </w:r>
    </w:p>
    <w:p w14:paraId="98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Оформление результатов диспансеризации осуществляется в соответствии с требованиями Приказа № 201н.</w:t>
      </w:r>
    </w:p>
    <w:p w14:paraId="99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на основании результатов ди</w:t>
      </w:r>
      <w:r>
        <w:rPr>
          <w:rFonts w:ascii="Times New Roman" w:hAnsi="Times New Roman"/>
          <w:sz w:val="24"/>
        </w:rPr>
        <w:t xml:space="preserve">спансеризации Гражданского служащего должен выдать ему заключение медицинского учреждения о наличии (отсутствии) заболевания, препятствующего прохождению государственной гражданской службы, подписанное врачебной комиссией Исполнителя (далее – Заключение). </w:t>
      </w:r>
    </w:p>
    <w:p w14:paraId="9A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Заключение составляется по учетной форме № 001-ГС/у, утвержденной Приказом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№ 201н.</w:t>
      </w:r>
    </w:p>
    <w:p w14:paraId="9B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 по результатам диспансеризации, оформляет и предоставляет Заказчику отчетную документацию о проведенной диспансеризации Государственных служащих </w:t>
      </w:r>
      <w:r>
        <w:rPr>
          <w:rFonts w:ascii="Times New Roman" w:hAnsi="Times New Roman"/>
          <w:sz w:val="24"/>
        </w:rPr>
        <w:t xml:space="preserve">по данным «Карты учета диспансеризации государственного гражданского служащего Российской Федерации», в соответствии с Приказом №  201н. </w:t>
      </w:r>
    </w:p>
    <w:p w14:paraId="9C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Копия Заключения должна быть передана Исполнителем в составе отчетной документации Заказчику.</w:t>
      </w:r>
    </w:p>
    <w:p w14:paraId="9D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4.4.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Требования безопасности при оказании услуг:</w:t>
      </w:r>
      <w:r>
        <w:rPr>
          <w:rFonts w:ascii="Times New Roman" w:hAnsi="Times New Roman"/>
          <w:sz w:val="24"/>
        </w:rPr>
        <w:t xml:space="preserve"> </w:t>
      </w:r>
    </w:p>
    <w:p w14:paraId="9E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обеспечивает безопасные условия при проведении диспансеризации и гарантирует конфиденциальность сведений, ставших известными в процессе оказания услуг, согласно законодательству Российской Федерации о персональных данных.</w:t>
      </w:r>
    </w:p>
    <w:p w14:paraId="9F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Медицинские услуги должны быть надлежащего качества в объеме, определенном законодательством Российской Федерации для проведения диспансеризации федеральных государственных гражданских служащих, </w:t>
      </w:r>
      <w:r>
        <w:rPr>
          <w:rFonts w:ascii="Times New Roman" w:hAnsi="Times New Roman"/>
          <w:sz w:val="24"/>
        </w:rPr>
        <w:t>отвечать требованиям существующих в Российской Федерации отраслевых стандартов диагностики, а также требованиям Приказа № 201н, оказываться в соответствии с требованиями, предъявляемыми к методам диагностики, разрешенным на территории Российской Федерации.</w:t>
      </w:r>
    </w:p>
    <w:p w14:paraId="A0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 должен осуществлять внутренний контроль качества и безопасности медицинской деятельности, в том числе </w:t>
      </w:r>
      <w:r>
        <w:rPr>
          <w:rFonts w:ascii="Times New Roman" w:hAnsi="Times New Roman"/>
          <w:sz w:val="24"/>
        </w:rPr>
        <w:t>внутрилабораторный</w:t>
      </w:r>
      <w:r>
        <w:rPr>
          <w:rFonts w:ascii="Times New Roman" w:hAnsi="Times New Roman"/>
          <w:sz w:val="24"/>
        </w:rPr>
        <w:t>. При оказании услуг Исполнителем должны быть обеспечены безопасность жизни, здоровья граждан, санитарно-гигиенические требования. М</w:t>
      </w:r>
      <w:r>
        <w:rPr>
          <w:rFonts w:ascii="Times New Roman" w:hAnsi="Times New Roman"/>
          <w:sz w:val="24"/>
        </w:rPr>
        <w:t>едицинская аппаратура, оборудование, материально-технические средства, медикаменты, дезинфицирующие средства, необходимые для проведения медицинского осмотра, должны использоваться в строгом соответствии с требованиями инструкций организаций-изготовителей.</w:t>
      </w:r>
    </w:p>
    <w:p w14:paraId="A1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Предоставляемые Исполнителем и Заказчиком друг другу техническая, финансовая, коммерческая и иная информация, персональные данные Государственных служащих, связанные с контрактом, считаются конфиденциальной информацией.</w:t>
      </w:r>
    </w:p>
    <w:p w14:paraId="A2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разглашения указанной информации Исполнитель и Заказчик несут ответственность в соответствии с действующим законодательством (кроме случаев, прямо предусмотренных законодательством Российской Федерации).</w:t>
      </w:r>
    </w:p>
    <w:p w14:paraId="A3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Персональные данные Государственных служащих подлежат защите в соответствии с Федеральным законом от 27.07.2006 № 152-ФЗ «О персональных данных».</w:t>
      </w:r>
    </w:p>
    <w:p w14:paraId="A4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5. Требование, установленное в соответствии с законодательством Российской Федерации к лицам, осуществляющим оказание услуг:</w:t>
      </w:r>
    </w:p>
    <w:p w14:paraId="A5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 должен иметь действующую лицензию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</w:t>
      </w:r>
      <w:r>
        <w:rPr>
          <w:rFonts w:ascii="Times New Roman" w:hAnsi="Times New Roman"/>
          <w:sz w:val="24"/>
        </w:rPr>
        <w:t>на территории инновационного центра «</w:t>
      </w:r>
      <w:r>
        <w:rPr>
          <w:rFonts w:ascii="Times New Roman" w:hAnsi="Times New Roman"/>
          <w:sz w:val="24"/>
        </w:rPr>
        <w:t>Сколково</w:t>
      </w:r>
      <w:r>
        <w:rPr>
          <w:rFonts w:ascii="Times New Roman" w:hAnsi="Times New Roman"/>
          <w:sz w:val="24"/>
        </w:rPr>
        <w:t>») на следующие вид</w:t>
      </w:r>
      <w:r>
        <w:rPr>
          <w:rFonts w:ascii="Times New Roman" w:hAnsi="Times New Roman"/>
          <w:sz w:val="24"/>
        </w:rPr>
        <w:t xml:space="preserve">ы медицинской деятельности: «терапия», «акушерство и гинекология (за исключением использования вспомогательных репродуктивных технологий и искусственного прерывания беременности)», «неврология», «урология», «хирургия», «офтальмология, «оториноларингологии </w:t>
      </w:r>
      <w:r>
        <w:rPr>
          <w:rFonts w:ascii="Times New Roman" w:hAnsi="Times New Roman"/>
          <w:sz w:val="24"/>
        </w:rPr>
        <w:t xml:space="preserve">(за исключением </w:t>
      </w:r>
      <w:r>
        <w:rPr>
          <w:rFonts w:ascii="Times New Roman" w:hAnsi="Times New Roman"/>
          <w:sz w:val="24"/>
        </w:rPr>
        <w:t>кохлеарной</w:t>
      </w:r>
      <w:r>
        <w:rPr>
          <w:rFonts w:ascii="Times New Roman" w:hAnsi="Times New Roman"/>
          <w:sz w:val="24"/>
        </w:rPr>
        <w:t xml:space="preserve"> имплантации)», «эндокринология», «психиатрия», «психиатрия-наркология», «рентгенология», «ультразвуковая диагностика», «клиническая лабораторная диагностика», в соответствии с требованиями, утвержденными Приказом № 201н </w:t>
      </w:r>
      <w:r>
        <w:rPr>
          <w:rFonts w:ascii="Times New Roman" w:hAnsi="Times New Roman"/>
          <w:sz w:val="24"/>
        </w:rPr>
        <w:t xml:space="preserve">и постановлением Правительства РФ от 01.06.2021 № 852 </w:t>
      </w:r>
      <w:r>
        <w:rPr>
          <w:rFonts w:ascii="Times New Roman" w:hAnsi="Times New Roman"/>
          <w:sz w:val="24"/>
        </w:rPr>
        <w:t xml:space="preserve">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</w:t>
      </w:r>
      <w:r>
        <w:rPr>
          <w:rFonts w:ascii="Times New Roman" w:hAnsi="Times New Roman"/>
          <w:sz w:val="24"/>
        </w:rPr>
        <w:t xml:space="preserve">в частную систему здравоохранения, </w:t>
      </w:r>
      <w:r>
        <w:rPr>
          <w:rFonts w:ascii="Times New Roman" w:hAnsi="Times New Roman"/>
          <w:sz w:val="24"/>
        </w:rPr>
        <w:t>на территории инновационного центра «</w:t>
      </w:r>
      <w:r>
        <w:rPr>
          <w:rFonts w:ascii="Times New Roman" w:hAnsi="Times New Roman"/>
          <w:sz w:val="24"/>
        </w:rPr>
        <w:t>Сколково</w:t>
      </w:r>
      <w:r>
        <w:rPr>
          <w:rFonts w:ascii="Times New Roman" w:hAnsi="Times New Roman"/>
          <w:sz w:val="24"/>
        </w:rPr>
        <w:t>») и признании утратившими силу некоторых актов Правительства Российской федерации».</w:t>
      </w:r>
    </w:p>
    <w:p w14:paraId="A6000000">
      <w:pPr>
        <w:rPr>
          <w:rFonts w:ascii="Times New Roman" w:hAnsi="Times New Roman"/>
        </w:rPr>
      </w:pPr>
    </w:p>
    <w:sectPr>
      <w:type w:val="nextPage"/>
      <w:pgSz w:h="16838" w:orient="portrait" w:w="11906"/>
      <w:pgMar w:bottom="1134" w:footer="709" w:gutter="0" w:header="709" w:left="1701" w:right="850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4" w:type="paragraph">
    <w:name w:val="endnote reference"/>
    <w:link w:val="Style_4_ch"/>
    <w:rPr>
      <w:vertAlign w:val="superscript"/>
    </w:rPr>
  </w:style>
  <w:style w:styleId="Style_4_ch" w:type="character">
    <w:name w:val="endnote reference"/>
    <w:link w:val="Style_4"/>
    <w:rPr>
      <w:vertAlign w:val="superscript"/>
    </w:rPr>
  </w:style>
  <w:style w:styleId="Style_5" w:type="paragraph">
    <w:name w:val="toc 2"/>
    <w:basedOn w:val="Style_2"/>
    <w:next w:val="Style_2"/>
    <w:link w:val="Style_5_ch"/>
    <w:uiPriority w:val="39"/>
    <w:pPr>
      <w:widowControl w:val="1"/>
      <w:spacing w:after="57"/>
      <w:ind w:firstLine="0" w:left="283" w:right="0"/>
    </w:pPr>
  </w:style>
  <w:style w:styleId="Style_5_ch" w:type="character">
    <w:name w:val="toc 2"/>
    <w:basedOn w:val="Style_2_ch"/>
    <w:link w:val="Style_5"/>
  </w:style>
  <w:style w:styleId="Style_6" w:type="paragraph">
    <w:name w:val="toc 4"/>
    <w:basedOn w:val="Style_2"/>
    <w:next w:val="Style_2"/>
    <w:link w:val="Style_6_ch"/>
    <w:uiPriority w:val="39"/>
    <w:pPr>
      <w:widowControl w:val="1"/>
      <w:spacing w:after="57"/>
      <w:ind w:firstLine="0" w:left="850" w:right="0"/>
    </w:pPr>
  </w:style>
  <w:style w:styleId="Style_6_ch" w:type="character">
    <w:name w:val="toc 4"/>
    <w:basedOn w:val="Style_2_ch"/>
    <w:link w:val="Style_6"/>
  </w:style>
  <w:style w:styleId="Style_7" w:type="paragraph">
    <w:name w:val="heading 7"/>
    <w:basedOn w:val="Style_2"/>
    <w:next w:val="Style_2"/>
    <w:link w:val="Style_7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7_ch" w:type="character">
    <w:name w:val="heading 7"/>
    <w:basedOn w:val="Style_2_ch"/>
    <w:link w:val="Style_7"/>
    <w:rPr>
      <w:rFonts w:ascii="Arial" w:hAnsi="Arial"/>
      <w:b w:val="1"/>
      <w:i w:val="1"/>
      <w:sz w:val="22"/>
    </w:rPr>
  </w:style>
  <w:style w:styleId="Style_8" w:type="paragraph">
    <w:name w:val="toc 6"/>
    <w:basedOn w:val="Style_2"/>
    <w:next w:val="Style_2"/>
    <w:link w:val="Style_8_ch"/>
    <w:uiPriority w:val="39"/>
    <w:pPr>
      <w:widowControl w:val="1"/>
      <w:spacing w:after="57"/>
      <w:ind w:firstLine="0" w:left="1417" w:right="0"/>
    </w:pPr>
  </w:style>
  <w:style w:styleId="Style_8_ch" w:type="character">
    <w:name w:val="toc 6"/>
    <w:basedOn w:val="Style_2_ch"/>
    <w:link w:val="Style_8"/>
  </w:style>
  <w:style w:styleId="Style_9" w:type="paragraph">
    <w:name w:val="Intense Quote"/>
    <w:basedOn w:val="Style_2"/>
    <w:next w:val="Style_2"/>
    <w:link w:val="Style_9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9_ch" w:type="character">
    <w:name w:val="Intense Quote"/>
    <w:basedOn w:val="Style_2_ch"/>
    <w:link w:val="Style_9"/>
    <w:rPr>
      <w:i w:val="1"/>
    </w:rPr>
  </w:style>
  <w:style w:styleId="Style_1" w:type="paragraph">
    <w:name w:val="List Paragraph"/>
    <w:basedOn w:val="Style_2"/>
    <w:link w:val="Style_1_ch"/>
    <w:pPr>
      <w:widowControl w:val="1"/>
      <w:ind w:left="720"/>
      <w:contextualSpacing w:val="1"/>
    </w:pPr>
  </w:style>
  <w:style w:styleId="Style_1_ch" w:type="character">
    <w:name w:val="List Paragraph"/>
    <w:basedOn w:val="Style_2_ch"/>
    <w:link w:val="Style_1"/>
  </w:style>
  <w:style w:styleId="Style_10" w:type="paragraph">
    <w:name w:val="toc 7"/>
    <w:basedOn w:val="Style_2"/>
    <w:next w:val="Style_2"/>
    <w:link w:val="Style_10_ch"/>
    <w:uiPriority w:val="39"/>
    <w:pPr>
      <w:widowControl w:val="1"/>
      <w:spacing w:after="57"/>
      <w:ind w:firstLine="0" w:left="1701" w:right="0"/>
    </w:pPr>
  </w:style>
  <w:style w:styleId="Style_10_ch" w:type="character">
    <w:name w:val="toc 7"/>
    <w:basedOn w:val="Style_2_ch"/>
    <w:link w:val="Style_10"/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Endnote"/>
    <w:basedOn w:val="Style_2"/>
    <w:link w:val="Style_12_ch"/>
    <w:pPr>
      <w:widowControl w:val="1"/>
      <w:spacing w:after="0" w:line="240" w:lineRule="auto"/>
      <w:ind/>
    </w:pPr>
    <w:rPr>
      <w:sz w:val="20"/>
    </w:rPr>
  </w:style>
  <w:style w:styleId="Style_12_ch" w:type="character">
    <w:name w:val="Endnote"/>
    <w:basedOn w:val="Style_2_ch"/>
    <w:link w:val="Style_12"/>
    <w:rPr>
      <w:sz w:val="20"/>
    </w:rPr>
  </w:style>
  <w:style w:styleId="Style_13" w:type="paragraph">
    <w:name w:val="heading 3"/>
    <w:basedOn w:val="Style_2"/>
    <w:next w:val="Style_2"/>
    <w:link w:val="Style_13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3_ch" w:type="character">
    <w:name w:val="heading 3"/>
    <w:basedOn w:val="Style_2_ch"/>
    <w:link w:val="Style_13"/>
    <w:rPr>
      <w:rFonts w:ascii="Arial" w:hAnsi="Arial"/>
      <w:sz w:val="30"/>
    </w:rPr>
  </w:style>
  <w:style w:styleId="Style_14" w:type="paragraph">
    <w:name w:val="footnote reference"/>
    <w:link w:val="Style_14_ch"/>
    <w:rPr>
      <w:vertAlign w:val="superscript"/>
    </w:rPr>
  </w:style>
  <w:style w:styleId="Style_14_ch" w:type="character">
    <w:name w:val="footnote reference"/>
    <w:link w:val="Style_14"/>
    <w:rPr>
      <w:vertAlign w:val="superscript"/>
    </w:rPr>
  </w:style>
  <w:style w:styleId="Style_15" w:type="paragraph">
    <w:name w:val="heading 9"/>
    <w:basedOn w:val="Style_2"/>
    <w:next w:val="Style_2"/>
    <w:link w:val="Style_15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5_ch" w:type="character">
    <w:name w:val="heading 9"/>
    <w:basedOn w:val="Style_2_ch"/>
    <w:link w:val="Style_15"/>
    <w:rPr>
      <w:rFonts w:ascii="Arial" w:hAnsi="Arial"/>
      <w:i w:val="1"/>
      <w:sz w:val="21"/>
    </w:rPr>
  </w:style>
  <w:style w:styleId="Style_16" w:type="paragraph">
    <w:name w:val="Quote"/>
    <w:basedOn w:val="Style_2"/>
    <w:next w:val="Style_2"/>
    <w:link w:val="Style_16_ch"/>
    <w:pPr>
      <w:widowControl w:val="1"/>
      <w:ind w:left="720" w:right="720"/>
    </w:pPr>
    <w:rPr>
      <w:i w:val="1"/>
    </w:rPr>
  </w:style>
  <w:style w:styleId="Style_16_ch" w:type="character">
    <w:name w:val="Quote"/>
    <w:basedOn w:val="Style_2_ch"/>
    <w:link w:val="Style_16"/>
    <w:rPr>
      <w:i w:val="1"/>
    </w:rPr>
  </w:style>
  <w:style w:styleId="Style_17" w:type="paragraph">
    <w:name w:val="Header"/>
    <w:basedOn w:val="Style_2"/>
    <w:link w:val="Style_17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7_ch" w:type="character">
    <w:name w:val="Header"/>
    <w:basedOn w:val="Style_2_ch"/>
    <w:link w:val="Style_17"/>
  </w:style>
  <w:style w:styleId="Style_18" w:type="paragraph">
    <w:name w:val="toc 3"/>
    <w:basedOn w:val="Style_2"/>
    <w:next w:val="Style_2"/>
    <w:link w:val="Style_18_ch"/>
    <w:uiPriority w:val="39"/>
    <w:pPr>
      <w:widowControl w:val="1"/>
      <w:spacing w:after="57"/>
      <w:ind w:firstLine="0" w:left="567" w:right="0"/>
    </w:pPr>
  </w:style>
  <w:style w:styleId="Style_18_ch" w:type="character">
    <w:name w:val="toc 3"/>
    <w:basedOn w:val="Style_2_ch"/>
    <w:link w:val="Style_18"/>
  </w:style>
  <w:style w:styleId="Style_19" w:type="paragraph">
    <w:name w:val="Caption"/>
    <w:basedOn w:val="Style_2"/>
    <w:next w:val="Style_2"/>
    <w:link w:val="Style_19_ch"/>
    <w:pPr>
      <w:widowControl w:val="1"/>
      <w:spacing w:line="276" w:lineRule="auto"/>
      <w:ind/>
    </w:pPr>
    <w:rPr>
      <w:b w:val="1"/>
      <w:color w:themeColor="accent1" w:val="5B9BD5"/>
      <w:sz w:val="18"/>
    </w:rPr>
  </w:style>
  <w:style w:styleId="Style_19_ch" w:type="character">
    <w:name w:val="Caption"/>
    <w:basedOn w:val="Style_2_ch"/>
    <w:link w:val="Style_19"/>
    <w:rPr>
      <w:b w:val="1"/>
      <w:color w:themeColor="accent1" w:val="5B9BD5"/>
      <w:sz w:val="18"/>
    </w:rPr>
  </w:style>
  <w:style w:styleId="Style_20" w:type="paragraph">
    <w:name w:val="heading 5"/>
    <w:basedOn w:val="Style_2"/>
    <w:next w:val="Style_2"/>
    <w:link w:val="Style_20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20_ch" w:type="character">
    <w:name w:val="heading 5"/>
    <w:basedOn w:val="Style_2_ch"/>
    <w:link w:val="Style_20"/>
    <w:rPr>
      <w:rFonts w:ascii="Arial" w:hAnsi="Arial"/>
      <w:b w:val="1"/>
      <w:sz w:val="24"/>
    </w:rPr>
  </w:style>
  <w:style w:styleId="Style_21" w:type="paragraph">
    <w:name w:val="No Spacing"/>
    <w:basedOn w:val="Style_2"/>
    <w:link w:val="Style_21_ch"/>
    <w:pPr>
      <w:widowControl w:val="1"/>
      <w:spacing w:after="0" w:line="240" w:lineRule="auto"/>
      <w:ind/>
    </w:pPr>
  </w:style>
  <w:style w:styleId="Style_21_ch" w:type="character">
    <w:name w:val="No Spacing"/>
    <w:basedOn w:val="Style_2_ch"/>
    <w:link w:val="Style_21"/>
  </w:style>
  <w:style w:styleId="Style_22" w:type="paragraph">
    <w:name w:val="heading 1"/>
    <w:basedOn w:val="Style_2"/>
    <w:next w:val="Style_2"/>
    <w:link w:val="Style_22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22_ch" w:type="character">
    <w:name w:val="heading 1"/>
    <w:basedOn w:val="Style_2_ch"/>
    <w:link w:val="Style_22"/>
    <w:rPr>
      <w:rFonts w:ascii="Arial" w:hAnsi="Arial"/>
      <w:sz w:val="40"/>
    </w:rPr>
  </w:style>
  <w:style w:styleId="Style_23" w:type="paragraph">
    <w:name w:val="Hyperlink"/>
    <w:link w:val="Style_23_ch"/>
    <w:rPr>
      <w:color w:themeColor="hyperlink" w:val="0563C1"/>
      <w:u w:val="single"/>
    </w:rPr>
  </w:style>
  <w:style w:styleId="Style_23_ch" w:type="character">
    <w:name w:val="Hyperlink"/>
    <w:link w:val="Style_23"/>
    <w:rPr>
      <w:color w:themeColor="hyperlink" w:val="0563C1"/>
      <w:u w:val="single"/>
    </w:rPr>
  </w:style>
  <w:style w:styleId="Style_24" w:type="paragraph">
    <w:name w:val="Footnote"/>
    <w:basedOn w:val="Style_2"/>
    <w:link w:val="Style_24_ch"/>
    <w:pPr>
      <w:widowControl w:val="1"/>
      <w:spacing w:after="40" w:line="240" w:lineRule="auto"/>
      <w:ind/>
    </w:pPr>
    <w:rPr>
      <w:sz w:val="18"/>
    </w:rPr>
  </w:style>
  <w:style w:styleId="Style_24_ch" w:type="character">
    <w:name w:val="Footnote"/>
    <w:basedOn w:val="Style_2_ch"/>
    <w:link w:val="Style_24"/>
    <w:rPr>
      <w:sz w:val="18"/>
    </w:rPr>
  </w:style>
  <w:style w:styleId="Style_25" w:type="paragraph">
    <w:name w:val="heading 8"/>
    <w:basedOn w:val="Style_2"/>
    <w:next w:val="Style_2"/>
    <w:link w:val="Style_25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25_ch" w:type="character">
    <w:name w:val="heading 8"/>
    <w:basedOn w:val="Style_2_ch"/>
    <w:link w:val="Style_25"/>
    <w:rPr>
      <w:rFonts w:ascii="Arial" w:hAnsi="Arial"/>
      <w:i w:val="1"/>
      <w:sz w:val="22"/>
    </w:rPr>
  </w:style>
  <w:style w:styleId="Style_26" w:type="paragraph">
    <w:name w:val="toc 1"/>
    <w:basedOn w:val="Style_2"/>
    <w:next w:val="Style_2"/>
    <w:link w:val="Style_26_ch"/>
    <w:uiPriority w:val="39"/>
    <w:pPr>
      <w:widowControl w:val="1"/>
      <w:spacing w:after="57"/>
      <w:ind w:firstLine="0" w:left="0" w:right="0"/>
    </w:pPr>
  </w:style>
  <w:style w:styleId="Style_26_ch" w:type="character">
    <w:name w:val="toc 1"/>
    <w:basedOn w:val="Style_2_ch"/>
    <w:link w:val="Style_26"/>
  </w:style>
  <w:style w:styleId="Style_27" w:type="paragraph">
    <w:name w:val="Header and Footer"/>
    <w:link w:val="Style_2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7_ch" w:type="character">
    <w:name w:val="Header and Footer"/>
    <w:link w:val="Style_27"/>
    <w:rPr>
      <w:rFonts w:ascii="XO Thames" w:hAnsi="XO Thames"/>
      <w:sz w:val="28"/>
    </w:rPr>
  </w:style>
  <w:style w:styleId="Style_28" w:type="paragraph">
    <w:name w:val="toc 9"/>
    <w:basedOn w:val="Style_2"/>
    <w:next w:val="Style_2"/>
    <w:link w:val="Style_28_ch"/>
    <w:uiPriority w:val="39"/>
    <w:pPr>
      <w:widowControl w:val="1"/>
      <w:spacing w:after="57"/>
      <w:ind w:firstLine="0" w:left="2268" w:right="0"/>
    </w:pPr>
  </w:style>
  <w:style w:styleId="Style_28_ch" w:type="character">
    <w:name w:val="toc 9"/>
    <w:basedOn w:val="Style_2_ch"/>
    <w:link w:val="Style_28"/>
  </w:style>
  <w:style w:styleId="Style_29" w:type="paragraph">
    <w:name w:val="table of figures"/>
    <w:basedOn w:val="Style_2"/>
    <w:next w:val="Style_2"/>
    <w:link w:val="Style_29_ch"/>
    <w:pPr>
      <w:widowControl w:val="1"/>
      <w:spacing w:after="0"/>
      <w:ind/>
    </w:pPr>
  </w:style>
  <w:style w:styleId="Style_29_ch" w:type="character">
    <w:name w:val="table of figures"/>
    <w:basedOn w:val="Style_2_ch"/>
    <w:link w:val="Style_29"/>
  </w:style>
  <w:style w:styleId="Style_30" w:type="paragraph">
    <w:name w:val="toc 8"/>
    <w:basedOn w:val="Style_2"/>
    <w:next w:val="Style_2"/>
    <w:link w:val="Style_30_ch"/>
    <w:uiPriority w:val="39"/>
    <w:pPr>
      <w:widowControl w:val="1"/>
      <w:spacing w:after="57"/>
      <w:ind w:firstLine="0" w:left="1984" w:right="0"/>
    </w:pPr>
  </w:style>
  <w:style w:styleId="Style_30_ch" w:type="character">
    <w:name w:val="toc 8"/>
    <w:basedOn w:val="Style_2_ch"/>
    <w:link w:val="Style_30"/>
  </w:style>
  <w:style w:styleId="Style_31" w:type="paragraph">
    <w:name w:val="toc 5"/>
    <w:basedOn w:val="Style_2"/>
    <w:next w:val="Style_2"/>
    <w:link w:val="Style_31_ch"/>
    <w:uiPriority w:val="39"/>
    <w:pPr>
      <w:widowControl w:val="1"/>
      <w:spacing w:after="57"/>
      <w:ind w:firstLine="0" w:left="1134" w:right="0"/>
    </w:pPr>
  </w:style>
  <w:style w:styleId="Style_31_ch" w:type="character">
    <w:name w:val="toc 5"/>
    <w:basedOn w:val="Style_2_ch"/>
    <w:link w:val="Style_31"/>
  </w:style>
  <w:style w:styleId="Style_32" w:type="paragraph">
    <w:name w:val="Footer"/>
    <w:basedOn w:val="Style_2"/>
    <w:link w:val="Style_32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32_ch" w:type="character">
    <w:name w:val="Footer"/>
    <w:basedOn w:val="Style_2_ch"/>
    <w:link w:val="Style_32"/>
  </w:style>
  <w:style w:styleId="Style_33" w:type="paragraph">
    <w:name w:val="TOC Heading"/>
    <w:link w:val="Style_33_ch"/>
  </w:style>
  <w:style w:styleId="Style_33_ch" w:type="character">
    <w:name w:val="TOC Heading"/>
    <w:link w:val="Style_33"/>
  </w:style>
  <w:style w:styleId="Style_34" w:type="paragraph">
    <w:name w:val="Subtitle"/>
    <w:basedOn w:val="Style_2"/>
    <w:next w:val="Style_2"/>
    <w:link w:val="Style_34_ch"/>
    <w:uiPriority w:val="11"/>
    <w:qFormat/>
    <w:pPr>
      <w:widowControl w:val="1"/>
      <w:spacing w:after="200" w:before="200"/>
      <w:ind/>
    </w:pPr>
    <w:rPr>
      <w:sz w:val="24"/>
    </w:rPr>
  </w:style>
  <w:style w:styleId="Style_34_ch" w:type="character">
    <w:name w:val="Subtitle"/>
    <w:basedOn w:val="Style_2_ch"/>
    <w:link w:val="Style_34"/>
    <w:rPr>
      <w:sz w:val="24"/>
    </w:rPr>
  </w:style>
  <w:style w:styleId="Style_35" w:type="paragraph">
    <w:name w:val="Title"/>
    <w:basedOn w:val="Style_2"/>
    <w:next w:val="Style_2"/>
    <w:link w:val="Style_35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35_ch" w:type="character">
    <w:name w:val="Title"/>
    <w:basedOn w:val="Style_2_ch"/>
    <w:link w:val="Style_35"/>
    <w:rPr>
      <w:sz w:val="48"/>
    </w:rPr>
  </w:style>
  <w:style w:styleId="Style_36" w:type="paragraph">
    <w:name w:val="heading 4"/>
    <w:basedOn w:val="Style_2"/>
    <w:next w:val="Style_2"/>
    <w:link w:val="Style_36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36_ch" w:type="character">
    <w:name w:val="heading 4"/>
    <w:basedOn w:val="Style_2_ch"/>
    <w:link w:val="Style_36"/>
    <w:rPr>
      <w:rFonts w:ascii="Arial" w:hAnsi="Arial"/>
      <w:b w:val="1"/>
      <w:sz w:val="26"/>
    </w:rPr>
  </w:style>
  <w:style w:styleId="Style_37" w:type="paragraph">
    <w:name w:val="heading 2"/>
    <w:basedOn w:val="Style_2"/>
    <w:next w:val="Style_2"/>
    <w:link w:val="Style_37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37_ch" w:type="character">
    <w:name w:val="heading 2"/>
    <w:basedOn w:val="Style_2_ch"/>
    <w:link w:val="Style_37"/>
    <w:rPr>
      <w:rFonts w:ascii="Arial" w:hAnsi="Arial"/>
      <w:sz w:val="34"/>
    </w:rPr>
  </w:style>
  <w:style w:styleId="Style_38" w:type="paragraph">
    <w:name w:val="heading 6"/>
    <w:basedOn w:val="Style_2"/>
    <w:next w:val="Style_2"/>
    <w:link w:val="Style_38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38_ch" w:type="character">
    <w:name w:val="heading 6"/>
    <w:basedOn w:val="Style_2_ch"/>
    <w:link w:val="Style_38"/>
    <w:rPr>
      <w:rFonts w:ascii="Arial" w:hAnsi="Arial"/>
      <w:b w:val="1"/>
      <w:sz w:val="22"/>
    </w:rPr>
  </w:style>
  <w:style w:styleId="Style_39" w:type="table">
    <w:name w:val="Bordered &amp; Lined - Accent 6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40" w:type="table">
    <w:name w:val="Bordered &amp; Lined - Accent 4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41" w:type="table">
    <w:name w:val="Table Grid Light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" w:type="table">
    <w:name w:val="Grid Table 5 Dark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43" w:type="table">
    <w:name w:val="Grid Table 1 Light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44" w:type="table">
    <w:name w:val="Grid Table 3 - Accent 5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45" w:type="table">
    <w:name w:val="List Table 7 Colorful - Accent 1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46" w:type="table">
    <w:name w:val="List Table 3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47" w:type="table">
    <w:name w:val="Plain Table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8" w:type="table">
    <w:name w:val="Bordered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49" w:type="table">
    <w:name w:val="Grid Table 2 - Accent 5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50" w:type="table">
    <w:name w:val="Grid Table 2 - Accent 4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51" w:type="table">
    <w:name w:val="Grid Table 6 Colorful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52" w:type="table">
    <w:name w:val="Bordered &amp; Lined - Accent 1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53" w:type="table">
    <w:name w:val="Bordered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54" w:type="table">
    <w:name w:val="Lined - Accent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55" w:type="table">
    <w:name w:val="Bordered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56" w:type="table">
    <w:name w:val="Grid Table 2 - Accent 2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57" w:type="table">
    <w:name w:val="List Table 6 Colorful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58" w:type="table">
    <w:name w:val="Grid Table 3 - Accent 2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59" w:type="table">
    <w:name w:val="List Table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60" w:type="table">
    <w:name w:val="Grid Table 6 Colorful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61" w:type="table">
    <w:name w:val="List Table 7 Colorful - Accent 4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62" w:type="table">
    <w:name w:val="Grid Table 1 Light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63" w:type="table">
    <w:name w:val="Grid Table 4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64" w:type="table">
    <w:name w:val="List Table 5 Dark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65" w:type="table">
    <w:name w:val="Grid Table 6 Colorful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66" w:type="table">
    <w:name w:val="List Table 5 Dark - Accent 6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67" w:type="table">
    <w:name w:val="List Table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68" w:type="table">
    <w:name w:val="Table Grid"/>
    <w:basedOn w:val="Style_3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9" w:type="table">
    <w:name w:val="List Table 7 Colorful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70" w:type="table">
    <w:name w:val="List Table 6 Colorful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71" w:type="table">
    <w:name w:val="Grid Table 5 Dark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2" w:type="table">
    <w:name w:val="List Table 4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73" w:type="table">
    <w:name w:val="Bordered &amp; Lined - Accent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74" w:type="table">
    <w:name w:val="Grid Table 3 - Accent 4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5" w:type="table">
    <w:name w:val="Lined - Accent 2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76" w:type="table">
    <w:name w:val="Grid Table 7 Colorful - Accent 6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77" w:type="table">
    <w:name w:val="List Table 1 Light - Accent 2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78" w:type="table">
    <w:name w:val="Grid Table 7 Colorful - Accent 2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79" w:type="table">
    <w:name w:val="Grid Table 5 Dark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0" w:type="table">
    <w:name w:val="Grid Table 7 Colorful - Accent 1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81" w:type="table">
    <w:name w:val="List Table 7 Colorful - Accent 5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82" w:type="table">
    <w:name w:val="Grid Table 6 Colorful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83" w:type="table">
    <w:name w:val="Grid Table 1 Light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84" w:type="table">
    <w:name w:val="List Table 5 Dark - Accent 4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85" w:type="table">
    <w:name w:val="List Table 3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86" w:type="table">
    <w:name w:val="List Table 2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87" w:type="table">
    <w:name w:val="Grid Table 1 Light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88" w:type="table">
    <w:name w:val="Grid Table 1 Light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89" w:type="table">
    <w:name w:val="List Table 2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90" w:type="table">
    <w:name w:val="List Table 5 Dark - Accent 1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91" w:type="table">
    <w:name w:val="Grid Table 1 Light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92" w:type="table">
    <w:name w:val="List Table 4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93" w:type="table">
    <w:name w:val="Lined - Accent 6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94" w:type="table">
    <w:name w:val="List Table 7 Colorful - Accent 3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95" w:type="table">
    <w:name w:val="List Table 1 Light - Accent 3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96" w:type="table">
    <w:name w:val="List Table 2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97" w:type="table">
    <w:name w:val="List Table 4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98" w:type="table">
    <w:name w:val="Grid Table 3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99" w:type="table">
    <w:name w:val="Lined - Accent 5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00" w:type="table">
    <w:name w:val="Bordered &amp; Lined - Accent 3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01" w:type="table">
    <w:name w:val="Grid Table 6 Colorful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2" w:type="table">
    <w:name w:val="List Table 5 Dark - Accent 3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03" w:type="table">
    <w:name w:val="Grid Table 2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04" w:type="table">
    <w:name w:val="List Table 6 Colorful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05" w:type="table">
    <w:name w:val="Grid Table 4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06" w:type="table">
    <w:name w:val="Grid Table 4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07" w:type="table">
    <w:name w:val="Plain Table 3"/>
    <w:basedOn w:val="Style_3"/>
    <w:pPr>
      <w:widowControl w:val="1"/>
      <w:spacing w:after="0" w:line="240" w:lineRule="auto"/>
      <w:ind/>
    </w:pPr>
    <w:tblPr>
      <w:tblInd w:type="dxa" w:w="0"/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08" w:type="table">
    <w:name w:val="List Table 1 Light - Accent 6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109" w:type="table">
    <w:name w:val="List Table 6 Colorful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10" w:type="table">
    <w:name w:val="Grid Table 5 Dark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1" w:type="table">
    <w:name w:val="List Table 5 Dark - Accent 5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12" w:type="table">
    <w:name w:val="Grid Table 7 Colorful - Accent 5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13" w:type="table">
    <w:name w:val="Bordered &amp; Lined - Accent 2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14" w:type="table">
    <w:name w:val="List Table 5 Dark - Accent 2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15" w:type="table">
    <w:name w:val="Plain Table 5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116" w:type="table">
    <w:name w:val="Lined - Accent 3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17" w:type="table">
    <w:name w:val="Bordered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18" w:type="table">
    <w:name w:val="Plain Table 4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119" w:type="table">
    <w:name w:val="Grid Table 7 Colorful - Accent 3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0" w:type="table">
    <w:name w:val="Lined - Accent 1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21" w:type="table">
    <w:name w:val="Lined - Accent 4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22" w:type="table">
    <w:name w:val="List Table 1 Light - Accent 1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123" w:type="table">
    <w:name w:val="List Table 2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24" w:type="table">
    <w:name w:val="Grid Table 3 - Accent 3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5" w:type="table">
    <w:name w:val="Grid Table 2 - Accent 6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26" w:type="table">
    <w:name w:val="List Table 1 Light - Accent 4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127" w:type="table">
    <w:name w:val="List Table 3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28" w:type="table">
    <w:name w:val="Grid Table 7 Colorful - Accent 4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9" w:type="table">
    <w:name w:val="List Table 4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30" w:type="table">
    <w:name w:val="List Table 1 Light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131" w:type="table">
    <w:name w:val="List Table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32" w:type="table">
    <w:name w:val="Grid Table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33" w:type="table">
    <w:name w:val="Grid Table 4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34" w:type="table">
    <w:name w:val="List Table 7 Colorful - Accent 6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35" w:type="table">
    <w:name w:val="Bordered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36" w:type="table">
    <w:name w:val="Grid Table 3 - Accent 1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37" w:type="table">
    <w:name w:val="Plain Table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8" w:type="table">
    <w:name w:val="List Table 2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39" w:type="table">
    <w:name w:val="Grid Table 5 Dark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0" w:type="table">
    <w:name w:val="Bordered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41" w:type="table">
    <w:name w:val="Grid Table 2 - Accent 3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2" w:type="table">
    <w:name w:val="List Table 6 Colorful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43" w:type="table">
    <w:name w:val="List Table 6 Colorful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44" w:type="table">
    <w:name w:val="Bordered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45" w:type="table">
    <w:name w:val="Grid Table 3 - Accent 6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46" w:type="table">
    <w:name w:val="Grid Table 7 Colorful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47" w:type="table">
    <w:name w:val="Bordered &amp; Lined - Accent 5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48" w:type="table">
    <w:name w:val="Grid Table 4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49" w:type="table">
    <w:name w:val="List Table 1 Light - Accent 5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150" w:type="table">
    <w:name w:val="List Table 3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51" w:type="table">
    <w:name w:val="Grid Table 5 Dark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2" w:type="table">
    <w:name w:val="List Table 3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53" w:type="table">
    <w:name w:val="List Table 2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54" w:type="table">
    <w:name w:val="Grid Table 5 Dark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5" w:type="table">
    <w:name w:val="Grid Table 1 Light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56" w:type="table">
    <w:name w:val="Grid Table 6 Colorful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57" w:type="table">
    <w:name w:val="Grid Table 2 - Accent 1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58" w:type="table">
    <w:name w:val="List Table 6 Colorful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59" w:type="table">
    <w:name w:val="Grid Table 6 Colorful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60" w:type="table">
    <w:name w:val="List Table 4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61" w:type="table">
    <w:name w:val="Grid Table 4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62" w:type="table">
    <w:name w:val="List Table 7 Colorful - Accent 2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63" w:type="table">
    <w:name w:val="List Table 4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64" w:type="table">
    <w:name w:val="List Table 3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2026-05-12T10:45:03Z</dcterms:created>
  <dcterms:modified xsi:type="dcterms:W3CDTF">2026-07-20T06:56:20Z</dcterms:modified>
</cp:coreProperties>
</file>