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ind w:right="-1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ДОГОВОР </w:t>
      </w:r>
      <w:r>
        <w:rPr>
          <w:rFonts w:ascii="Times New Roman" w:hAnsi="Times New Roman" w:cs="Times New Roman" w:eastAsia="Times New Roman"/>
          <w:b/>
          <w:bCs/>
          <w:color w:val="auto"/>
          <w:sz w:val="20"/>
          <w:szCs w:val="20"/>
          <w:lang w:val="ru-RU" w:bidi="ar-SA" w:eastAsia="ru-RU"/>
        </w:rPr>
        <w:t xml:space="preserve">№   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на проведение работ по специальной оценке условий труда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  <w:t xml:space="preserve">ИКЗ </w:t>
      </w:r>
      <w:r>
        <w:rPr>
          <w:rFonts w:ascii="Tahoma" w:hAnsi="Tahoma" w:cs="Tahoma" w:eastAsia="Tahoma"/>
          <w:color w:val="000000"/>
          <w:sz w:val="20"/>
          <w:highlight w:val="none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b/>
          <w:bCs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г. Киров                                                                                                                                       « ___ » ________ 2026 г.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jc w:val="both"/>
        <w:spacing w:lineRule="auto" w:line="276"/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eastAsia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</w:rPr>
        <w:t xml:space="preserve">Общество с ограниченной ответственностью «Кировский региональный центр «Охрана труда»</w:t>
      </w:r>
      <w:r>
        <w:rPr>
          <w:rFonts w:ascii="Times New Roman" w:hAnsi="Times New Roman" w:eastAsia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Times New Roman"/>
          <w:sz w:val="20"/>
          <w:szCs w:val="20"/>
        </w:rPr>
        <w:t xml:space="preserve">, в лице </w:t>
      </w:r>
      <w:r>
        <w:rPr>
          <w:rFonts w:ascii="Times New Roman" w:hAnsi="Times New Roman" w:eastAsia="Times New Roman"/>
          <w:sz w:val="20"/>
          <w:szCs w:val="20"/>
        </w:rPr>
        <w:t xml:space="preserve">директора </w:t>
      </w:r>
      <w:r>
        <w:rPr>
          <w:rFonts w:ascii="Times New Roman" w:hAnsi="Times New Roman" w:eastAsia="Times New Roman"/>
          <w:sz w:val="20"/>
          <w:szCs w:val="20"/>
        </w:rPr>
        <w:t xml:space="preserve">Воротникова</w:t>
      </w:r>
      <w:r>
        <w:rPr>
          <w:rFonts w:ascii="Times New Roman" w:hAnsi="Times New Roman" w:eastAsia="Times New Roman"/>
          <w:sz w:val="20"/>
          <w:szCs w:val="20"/>
        </w:rPr>
        <w:t xml:space="preserve"> Андрея Валерьевича</w:t>
      </w:r>
      <w:r>
        <w:rPr>
          <w:rFonts w:ascii="Times New Roman" w:hAnsi="Times New Roman" w:eastAsia="Times New Roman"/>
          <w:sz w:val="20"/>
          <w:szCs w:val="20"/>
        </w:rPr>
        <w:t xml:space="preserve">, 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действующего на основании Устава, именуемое в дальнейшем «Исполнитель», с одной стороны, и ФГБУН «Кировский научно-исследовательский институт гематоло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гии и переливания крови Федерального медико-биологического агентства», в лице директора института Парамонова Игоря Владимировича, действующего на основании Устава, именуемое в дальнейшем «Заказчик», с другой стороны, далее совместно именуемые «Стороны», в </w:t>
      </w:r>
      <w:r>
        <w:rPr>
          <w:rFonts w:ascii="Times New Roman" w:hAnsi="Times New Roman" w:cs="Times New Roman" w:eastAsia="Times New Roman"/>
          <w:b w:val="false"/>
          <w:bCs w:val="false"/>
          <w:sz w:val="20"/>
          <w:szCs w:val="20"/>
        </w:rPr>
        <w:t xml:space="preserve">соответствии с п.4 ч. 1 ст.93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rFonts w:ascii="Times New Roman" w:hAnsi="Times New Roman" w:cs="Times New Roman"/>
          <w:b w:val="false"/>
          <w:bCs w:val="false"/>
          <w:sz w:val="20"/>
          <w:szCs w:val="20"/>
        </w:rPr>
        <w:t xml:space="preserve">:</w:t>
      </w:r>
      <w:r>
        <w:rPr>
          <w:rFonts w:ascii="Times New Roman" w:hAnsi="Times New Roman" w:cs="Times New Roman" w:eastAsia="Times New Roman"/>
          <w:b w:val="false"/>
          <w:bCs w:val="false"/>
          <w:sz w:val="23"/>
          <w:szCs w:val="23"/>
          <w:lang w:eastAsia="ru-RU"/>
        </w:rPr>
      </w:r>
      <w:r/>
    </w:p>
    <w:p>
      <w:pPr>
        <w:pStyle w:val="883"/>
        <w:ind w:left="852" w:right="0"/>
        <w:jc w:val="center"/>
        <w:spacing w:lineRule="auto" w:line="276"/>
        <w:shd w:val="clear" w:fill="FFFFFF" w:color="auto"/>
        <w:tabs>
          <w:tab w:val="left" w:pos="3686" w:leader="none"/>
          <w:tab w:val="left" w:pos="3969" w:leader="none"/>
        </w:tabs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 ПРЕДМЕТ ДОГОВОРА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1" w:firstLine="567"/>
        <w:jc w:val="both"/>
        <w:spacing w:lineRule="auto" w:line="276"/>
        <w:shd w:val="clear" w:fill="FFFFFF" w:color="auto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1.1. Заказчик поручает, а Исполнитель обязуется провести работы по специальной оценке условий труда (далее – СОУТ) на предприятии Заказчика, а Заказчик обязуется оплатить данные работы.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1.2. Проведение работ по специальной оценке условий труда включает выполнение работ, предусмотренных ФЗ РФ №426-ФЗ от 28.12.2013 г. Перечень и объем работ предусмотрен приложением №1.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1.3. Место проведения работ: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г  Кировская область, Киров, Красноармейская, д. 72. Фактические адреса проведения измерений факторов производственной среды и трудового процесса (рабочая зона) согласно пункту 4 ПЕРЕЧЕНЬ РАБОЧИХ МЕСТ ДЛЯ ПРОВЕДЕНИЯ СОУТ в 2026 году Приложения №1 договора.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</w:t>
      </w:r>
      <w:r/>
    </w:p>
    <w:p>
      <w:pPr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Местонахождение Исполнителя: Кировская область, г. Киров.</w:t>
      </w:r>
      <w:r/>
    </w:p>
    <w:p>
      <w:pPr>
        <w:pStyle w:val="883"/>
        <w:ind w:left="-567"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ar-SA"/>
        </w:rPr>
        <w:t xml:space="preserve">                </w:t>
      </w:r>
      <w:r>
        <w:rPr>
          <w:rFonts w:ascii="Times New Roman" w:hAnsi="Times New Roman" w:cs="Times New Roman" w:eastAsia="Times New Roman"/>
          <w:sz w:val="20"/>
          <w:szCs w:val="20"/>
          <w:lang w:eastAsia="ar-SA"/>
        </w:rPr>
        <w:t xml:space="preserve">2. СРОКИ ВЫПОЛНЕНИЯ РАБОТ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2.1. </w:t>
      </w:r>
      <w:r>
        <w:rPr>
          <w:rFonts w:ascii="Times New Roman" w:hAnsi="Times New Roman" w:cs="Times New Roman"/>
          <w:sz w:val="20"/>
          <w:szCs w:val="20"/>
        </w:rPr>
        <w:t xml:space="preserve">Исполнитель приступает к выполнению работ по настоящему договору после подписания настоящего договора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Срок проведения работ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 момента заключения договора </w:t>
      </w:r>
      <w:r>
        <w:rPr>
          <w:rFonts w:ascii="Times New Roman" w:hAnsi="Times New Roman" w:cs="Times New Roman"/>
          <w:b/>
          <w:sz w:val="20"/>
          <w:szCs w:val="20"/>
          <w:shd w:val="clear" w:fill="FFFFFF" w:color="auto"/>
        </w:rPr>
        <w:t xml:space="preserve">п</w:t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fill="FFFFFF" w:color="auto"/>
        </w:rPr>
        <w:t xml:space="preserve">о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 09.10.2026 года.</w:t>
      </w:r>
      <w:r>
        <w:rPr>
          <w:rFonts w:ascii="Times New Roman" w:hAnsi="Times New Roman" w:cs="Times New Roman"/>
          <w:b/>
          <w:sz w:val="20"/>
          <w:szCs w:val="20"/>
          <w:highlight w:val="none"/>
          <w:shd w:val="clear" w:fill="FFFFFF" w:color="auto"/>
        </w:rPr>
      </w:r>
      <w:r/>
    </w:p>
    <w:p>
      <w:pPr>
        <w:pStyle w:val="883"/>
        <w:ind w:left="0" w:right="-1" w:firstLine="426"/>
        <w:jc w:val="center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3. СТОИМОСТЬ И ПОРЯДОК РАСЧЕТОВ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Общая стоимость услуг (далее — цена договора) составляет 119 540,00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false"/>
          <w:bCs w:val="false"/>
          <w:sz w:val="20"/>
          <w:szCs w:val="20"/>
        </w:rPr>
        <w:t xml:space="preserve">руб. (сто девятнадцать тысяч пятьсот сорок) рублей 00 копеек, </w:t>
      </w:r>
      <w:r>
        <w:rPr>
          <w:rFonts w:ascii="Times New Roman" w:hAnsi="Times New Roman" w:cs="Times New Roman"/>
          <w:sz w:val="20"/>
          <w:szCs w:val="20"/>
        </w:rPr>
        <w:t xml:space="preserve"> НДС 5%.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0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Цена договора может быть снижена по соглашению Сторон без изменения предусмотренных договором качества и объема оказываемых услуг, и иных условий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0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Заказчик по согласованию с Исполнителем в ходе исполнения настоящего договора вправе увеличить предусмотренный договором объем услуг, не более чем на десять</w:t>
      </w:r>
      <w:r>
        <w:rPr>
          <w:rFonts w:ascii="Times New Roman" w:hAnsi="Times New Roman" w:cs="Times New Roman"/>
          <w:sz w:val="20"/>
          <w:szCs w:val="20"/>
        </w:rPr>
        <w:t xml:space="preserve"> процентов или уменьшить предусмотренный договором объем услуг,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</w:t>
      </w:r>
      <w:r>
        <w:rPr>
          <w:rFonts w:ascii="Times New Roman" w:hAnsi="Times New Roman" w:cs="Times New Roman"/>
          <w:sz w:val="20"/>
          <w:szCs w:val="20"/>
        </w:rPr>
        <w:t xml:space="preserve">ельному объему услуг, исходя из установленной в договоре цены единицы услуги, но не более чем на десять процентов цены договора. При уменьшении предусмотренного договором объема услуг, Стороны обязаны уменьшить цену договора исходя из цены единицы услуги.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9"/>
        <w:ind w:right="-57" w:firstLine="709"/>
        <w:jc w:val="both"/>
        <w:spacing w:lineRule="auto" w:line="240"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 </w:t>
      </w:r>
      <w:r>
        <w:rPr>
          <w:rFonts w:ascii="Times New Roman" w:hAnsi="Times New Roman" w:cs="Times New Roman"/>
          <w:sz w:val="20"/>
          <w:szCs w:val="20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должна быть уменьшена на размер налогов, сборов и иных обязательных платежей в бюджеты бюджетной системы </w:t>
      </w:r>
      <w:r>
        <w:rPr>
          <w:rFonts w:ascii="Times New Roman" w:hAnsi="Times New Roman" w:cs="Times New Roman"/>
          <w:sz w:val="20"/>
          <w:szCs w:val="20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Цена договора включает в себя: стоимость услуг по поверке, затраты, связанные со страхованием, уплатой налогов, сборов и другие обязательные платежи.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3.7. Неучтенные затраты Исполнителя, но связанные с исполнением договора, и не включенные в предлагаемую цену договора, не подлежат оплате Заказчиком.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0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3.8. Цена и валюта платежа по настоящему договору устанавливается в российских рублях.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tabs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3.9. Источник финансирования: оплата осуществляется за счет средств бюджетного учреждения (Заказчика).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numPr>
          <w:ilvl w:val="0"/>
          <w:numId w:val="0"/>
        </w:numPr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  <w:outlineLvl w:val="1"/>
      </w:pPr>
      <w:r>
        <w:rPr>
          <w:rFonts w:ascii="Times New Roman" w:hAnsi="Times New Roman" w:cs="Times New Roman"/>
          <w:sz w:val="20"/>
          <w:szCs w:val="20"/>
        </w:rPr>
        <w:t xml:space="preserve">3.10. </w:t>
      </w:r>
      <w:r>
        <w:rPr>
          <w:rFonts w:ascii="Times New Roman" w:hAnsi="Times New Roman" w:cs="Times New Roman" w:eastAsia="Times New Roman"/>
          <w:sz w:val="20"/>
          <w:szCs w:val="20"/>
        </w:rPr>
        <w:t xml:space="preserve">Оплата по договору осуществляется по факту выполнения работ, предусмотренных техническим заданием (приложение N 1 к Договору) в течение 7 рабочих дней с даты подписания Заказчиком Акта сдачи-приема оказанных услуг.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9"/>
        <w:ind w:right="-57" w:firstLine="709"/>
        <w:jc w:val="both"/>
        <w:spacing w:lineRule="auto" w:line="240"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3.11. Датой платежа является дата списания денежных средств со счета Заказчика.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3.12. По факту оказанных услуг Исполнитель предоставляет Заказчику следующие документы в 2-х экземплярах: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счет/счет-фактуру;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ind w:left="0"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акты сдачи-приемки оказанных услуг.</w:t>
      </w:r>
      <w:r/>
    </w:p>
    <w:p>
      <w:pPr>
        <w:pStyle w:val="991"/>
        <w:ind w:left="0" w:right="-57" w:firstLine="709"/>
        <w:jc w:val="both"/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426"/>
        <w:spacing w:lineRule="auto" w:line="276"/>
        <w:tabs>
          <w:tab w:val="left" w:pos="4145" w:leader="none"/>
        </w:tabs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 ПРАВА И ОБЯЗАННОСТИ СТОРОН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 Обязанности Исполнителя: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4.1.1.  выполнить работы, предусмотренные настоящим договором, в соответствии с действующим законодательством РФ;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4.1.2. обеспечить соблюдение требований охраны труда работниками Исполнителя, проводящими исследования (испытания) и измерения вредных и (или) опасных производственных факторов на рабочих местах Заказчика.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 Права Исполнителя: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4.2.1. не приступать к проведению специальной оценки условий труда либо приостанавливать ее проведение в случаях: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1.1. не предоставления Заказчиком необходимых сведений, документов и информации, предусмотренных ФЗ РФ №426-ФЗ от 28.12.2013 г., характеризующих условия труда на рабочих местах, а также не предоставления данных согласно приложения №3 к настоящему договору;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4.2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.1.2. отказа Заказчика обеспечить условия, необходимые для проведения исследований (испытаний) и измерений идентифицированных вредных и (или) опасных производственных факторов, в соответствии  ФЗ РФ №426-ФЗ от 28.12.2013 г. и применяемых методик измерений;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 Обязанности Заказчика: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4.3.1. обеспечить допуск представителей Исполнителя на предприятие и в подразделения Заказчика для проведения СОУТ, исследований (испытаний) и измерений вредных и (или) опасных производственных факторов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в согласованный с Исполнителем срок</w:t>
      </w:r>
      <w:r>
        <w:rPr>
          <w:rFonts w:ascii="Times New Roman" w:hAnsi="Times New Roman" w:cs="Times New Roman"/>
          <w:sz w:val="20"/>
          <w:szCs w:val="20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4.3.2. </w:t>
      </w:r>
      <w:r>
        <w:rPr>
          <w:rFonts w:ascii="Times New Roman" w:hAnsi="Times New Roman" w:cs="Times New Roman"/>
          <w:sz w:val="20"/>
          <w:szCs w:val="20"/>
        </w:rPr>
        <w:t xml:space="preserve">создать представителям Исполнителя необходимые условия во время проведения ими работы на территории Заказчика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4.3.3. предоставлять Исполнителю необходимые сведения, документы и информацию, предусмотренные ФЗ РФ № 426-ФЗ от 28.12.2013 г., а также предоставить данные согласно приложения №3 к настоящему договору;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4.3.4. не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4.3.5. принять и оплатить работы по Договору в порядке и в сроки, предусмотренные Договором.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 ПОРЯДОК ПРИЕМКИ И СДАЧИ РАБОТ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5.1. По окончании работ по СОУТ Исполнитель представляет Заказчику Отчет по СОУТ в полном объеме, а также счет и акт выполненных работ в двух экземплярах.</w:t>
      </w:r>
      <w:r>
        <w:t xml:space="preserve"> 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</w:t>
      </w:r>
      <w:r>
        <w:rPr>
          <w:rFonts w:ascii="Times New Roman" w:hAnsi="Times New Roman" w:cs="Times New Roman" w:eastAsia="Times New Roman"/>
          <w:color w:val="auto"/>
          <w:sz w:val="20"/>
          <w:szCs w:val="20"/>
          <w:lang w:val="ru-RU" w:bidi="ar-SA" w:eastAsia="ru-RU"/>
        </w:rPr>
        <w:t xml:space="preserve"> работ, акты сдачи-приемки оказанных услуг, и т. п.). Акта приемки своим уполномоченным представителем через СБИС (указывается способ получения акта второй стороной: через СБИС, 1С, по электронной почте – указывается адрес, на который будет отправлен акт).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5.2 Заказчик в течение пяти рабочих дней с даты получения материалов по п.5.1 договора рассматривает их и направляет в адрес Исполнителя подписанный Заказчиком второй экземпл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яр акта выполненных работ либо мотивированный отказ от приемки работ по настоящему договору. В случае не предоставления мотивированного отказа от Заказчика в пятидневный срок акт выполненных работ считается подписанным, а работы выполнены в полном объеме.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5.3. Заказчик получает  Отчет по СОУТ в одном экземпляре в печатном виде.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5.4. В связи с обязанностью Исполнителя по передаче сведений в Федеральную государственную информационную систему учёта результатов проведения СОУТ в течение 10 рабочих дней с даты утверждения Заказчиком, работодатель (Заказчик) в течение 3 (трех) рабочих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дней со дня утверждения отчета о проведении специальной оценки условий труда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подписью: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0"/>
          <w:szCs w:val="20"/>
          <w:lang w:val="en-US" w:eastAsia="ru-RU"/>
        </w:rPr>
        <w:t xml:space="preserve">путём направления копии Отчёта о СОУТ, содержащего подпись председателя и членов комиссии по проведению СОУТ, по адресу электронной почты </w:t>
      </w:r>
      <w:r>
        <w:rPr>
          <w:rFonts w:ascii="Times New Roman" w:hAnsi="Times New Roman" w:cs="Times New Roman" w:eastAsia="Times New Roman"/>
          <w:sz w:val="20"/>
          <w:szCs w:val="20"/>
          <w:lang w:val="ru-RU"/>
        </w:rPr>
        <w:t xml:space="preserve">____________</w:t>
      </w:r>
      <w:r>
        <w:rPr>
          <w:rFonts w:ascii="Times New Roman" w:hAnsi="Times New Roman" w:cs="Times New Roman" w:eastAsia="Times New Roman"/>
          <w:sz w:val="20"/>
          <w:szCs w:val="20"/>
          <w:lang w:val="en-US" w:eastAsia="ru-RU"/>
        </w:rPr>
        <w:t xml:space="preserve">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b/>
          <w:sz w:val="20"/>
          <w:szCs w:val="20"/>
          <w:lang w:eastAsia="ru-RU"/>
        </w:rPr>
        <w:t xml:space="preserve">а также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путём направления заверенной копии Отчёта о СОУТ, содержащего подпись председателя и членов комиссии по проведению СОУТ, заказным почтовым отправлением с уведомлением о вручении по адресу Исполнителя.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 неисполнении или ненадлежащем исполнении Заказчико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м данного обязательства, риски наложения административного взыскания и иные неблагоприятные последствия за несвоевременное предоставление отчётности, Заказчик обязан оплатить в течение 10 (десяти) дней с даты получения претензионного письма от Исполнителя.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50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5.5. В случае, когда прекращение работы по договору произошло по причинам, не зависящим от Исполнителя, Заказчиком осуществляется оплата за фактический объем выполненных Исполнителем работ.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6. ОТВЕТСТВЕННОСТЬ СТОРОН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 случае</w:t>
      </w:r>
      <w:r>
        <w:rPr>
          <w:rFonts w:ascii="Times New Roman" w:hAnsi="Times New Roman" w:cs="Times New Roman"/>
          <w:sz w:val="20"/>
          <w:szCs w:val="20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Пеня начисляется за каждый день просрочки исполнения Заказчиком обязательства, предусмотренного договором, начиная со дня, следующего пос</w:t>
      </w:r>
      <w:r>
        <w:rPr>
          <w:rFonts w:ascii="Times New Roman" w:hAnsi="Times New Roman" w:cs="Times New Roman"/>
          <w:sz w:val="20"/>
          <w:szCs w:val="20"/>
        </w:rPr>
        <w:t xml:space="preserve">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</w:t>
        <w:tab/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штраф. Размер штрафа определяется в следующем порядке: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1000 рублей, если цена договора не превышает 3 млн. рублей (включительно).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6.6.</w:t>
        <w:tab/>
        <w:t xml:space="preserve">В случае просрочки исполнения Исполнителем обязательств, (в том числ</w:t>
      </w:r>
      <w:r>
        <w:rPr>
          <w:rFonts w:ascii="Times New Roman" w:hAnsi="Times New Roman" w:cs="Times New Roman"/>
          <w:sz w:val="20"/>
          <w:szCs w:val="20"/>
        </w:rPr>
        <w:t xml:space="preserve">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6.7.</w:t>
        <w:tab/>
        <w:t xml:space="preserve">Пеня начисляется за каждый день просрочки исполнения Исполнителем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</w:t>
      </w:r>
      <w:r>
        <w:rPr>
          <w:rFonts w:ascii="Times New Roman" w:hAnsi="Times New Roman" w:cs="Times New Roman"/>
          <w:sz w:val="20"/>
          <w:szCs w:val="20"/>
        </w:rPr>
        <w:t xml:space="preserve">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6.8.</w:t>
        <w:tab/>
        <w:t xml:space="preserve"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числе, гарантийного </w:t>
      </w:r>
      <w:r>
        <w:rPr>
          <w:rFonts w:ascii="Times New Roman" w:hAnsi="Times New Roman" w:cs="Times New Roman"/>
          <w:sz w:val="20"/>
          <w:szCs w:val="20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567"/>
        <w:jc w:val="both"/>
        <w:tabs>
          <w:tab w:val="left" w:pos="1276" w:leader="none"/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6.9. За каждый факт неисполнения или ненадлежащего исполнения Исполнителем обязательств, преду</w:t>
      </w:r>
      <w:r>
        <w:rPr>
          <w:rFonts w:ascii="Times New Roman" w:hAnsi="Times New Roman" w:cs="Times New Roman"/>
          <w:sz w:val="20"/>
          <w:szCs w:val="20"/>
        </w:rPr>
        <w:t xml:space="preserve">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штраф. Размер штрафа устанавливается в размере 10 процентов цены договора (этапа).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567"/>
        <w:jc w:val="both"/>
        <w:tabs>
          <w:tab w:val="left" w:pos="1276" w:leader="none"/>
          <w:tab w:val="right" w:pos="990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6.10.</w:t>
        <w:tab/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штраф. Размер штрафа устанавливается в размере 1000 рублей.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6.11.</w:t>
        <w:tab/>
        <w:t xml:space="preserve"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9"/>
        <w:jc w:val="both"/>
        <w:widowControl w:val="off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6.12.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 ФОРС-МАЖОР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7.1.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оенные действия, блокаду, изменение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-1" w:firstLine="567"/>
        <w:jc w:val="both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7.2. Сторона, для которой надлежащее исполнение обязательств оказалось невозможн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left="0" w:right="0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Cs/>
          <w:sz w:val="20"/>
          <w:szCs w:val="20"/>
        </w:rPr>
        <w:t xml:space="preserve">8. РАЗРЕШЕНИЕ СПОРОВ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pStyle w:val="883"/>
        <w:ind w:left="0" w:right="0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8.1.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left="0" w:right="0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 ПРОЧИЕ УСЛОВИЯ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9.1. Все изменения к настоящему Договору оформляются в письменном виде путем подписания Сторонами дополнительных соглашений к Договору.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9.2. Расторжение настоящего Договора допускается по соглашению Сторон.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9.3. В случае невыполнения обязательств Заказчиком, в том числе неоплаты стоимости выполненных работ, Исполнитель вправе приостановить исполне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ние обязательств по Договору с переносом срока их исполнения до момента выполнения обязательств Заказчиком, либо расторгнуть настоящий договор в одностороннем внесудебном порядке, письменно уведомив об этом Заказчика не позднее, чем за 15 календарных дней.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9.4. Для обмена информацией в электронном виде принимаются электронные адреса со стороны Исполнителя -  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______, а со стороны Заказчика  </w:t>
      </w:r>
      <w:r>
        <w:rPr>
          <w:rFonts w:ascii="Times New Roman" w:hAnsi="Times New Roman" w:cs="Times New Roman" w:eastAsia="Times New Roman"/>
          <w:sz w:val="20"/>
          <w:szCs w:val="20"/>
          <w:u w:val="single"/>
          <w:shd w:val="clear" w:fill="FFFFFF" w:color="auto"/>
          <w:lang w:val="en-US" w:eastAsia="ru-RU"/>
        </w:rPr>
        <w:t xml:space="preserve">lyashenko</w:t>
      </w:r>
      <w:r>
        <w:rPr>
          <w:rFonts w:ascii="Times New Roman" w:hAnsi="Times New Roman" w:cs="Times New Roman" w:eastAsia="Times New Roman"/>
          <w:sz w:val="20"/>
          <w:szCs w:val="20"/>
          <w:u w:val="single"/>
          <w:shd w:val="clear" w:fill="FFFFFF" w:color="auto"/>
          <w:lang w:eastAsia="ru-RU"/>
        </w:rPr>
        <w:t xml:space="preserve">@niigpk.ru</w:t>
      </w:r>
      <w:r>
        <w:rPr>
          <w:rFonts w:ascii="Times New Roman" w:hAnsi="Times New Roman" w:cs="Times New Roman" w:eastAsia="Times New Roman"/>
          <w:sz w:val="20"/>
          <w:szCs w:val="20"/>
          <w:shd w:val="clear" w:fill="FFFFFF" w:color="auto"/>
          <w:lang w:eastAsia="ru-RU"/>
        </w:rPr>
        <w:t xml:space="preserve">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9.5.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Стороны вправе обмениваться документами в электронной форме путём направления электронного документа, под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писанного усиленной квалифицированной цифровой подписью другой Стороне посредством электронной почты или с использованием других телекоммуникационных каналов связи, при наличии у Сторон необходимых технических средств и возможностей для приема и обработки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таких документов (информация в электронной форме). Данное условие не распространяется на предоставление подписанного экземпляра договора. Сторона, подписавшая договор, обязана в течение 5 рабочих дней направить подписанный оригинал договора другой Стороне.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9.6. Настоящий договор вступает в силу с момента подписания и действует до полного исполнения сторонами обязательств по Договору.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both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9.7. Настоящий договор составлен в 2-х экземплярах, имеющих одинаковую юридическую силу, по одному экземпляру для каждой стороны.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1: Стоимость проведения работ по специальной оценке условий труда;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2: График  проведения работ по  специальной оценке условий труда.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spacing w:lineRule="auto" w:line="276"/>
        <w:rPr>
          <w:rFonts w:ascii="Times New Roman" w:hAnsi="Times New Roman" w:cs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Приложение 3: Данные, необходимые для проведения специальной оценки условий труда</w:t>
      </w:r>
      <w:r>
        <w:rPr>
          <w:rFonts w:ascii="Times New Roman" w:hAnsi="Times New Roman" w:cs="Times New Roman" w:eastAsia="Times New Roman"/>
          <w:sz w:val="20"/>
          <w:szCs w:val="20"/>
          <w:lang w:eastAsia="ru-RU"/>
        </w:rPr>
      </w:r>
      <w:r/>
    </w:p>
    <w:p>
      <w:pPr>
        <w:pStyle w:val="883"/>
        <w:ind w:right="-1" w:firstLine="567"/>
        <w:jc w:val="center"/>
        <w:spacing w:lineRule="auto" w:line="276"/>
      </w:pPr>
      <w:r>
        <w:rPr>
          <w:rFonts w:ascii="Times New Roman" w:hAnsi="Times New Roman" w:cs="Times New Roman" w:eastAsia="Times New Roman"/>
          <w:sz w:val="20"/>
          <w:szCs w:val="20"/>
          <w:lang w:eastAsia="ru-RU"/>
        </w:rPr>
        <w:t xml:space="preserve">10. АДРЕСА И РЕКВИЗИТЫ </w:t>
      </w:r>
      <w:r>
        <w:t xml:space="preserve">СТОРОН:</w:t>
      </w:r>
      <w:r/>
    </w:p>
    <w:tbl>
      <w:tblPr>
        <w:tblW w:w="0" w:type="auto"/>
        <w:tblInd w:w="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80"/>
        <w:gridCol w:w="5157"/>
      </w:tblGrid>
      <w:tr>
        <w:trPr>
          <w:trHeight w:val="45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ind w:left="0" w:right="0"/>
              <w:jc w:val="center"/>
              <w:spacing w:lineRule="auto" w:line="276"/>
              <w:tabs>
                <w:tab w:val="left" w:pos="5805" w:leader="none"/>
              </w:tabs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lang w:eastAsia="ru-RU"/>
              </w:rPr>
              <w:t xml:space="preserve">ИСПОЛНИТЕЛЬ: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ind w:left="0" w:right="0" w:hanging="127"/>
              <w:jc w:val="center"/>
              <w:spacing w:lineRule="auto" w:line="276"/>
            </w:pPr>
            <w:r>
              <w:rPr>
                <w:rFonts w:ascii="Times New Roman" w:hAnsi="Times New Roman" w:cs="Times New Roman" w:eastAsia="Times New Roman"/>
                <w:b/>
                <w:sz w:val="20"/>
                <w:szCs w:val="20"/>
                <w:lang w:eastAsia="ru-RU"/>
              </w:rPr>
              <w:t xml:space="preserve">ЗАКАЗЧИК:</w:t>
            </w:r>
            <w:r/>
          </w:p>
        </w:tc>
      </w:tr>
      <w:tr>
        <w:trPr>
          <w:trHeight w:val="816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jc w:val="center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ООО «КРЦ «Охрана труда»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Клиентский офис: 610002, «БЦ Телеграф»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г. Киров, Никитская 171, офис 204 (2 этаж)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Юридический адрес: 610016, г. Киров, Октябрьский проспект, 22а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Почтовый адрес: 610016, г. Киров, Октябрьский проспект, 22а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ИНН  4345027770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КПП   434501001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Р/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сч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  40702810000000003484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в АО КБ «Хлынов» г. Киров  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БИК 043304711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кор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сч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. 30101810100000000711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тел./факс (8332) 746-846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Электронный адрес: </w:t>
            </w:r>
            <w:hyperlink r:id="rId15" w:tooltip="mailto:lab@ot-kirov.ru" w:history="1">
              <w:r>
                <w:rPr>
                  <w:rStyle w:val="899"/>
                  <w:rFonts w:ascii="Times New Roman" w:hAnsi="Times New Roman" w:cs="Times New Roman" w:eastAsia="Times New Roman"/>
                  <w:sz w:val="20"/>
                  <w:szCs w:val="22"/>
                  <w:lang w:val="de-DE"/>
                </w:rPr>
                <w:t xml:space="preserve">746846@truda.pro</w:t>
              </w:r>
            </w:hyperlink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jc w:val="left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Директор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_________________А.В. Воротников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jc w:val="both"/>
              <w:spacing w:lineRule="auto" w:line="276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jc w:val="center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Style w:val="904"/>
                <w:rFonts w:ascii="Times New Roman" w:hAnsi="Times New Roman" w:cs="Times New Roman" w:eastAsia="Times New Roman"/>
                <w:sz w:val="20"/>
                <w:szCs w:val="20"/>
              </w:rPr>
              <w:t xml:space="preserve">ФГБУН КНИИГиПК ФМБА России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Юридический адрес: </w:t>
            </w:r>
            <w:r>
              <w:rPr>
                <w:rStyle w:val="904"/>
                <w:rFonts w:ascii="Times New Roman" w:hAnsi="Times New Roman" w:cs="Times New Roman" w:eastAsia="Times New Roman"/>
                <w:sz w:val="20"/>
                <w:szCs w:val="20"/>
              </w:rPr>
              <w:t xml:space="preserve">610027, г. Киров, ул. Красноармейская,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Style w:val="905"/>
                <w:rFonts w:ascii="Times New Roman" w:hAnsi="Times New Roman" w:cs="Times New Roman" w:eastAsia="Times New Roman"/>
                <w:b w:val="false"/>
                <w:sz w:val="20"/>
                <w:szCs w:val="20"/>
              </w:rPr>
              <w:t xml:space="preserve">д.72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Почтовый адрес: </w:t>
            </w:r>
            <w:r>
              <w:rPr>
                <w:rStyle w:val="904"/>
                <w:rFonts w:ascii="Times New Roman" w:hAnsi="Times New Roman" w:cs="Times New Roman" w:eastAsia="Times New Roman"/>
                <w:sz w:val="20"/>
                <w:szCs w:val="20"/>
              </w:rPr>
              <w:t xml:space="preserve">610027, г. Киров, ул. Красноармейская,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 </w:t>
            </w:r>
            <w:r>
              <w:rPr>
                <w:rStyle w:val="905"/>
                <w:rFonts w:ascii="Times New Roman" w:hAnsi="Times New Roman" w:cs="Times New Roman" w:eastAsia="Times New Roman"/>
                <w:b w:val="false"/>
                <w:sz w:val="20"/>
                <w:szCs w:val="20"/>
              </w:rPr>
              <w:t xml:space="preserve">д.72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ИНН 4346007656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КПП 434501001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2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0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2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992"/>
              <w:jc w:val="both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szCs w:val="22"/>
              </w:rPr>
              <w:t xml:space="preserve">БИК 01220210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0"/>
              <w:tabs>
                <w:tab w:val="left" w:pos="0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shd w:val="clear" w:fill="FFFFFF" w:color="auto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Электронный адрес: 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begin"/>
            </w:r>
            <w:r>
              <w:rPr>
                <w:rFonts w:ascii="Times New Roman" w:hAnsi="Times New Roman" w:cs="Times New Roman" w:eastAsia="Times New Roman"/>
                <w:sz w:val="20"/>
              </w:rPr>
              <w:instrText xml:space="preserve"> HYPERLINK "mailto:pravo@niigpk.ru"</w:instrTex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separate"/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u w:val="none"/>
                <w:shd w:val="clear" w:fill="FFFFFF" w:color="auto"/>
              </w:rPr>
              <w:t xml:space="preserve">pravo@niigpk.ru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end"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begin"/>
            </w:r>
            <w:r>
              <w:rPr>
                <w:rFonts w:ascii="Times New Roman" w:hAnsi="Times New Roman" w:cs="Times New Roman" w:eastAsia="Times New Roman"/>
                <w:sz w:val="20"/>
              </w:rPr>
              <w:instrText xml:space="preserve"> HYPERLINK "mailto:mail@niigpk.ru"</w:instrTex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separate"/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mail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</w:rPr>
              <w:t xml:space="preserve">@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niigpk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</w:rPr>
              <w:t xml:space="preserve">.</w:t>
            </w:r>
            <w:r>
              <w:rPr>
                <w:rStyle w:val="899"/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ru</w:t>
            </w:r>
            <w:r>
              <w:rPr>
                <w:rFonts w:ascii="Times New Roman" w:hAnsi="Times New Roman" w:cs="Times New Roman" w:eastAsia="Times New Roman"/>
                <w:sz w:val="20"/>
              </w:rPr>
              <w:fldChar w:fldCharType="end"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val="en-US"/>
              </w:rPr>
              <w:t xml:space="preserve">lyashenko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@niigpk.ru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83"/>
              <w:ind w:left="0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Директор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_______________________И.В. Парамонов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</w:tbl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left="0" w:right="-57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right"/>
        <w:spacing w:lineRule="auto" w:line="240" w:after="0" w:befor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Приложение №1 к договору </w:t>
      </w:r>
      <w:r>
        <w:rPr>
          <w:rFonts w:ascii="Times New Roman" w:hAnsi="Times New Roman" w:cs="Times New Roman"/>
          <w:bCs/>
          <w:sz w:val="20"/>
          <w:szCs w:val="20"/>
        </w:rPr>
        <w:t xml:space="preserve">№</w:t>
      </w:r>
      <w:r>
        <w:rPr>
          <w:rFonts w:ascii="Times New Roman" w:hAnsi="Times New Roman" w:cs="Times New Roman"/>
          <w:bCs/>
          <w:sz w:val="20"/>
          <w:szCs w:val="20"/>
        </w:rPr>
      </w:r>
      <w:r/>
    </w:p>
    <w:p>
      <w:pPr>
        <w:pStyle w:val="883"/>
        <w:jc w:val="right"/>
        <w:spacing w:lineRule="auto" w:line="240"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от «___»_______2026 г.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 Е Х Н И Ч Е С К О Е   З А Д А Н И Е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 проведение работ по специальной оценке условий труда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(далее – СОУТ)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center"/>
        <w:spacing w:after="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1.Наименование организации: </w:t>
      </w:r>
      <w:r>
        <w:rPr>
          <w:rFonts w:ascii="Times New Roman" w:hAnsi="Times New Roman" w:cs="Times New Roman"/>
          <w:sz w:val="20"/>
          <w:szCs w:val="20"/>
        </w:rPr>
        <w:t xml:space="preserve">ФЕДЕРАЛЬНОЕ 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(ФГБУН КНИИГиПК ФМБА России)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Место проведения работ</w:t>
      </w:r>
      <w:bookmarkStart w:id="1" w:name="_Hlk191630212"/>
      <w:r>
        <w:rPr>
          <w:rFonts w:ascii="Times New Roman" w:hAnsi="Times New Roman" w:cs="Times New Roman"/>
          <w:b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Киров</w:t>
      </w:r>
      <w:r>
        <w:rPr>
          <w:rFonts w:ascii="Times New Roman" w:hAnsi="Times New Roman" w:cs="Times New Roman"/>
          <w:sz w:val="20"/>
          <w:szCs w:val="20"/>
        </w:rPr>
        <w:t xml:space="preserve">с</w:t>
      </w:r>
      <w:r>
        <w:rPr>
          <w:rFonts w:ascii="Times New Roman" w:hAnsi="Times New Roman" w:cs="Times New Roman"/>
          <w:sz w:val="20"/>
          <w:szCs w:val="20"/>
        </w:rPr>
        <w:t xml:space="preserve">кая область, Киров, Красноармейская, д. 72. Фактические адреса проведения измерений факторов производственной среды и трудового процесса (рабочая зона) согласно пункту 4 ПЕРЕЧЕНЬ РАБОЧИХ МЕСТ ДЛЯ ПРОВЕДЕНИЯ СОУТ в 2026 году настоящего технического задания.</w:t>
      </w:r>
      <w:bookmarkEnd w:id="1"/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3. Основания для проведения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Ст.214 Трудового кодекса Российской Федерации.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28.12.2013г.№426-ФЗ "О специальной оценке условий труда" (в редакции от 24.07.23г.).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Style w:val="901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28.12.2013г. №421-ФЗ "О внесении изменения в отдельные законодательные акты Российской Федерации в связи с принятием Федерального закона "О специальной оценке условий труда".</w:t>
      </w:r>
      <w:r>
        <w:rPr>
          <w:rStyle w:val="901"/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Style w:val="901"/>
          <w:rFonts w:ascii="Times New Roman" w:hAnsi="Times New Roman" w:cs="Times New Roman"/>
          <w:sz w:val="20"/>
          <w:szCs w:val="20"/>
        </w:rPr>
        <w:t xml:space="preserve">Федеральный закон от 01.05.2016 г.№ 136-ФЗ </w:t>
      </w:r>
      <w:bookmarkStart w:id="2" w:name="_Hlk191628672"/>
      <w:r>
        <w:rPr>
          <w:rStyle w:val="901"/>
          <w:rFonts w:ascii="Times New Roman" w:hAnsi="Times New Roman" w:cs="Times New Roman"/>
          <w:sz w:val="20"/>
          <w:szCs w:val="20"/>
        </w:rPr>
        <w:t xml:space="preserve">"</w:t>
      </w:r>
      <w:bookmarkEnd w:id="2"/>
      <w:r>
        <w:rPr>
          <w:rStyle w:val="901"/>
          <w:rFonts w:ascii="Times New Roman" w:hAnsi="Times New Roman" w:cs="Times New Roman"/>
          <w:sz w:val="20"/>
          <w:szCs w:val="20"/>
        </w:rPr>
        <w:t xml:space="preserve">О внесении изменений встатью 11 Федерального закона "Об индивидуальном (персонифицированном) учете в системе обязательного пенсионного страхования" и Федеральный закон "О специальной оценке условий труда"</w:t>
      </w:r>
      <w:r>
        <w:rPr>
          <w:rStyle w:val="901"/>
          <w:rFonts w:ascii="Times New Roman" w:hAnsi="Times New Roman" w:cs="Times New Roman"/>
          <w:b w:val="false"/>
          <w:bCs w:val="false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Федеральный закон от 05.04.2013г. №44-ФЗ "О контрактной системе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0"/>
          <w:szCs w:val="20"/>
        </w:rPr>
      </w:r>
      <w:r/>
    </w:p>
    <w:p>
      <w:pPr>
        <w:pStyle w:val="991"/>
        <w:numPr>
          <w:ilvl w:val="0"/>
          <w:numId w:val="2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Приказ Минтруда России от 21.11.2023 г. № 817н "Об утверждении Методики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(Зарегистрировано в Минюсте России 30.11.2023 № 76179).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Цель проведения работ: </w:t>
      </w:r>
      <w:r>
        <w:rPr>
          <w:rFonts w:ascii="Times New Roman" w:hAnsi="Times New Roman" w:cs="Times New Roman"/>
          <w:sz w:val="20"/>
          <w:szCs w:val="20"/>
        </w:rPr>
        <w:t xml:space="preserve">Проведение специальной оценки условий труда, на рабочих местах согласно «Перечня рабочих мест», подлежащих специальной оценке условий.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center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РАБОЧИХ МЕСТ ДЛЯ ПРОВЕДЕНИЯ СОУТ в 2026 году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center"/>
        <w:spacing w:after="120" w:before="24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адресам: </w:t>
      </w:r>
      <w:r>
        <w:rPr>
          <w:rFonts w:ascii="Times New Roman" w:hAnsi="Times New Roman" w:cs="Times New Roman"/>
          <w:b/>
          <w:sz w:val="20"/>
          <w:szCs w:val="20"/>
        </w:rPr>
        <w:t xml:space="preserve">:</w:t>
      </w:r>
      <w:r>
        <w:rPr>
          <w:rFonts w:ascii="Times New Roman" w:hAnsi="Times New Roman" w:cs="Times New Roman"/>
          <w:sz w:val="20"/>
          <w:szCs w:val="20"/>
        </w:rPr>
        <w:t xml:space="preserve"> Кировская область,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г. Киров, ул. Красноармейская, д. 70, ул. Красноармейская, д. 72, ул.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center"/>
        <w:spacing w:after="120" w:before="240"/>
        <w:rPr>
          <w:rFonts w:ascii="Times New Roman" w:hAnsi="Times New Roman" w:cs="Times New Roman" w:eastAsia="Times New Roman"/>
          <w:b/>
          <w:color w:val="000000"/>
          <w:sz w:val="20"/>
          <w:szCs w:val="20"/>
          <w:highlight w:val="none"/>
        </w:rPr>
      </w:pPr>
      <w:r>
        <w:rPr>
          <w:rFonts w:ascii="Times New Roman" w:hAnsi="Times New Roman" w:cs="Times New Roman" w:eastAsia="Times New Roman"/>
          <w:b/>
          <w:color w:val="000000"/>
          <w:sz w:val="20"/>
          <w:szCs w:val="20"/>
        </w:rPr>
        <w:t xml:space="preserve">  ул. Всесвятская д. 84 </w:t>
      </w:r>
      <w:r>
        <w:rPr>
          <w:rFonts w:ascii="Times New Roman" w:hAnsi="Times New Roman" w:cs="Times New Roman" w:eastAsia="Times New Roman"/>
          <w:sz w:val="20"/>
        </w:rPr>
      </w:r>
      <w:r/>
    </w:p>
    <w:tbl>
      <w:tblPr>
        <w:tblW w:w="5151" w:type="pct"/>
        <w:tblInd w:w="-397" w:type="dxa"/>
        <w:tblLayout w:type="fixed"/>
        <w:tblLook w:val="04A0" w:firstRow="1" w:lastRow="0" w:firstColumn="1" w:lastColumn="0" w:noHBand="0" w:noVBand="1"/>
      </w:tblPr>
      <w:tblGrid>
        <w:gridCol w:w="719"/>
        <w:gridCol w:w="2621"/>
        <w:gridCol w:w="5185"/>
        <w:gridCol w:w="1335"/>
      </w:tblGrid>
      <w:tr>
        <w:trPr>
          <w:cantSplit/>
          <w:trHeight w:val="109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19" w:type="dxa"/>
            <w:textDirection w:val="lrTb"/>
            <w:noWrap/>
          </w:tcPr>
          <w:p>
            <w:pPr>
              <w:ind w:firstLine="851"/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Наименование структурного подразделения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Наименование профессии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(по штатному расписанию)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  <w:lang w:eastAsia="ru-RU"/>
              </w:rPr>
              <w:t xml:space="preserve">Кол-во работников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29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развития донорства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Специалист по 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развитию донорства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val="en-US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979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Старший научный сотрудник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ind w:left="0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979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Управление организационно-методической работы, контроля качества и безопасности медицинской деятельности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Начальник управления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83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организационно-методической работы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Ведущий специалист по организационно-методической работе и клиническим исследованиям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166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Клинико-диагностическое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1666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Детское отделение гематологии и химиотерапии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Врач-детский онколог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лучевой и эндоскопической диагностики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 функциональной диагностики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 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Заведующий отделением-врач-гематолог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Врач-гематолог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Старшая медицинская сестра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(старший медицинский брат)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Сестра-хозяйка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Младшая медицинская сестра по уходу за больными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 (младший медицинский брат по уходу за больными)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химиотерапии и трансплантации костного мозга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Заведующий отделением-врач-анестезиолог-реаниматолог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</w:rPr>
              <w:t xml:space="preserve">Врач-анестезиолог-реаниматолог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Старшая медицинская сестра (старший медицинский брат)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Медицинская сестра-анестезист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(м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едицинский брат-анестезист)</w:t>
            </w:r>
            <w:r>
              <w:rPr>
                <w:rFonts w:ascii="Times New Roman" w:hAnsi="Times New Roman" w:cs="Times New Roman" w:eastAsia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Сестра-хозяйка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Отделение анестезиологии-реанимации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Санитар (санитарка)</w:t>
            </w: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Заведующий лабораторией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Научный сотрудник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Младший научный сотрудник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Лаборант-исследователь</w:t>
            </w: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6 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Научно-исследовательская лаборатория прикладной иммуногенетики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  <w:lang w:eastAsia="ru-RU"/>
              </w:rPr>
              <w:t xml:space="preserve">Препаратор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cantSplit/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Гараж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Водитель автомобиля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0"/>
              </w:rPr>
              <w:outlineLvl w:val="0"/>
            </w:pPr>
            <w:r>
              <w:rPr>
                <w:rFonts w:ascii="Times New Roman" w:hAnsi="Times New Roman" w:cs="Times New Roman" w:eastAsia="Times New Roman"/>
                <w:sz w:val="20"/>
              </w:rPr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патоморфологии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Лаборатория клеточных технологий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Лаборант - исследователь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Borders>
              <w:left w:val="single" w:color="000000" w:sz="4" w:space="0"/>
              <w:top w:val="single" w:color="000000" w:sz="6" w:space="0"/>
              <w:right w:val="single" w:color="000000" w:sz="4" w:space="0"/>
              <w:bottom w:val="single" w:color="000000" w:sz="6" w:space="0"/>
            </w:tcBorders>
            <w:tcW w:w="719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  <w:t xml:space="preserve">29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21" w:type="dxa"/>
            <w:vMerge w:val="restart"/>
            <w:textDirection w:val="lrTb"/>
            <w:noWrap/>
          </w:tcPr>
          <w:p>
            <w:pPr>
              <w:jc w:val="left"/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Отдел сопровождения информационных систем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8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sz w:val="20"/>
              </w:rPr>
            </w:pPr>
            <w:r>
              <w:rPr>
                <w:rFonts w:ascii="Times New Roman" w:hAnsi="Times New Roman" w:cs="Times New Roman" w:eastAsia="Times New Roman"/>
                <w:sz w:val="20"/>
              </w:rPr>
              <w:t xml:space="preserve">Инженер по защите информации</w:t>
            </w:r>
            <w:r>
              <w:rPr>
                <w:rFonts w:ascii="Times New Roman" w:hAnsi="Times New Roman" w:cs="Times New Roman" w:eastAsia="Times New Roman"/>
                <w:sz w:val="20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335" w:type="dxa"/>
            <w:vMerge w:val="restart"/>
            <w:textDirection w:val="lrTb"/>
            <w:noWrap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z w:val="20"/>
              </w:rPr>
            </w:r>
            <w:r/>
          </w:p>
        </w:tc>
      </w:tr>
    </w:tbl>
    <w:p>
      <w:pPr>
        <w:pStyle w:val="883"/>
        <w:jc w:val="both"/>
        <w:spacing w:after="0" w:before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Специальная оценка условий труда рабочих мест по условиям труда</w:t>
      </w:r>
      <w:r>
        <w:rPr>
          <w:rFonts w:ascii="Times New Roman" w:hAnsi="Times New Roman" w:cs="Times New Roman"/>
          <w:sz w:val="20"/>
          <w:szCs w:val="20"/>
        </w:rPr>
        <w:t xml:space="preserve"> проводится для оценки условий труда на рабочих местах в целях идентификации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0" w:before="1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Специальная оценка условий труда рабочих мест по условиям труда включает в себя, в том числе гигиеническую оценку условий труда, оценку эффективности применения работниками средствами индивидуальной защиты.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Содержание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Комплекс работ по специальной оценке условий труда формируется из следующих основных этапов: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3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Идентификация вредных и (или) опасных производственных факторов (включая потенциальное декларирование условий труда на рабочих местах государственным гигиеническим требованиям);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3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Проведение инструментальных замеров вредных и (или) опасных производственных факторов (с последующим формированием отчета по результатам проведения специальной оценки условий труда).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Идентификация вредных и (или) опасных производственных факторов согласно действующему законодательству Российской Федерации, в том числе: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4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выявление на рабочих местах факторов производственной среды и трудового процесса;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4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</w:t>
      </w:r>
      <w:r>
        <w:rPr>
          <w:rFonts w:ascii="Times New Roman" w:hAnsi="Times New Roman" w:cs="Times New Roman"/>
          <w:sz w:val="20"/>
          <w:szCs w:val="20"/>
        </w:rPr>
        <w:t xml:space="preserve">поставление выявленных на рабочих местах факторов производственной среды и трудового процесса с факторами согласно Классификатору вредных и опасных факторов производственной среды и трудового процесса (методика проведения специальной оценки условий труда).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Осуществляется по представленному Комиссией по проведению специальной оценки условий труда Заказчика Перечню рабочих мест (включая аналогичные рабочие места) с заявленным Комиссией перечнем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Осуществляется экспертом Исполнителя в соответствии с порядком проведения идентификации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Если по результатам идентиф</w:t>
      </w:r>
      <w:r>
        <w:rPr>
          <w:rFonts w:ascii="Times New Roman" w:hAnsi="Times New Roman" w:cs="Times New Roman"/>
          <w:sz w:val="20"/>
          <w:szCs w:val="20"/>
        </w:rPr>
        <w:t xml:space="preserve">икации вредные и (или) опасные производственные факторы на заявленных Комиссией Заказчика рабочих местах не идентифицированы, условия труда на данных рабочих местах признаются Комиссией допустимыми, исследования (испытания) и инструментальные измерения на </w:t>
      </w:r>
      <w:r>
        <w:rPr>
          <w:rFonts w:ascii="Times New Roman" w:hAnsi="Times New Roman" w:cs="Times New Roman"/>
          <w:sz w:val="20"/>
          <w:szCs w:val="20"/>
        </w:rPr>
        <w:t xml:space="preserve">данных рабочих местах Исполнителем не проводятся, при этом Исполнитель, на указанные рабочие места, обязан подготовить и представить на утверждение Комиссии проекты деклараций соответствия условий труда государственным нормативным требованиям охраны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Проведение исследований (испытаний) и измерений вредных и (или) опасных производственных факторов, включая измерения факторов производственной среды и трудового процесса, оценку эффективности средств индивидуальной защиты на рабочих местах: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гигиеническая оценка условий труда;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оценка эффективности применения работниками средств индивидуальной защиты (СИЗ);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5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оценка фактического состояния условий труда на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Оформление результатов проведенной специальной оценки в виде отчета, содержащего следующие документы: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Сведения об организации, проводящей специальную оценку условий труда, с приложением копий документов, подтверждающих ее соответствие установленным статьей 19 Федерального закона №426-ФЗ от 28.12.2013года "О специальной оценке условий труда" требованиям.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 (подклассе) условий труда на конкретных рабочих местах.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tabs>
          <w:tab w:val="left" w:pos="993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Протоколы проведения исследований (испытаний) и измерений идентифицированных вредных и (или) опасных производственных факторов.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Протоколы оценки эффективности средств индивидуальной защиты.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</w:t>
      </w:r>
      <w:r>
        <w:rPr>
          <w:rFonts w:ascii="Times New Roman" w:hAnsi="Times New Roman" w:cs="Times New Roman"/>
          <w:sz w:val="20"/>
          <w:szCs w:val="20"/>
        </w:rPr>
        <w:t xml:space="preserve">окол комиссии, содержащий решение о невозможности проведения исследований (испытаний) и измерений по основанию, указанному в части 9 статьи 12 Федерального закона № 426-ФЗ от 28.12.2013года "О специальной оценке условий труда" (при наличии такого решения).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Составление фотографии рабочего места в течении пяти дней рабочих (с 8-00 до 17-оо рабочего времени).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Сводная ведомость специальной оценки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мероприятий по улучшению условий и охраны труда работников, на рабочих местах которых проводилась специальная оценка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Заключения эксперта организации, проводящей специальную оценку условий труда.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6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Предоставление отчетных материалов по результатам специальной оценки в базу данных уполномоченных государственных органов.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Требования к исполнителю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Организация, выполняющая услугу по проведению СОУТ должна соответствовать требованиям ст.19 гл.3 Федерального закона от 28.12.2013г.№426-ФЗ "О специальной оценке условий труда".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Наличие в качестве структур</w:t>
      </w:r>
      <w:r>
        <w:rPr>
          <w:rFonts w:ascii="Times New Roman" w:hAnsi="Times New Roman" w:cs="Times New Roman"/>
          <w:sz w:val="20"/>
          <w:szCs w:val="20"/>
        </w:rPr>
        <w:t xml:space="preserve">ного подразделения испытательной лаборатории 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</w:t>
      </w:r>
      <w:r>
        <w:rPr>
          <w:rFonts w:ascii="Times New Roman" w:hAnsi="Times New Roman" w:cs="Times New Roman"/>
          <w:sz w:val="20"/>
          <w:szCs w:val="20"/>
        </w:rPr>
        <w:t xml:space="preserve">следований (испытаний) и измерений вредных и (или) опасных факторов производственной среды и трудового процесса, предусмотренных пунктами 1-11 и 15-23 части 3 статьи 13 Федерального закона РФ от 28.12.2013года № 426-ФЗ "О специальной оценки условий труда".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Наличие в организации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не менее пяти экспертов,</w:t>
      </w:r>
      <w:r>
        <w:rPr>
          <w:rFonts w:ascii="Times New Roman" w:hAnsi="Times New Roman" w:cs="Times New Roman"/>
          <w:sz w:val="20"/>
          <w:szCs w:val="20"/>
        </w:rPr>
        <w:t xml:space="preserve"> работающих по трудовому договору 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имеющих сертификат</w:t>
      </w:r>
      <w:r>
        <w:rPr>
          <w:rFonts w:ascii="Times New Roman" w:hAnsi="Times New Roman" w:cs="Times New Roman"/>
          <w:sz w:val="20"/>
          <w:szCs w:val="20"/>
        </w:rPr>
        <w:t xml:space="preserve">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–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врач по общей гигиене, врач по гигиене труда, врач по санитарно-гигиеническим лабораторным исследованиям </w:t>
      </w:r>
      <w:r>
        <w:rPr>
          <w:rFonts w:ascii="Times New Roman" w:hAnsi="Times New Roman" w:cs="Times New Roman"/>
          <w:sz w:val="20"/>
          <w:szCs w:val="20"/>
        </w:rPr>
        <w:t xml:space="preserve">(все подтверждающие документы обязательно предоставляются на каждого эксперта в составе заявки).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Обязательный выезд на объекты и участки предприятия </w:t>
      </w:r>
      <w:r>
        <w:rPr>
          <w:rFonts w:ascii="Times New Roman" w:hAnsi="Times New Roman" w:cs="Times New Roman"/>
          <w:sz w:val="20"/>
          <w:szCs w:val="20"/>
        </w:rPr>
        <w:t xml:space="preserve">в пределах города Кирова и пригорода для проведения соответствующих замеров, согласно действующей методике.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/>
    </w:p>
    <w:p>
      <w:pPr>
        <w:pStyle w:val="991"/>
        <w:numPr>
          <w:ilvl w:val="0"/>
          <w:numId w:val="7"/>
        </w:numPr>
        <w:contextualSpacing w:val="true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Выезд на объекты и участки выполняется силами и средствами Исполнителя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 Требования по объему гарантий качества работ: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Качество предоставляемых работ определяются соответствием Федеральному Закону Российской Федерации от 28.12.2013г.№ 426 ФЗ"О специальной оценке условий труда", требованиями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Приказа Минтруда России от 21.11.2023 г.№ 817н "Об утверждении Методики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 (Зарегистрировано в Минюсте России 30.11.2023 № 76179).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8. </w:t>
      </w:r>
      <w:bookmarkStart w:id="3" w:name="_Hlk193098473"/>
      <w:r>
        <w:rPr>
          <w:rFonts w:ascii="Times New Roman" w:hAnsi="Times New Roman" w:cs="Times New Roman"/>
          <w:b/>
          <w:sz w:val="20"/>
          <w:szCs w:val="20"/>
        </w:rPr>
        <w:t xml:space="preserve">Период и срок оказания работ:</w:t>
      </w:r>
      <w:bookmarkEnd w:id="3"/>
      <w:r>
        <w:rPr>
          <w:rFonts w:ascii="Times New Roman" w:hAnsi="Times New Roman" w:cs="Times New Roman"/>
          <w:b/>
          <w:sz w:val="20"/>
          <w:szCs w:val="20"/>
        </w:rPr>
        <w:t xml:space="preserve"> с момента заключения договора </w:t>
      </w:r>
      <w:r>
        <w:rPr>
          <w:rFonts w:ascii="Times New Roman" w:hAnsi="Times New Roman" w:cs="Times New Roman"/>
          <w:b/>
          <w:sz w:val="20"/>
          <w:szCs w:val="20"/>
          <w:shd w:val="clear" w:fill="FFFFFF" w:color="auto"/>
        </w:rPr>
        <w:t xml:space="preserve">по</w:t>
      </w:r>
      <w:r>
        <w:rPr>
          <w:rFonts w:ascii="Times New Roman" w:hAnsi="Times New Roman" w:cs="Times New Roman"/>
          <w:b/>
          <w:sz w:val="20"/>
          <w:szCs w:val="20"/>
          <w:highlight w:val="yellow"/>
          <w:shd w:val="clear" w:fill="FFFFFF" w:color="auto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09.10.2026 г. </w:t>
      </w:r>
      <w:r>
        <w:rPr>
          <w:highlight w:val="yellow"/>
        </w:rPr>
      </w:r>
      <w:r/>
    </w:p>
    <w:p>
      <w:pPr>
        <w:pStyle w:val="883"/>
        <w:ind w:right="-57" w:firstLine="708"/>
        <w:jc w:val="both"/>
        <w:spacing w:after="120"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Порядок сдачи и приемки результатов работ: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окончании оказания работ Исполнитель должен представить Заказчику результат проведения комплекса мероприятий по определению степени соответствия трудовой среды организации государственным нормативным требованиям – на бумажном носителе.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Пакет документов, предоставленный Заказчику по окончанию оказания работ, должен иметь хороший переплет и двустороннюю печать.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Отчеты по проведению СОУТ передаются Заказчику в течение 30 дней после выполнения работ по каждому этапу.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ind w:right="0" w:firstLine="708"/>
        <w:jc w:val="both"/>
        <w:spacing w:after="120" w:befor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9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3"/>
        <w:spacing w:lineRule="auto" w:line="27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75"/>
        <w:gridCol w:w="4850"/>
      </w:tblGrid>
      <w:tr>
        <w:trPr>
          <w:trHeight w:val="250"/>
        </w:trPr>
        <w:tc>
          <w:tcPr>
            <w:tcBorders>
              <w:left w:val="single" w:color="FFFFFF" w:sz="4" w:space="0"/>
              <w:top w:val="single" w:color="FFFFFF" w:sz="4" w:space="0"/>
              <w:right w:val="single" w:color="FFFFFF" w:sz="4" w:space="0"/>
              <w:bottom w:val="single" w:color="FFFFFF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Исполнитель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</w:r>
            <w:r/>
          </w:p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_________________</w:t>
            </w:r>
            <w:r>
              <w:rPr>
                <w:rFonts w:ascii="Times New Roman" w:hAnsi="Times New Roman" w:cs="Times New Roman" w:eastAsia="Times New Roman"/>
                <w:sz w:val="20"/>
                <w:szCs w:val="22"/>
              </w:rPr>
              <w:t xml:space="preserve">_А.В. Воротников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tabs>
                <w:tab w:val="left" w:pos="0" w:leader="none"/>
                <w:tab w:val="left" w:pos="3306" w:leader="none"/>
              </w:tabs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/>
          </w:p>
        </w:tc>
        <w:tc>
          <w:tcPr>
            <w:tcBorders>
              <w:left w:val="single" w:color="FFFFFF" w:sz="4" w:space="0"/>
              <w:top w:val="single" w:color="FFFFFF" w:sz="4" w:space="0"/>
              <w:right w:val="single" w:color="FFFFFF" w:sz="4" w:space="0"/>
              <w:bottom w:val="single" w:color="FFFFFF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  <w:t xml:space="preserve">Заказчик</w:t>
            </w: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</w:r>
            <w:r/>
          </w:p>
          <w:p>
            <w:pPr>
              <w:pStyle w:val="883"/>
              <w:jc w:val="left"/>
              <w:spacing w:after="0" w:before="0"/>
              <w:widowControl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MS Mincho"/>
                <w:sz w:val="20"/>
                <w:szCs w:val="20"/>
                <w:lang w:val="ru-RU" w:bidi="ar-SA"/>
              </w:rPr>
              <w:t xml:space="preserve">__________________ И.В.Парамонов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  <w:r/>
          </w:p>
          <w:p>
            <w:pPr>
              <w:pStyle w:val="883"/>
              <w:ind w:left="0" w:right="-57"/>
              <w:spacing w:lineRule="auto" w:line="276"/>
              <w:tabs>
                <w:tab w:val="left" w:pos="0" w:leader="none"/>
                <w:tab w:val="left" w:pos="3306" w:leader="none"/>
              </w:tabs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 xml:space="preserve">м.п.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</w:r>
            <w:r/>
          </w:p>
          <w:p>
            <w:pPr>
              <w:pStyle w:val="883"/>
              <w:jc w:val="left"/>
              <w:spacing w:after="0" w:before="0"/>
              <w:widowControl/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lang w:val="ru-RU" w:bidi="ar-SA"/>
              </w:rPr>
              <w:t xml:space="preserve"> </w:t>
            </w:r>
            <w:r/>
          </w:p>
        </w:tc>
      </w:tr>
    </w:tbl>
    <w:p>
      <w:pPr>
        <w:pStyle w:val="883"/>
        <w:rPr>
          <w:rFonts w:cs="Calibri"/>
          <w:sz w:val="18"/>
          <w:szCs w:val="18"/>
        </w:rPr>
        <w:sectPr>
          <w:headerReference w:type="default" r:id="rId9"/>
          <w:headerReference w:type="first" r:id="rId10"/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285" w:right="707" w:bottom="180" w:left="1080" w:header="143" w:footer="709" w:gutter="0"/>
          <w:cols w:num="1" w:sep="0" w:space="1701" w:equalWidth="1"/>
          <w:docGrid w:linePitch="360"/>
          <w:titlePg/>
        </w:sectPr>
      </w:pPr>
      <w:r>
        <w:rPr>
          <w:rFonts w:cs="Calibri"/>
        </w:rPr>
        <w:t xml:space="preserve"> </w:t>
      </w:r>
      <w:r>
        <w:rPr>
          <w:rFonts w:cs="Calibri"/>
          <w:sz w:val="18"/>
          <w:szCs w:val="18"/>
        </w:rPr>
      </w:r>
      <w:r/>
    </w:p>
    <w:p>
      <w:r/>
      <w:r/>
    </w:p>
    <w:sectPr>
      <w:headerReference w:type="default" r:id="rId11"/>
      <w:headerReference w:type="even" r:id="rId12"/>
      <w:headerReference w:type="first" r:id="rId13"/>
      <w:footnotePr>
        <w:numFmt w:val="decimal"/>
        <w:numRestart w:val="continuous"/>
      </w:footnotePr>
      <w:endnotePr>
        <w:numFmt w:val="lowerRoman"/>
      </w:endnotePr>
      <w:type w:val="nextPage"/>
      <w:pgSz w:w="16838" w:h="11906" w:orient="landscape"/>
      <w:pgMar w:top="964" w:right="454" w:bottom="737" w:left="850" w:header="72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MS Mincho">
    <w:panose1 w:val="02020609040205080304"/>
  </w:font>
  <w:font w:name="Tahoma">
    <w:panose1 w:val="020B0604030504040204"/>
  </w:font>
  <w:font w:name="Cambria">
    <w:panose1 w:val="0204050305040603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right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right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85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cs="Symbol"/>
      </w:rPr>
    </w:lvl>
    <w:lvl w:ilvl="1">
      <w:start w:val="0"/>
      <w:numFmt w:val="bullet"/>
      <w:isLgl w:val="false"/>
      <w:suff w:val="tab"/>
      <w:lvlText w:val=""/>
      <w:lvlJc w:val="left"/>
      <w:pPr/>
    </w:lvl>
    <w:lvl w:ilvl="2">
      <w:start w:val="0"/>
      <w:numFmt w:val="bullet"/>
      <w:isLgl w:val="false"/>
      <w:suff w:val="tab"/>
      <w:lvlText w:val=""/>
      <w:lvlJc w:val="left"/>
      <w:pPr/>
    </w:lvl>
    <w:lvl w:ilvl="3">
      <w:start w:val="0"/>
      <w:numFmt w:val="bullet"/>
      <w:isLgl w:val="false"/>
      <w:suff w:val="tab"/>
      <w:lvlText w:val=""/>
      <w:lvlJc w:val="left"/>
      <w:pPr/>
    </w:lvl>
    <w:lvl w:ilvl="4">
      <w:start w:val="0"/>
      <w:numFmt w:val="bullet"/>
      <w:isLgl w:val="false"/>
      <w:suff w:val="tab"/>
      <w:lvlText w:val=""/>
      <w:lvlJc w:val="left"/>
      <w:pPr/>
    </w:lvl>
    <w:lvl w:ilvl="5">
      <w:start w:val="0"/>
      <w:numFmt w:val="bullet"/>
      <w:isLgl w:val="false"/>
      <w:suff w:val="tab"/>
      <w:lvlText w:val=""/>
      <w:lvlJc w:val="left"/>
      <w:pPr/>
    </w:lvl>
    <w:lvl w:ilvl="6">
      <w:start w:val="0"/>
      <w:numFmt w:val="bullet"/>
      <w:isLgl w:val="false"/>
      <w:suff w:val="tab"/>
      <w:lvlText w:val=""/>
      <w:lvlJc w:val="left"/>
      <w:pPr/>
    </w:lvl>
    <w:lvl w:ilvl="7">
      <w:start w:val="0"/>
      <w:numFmt w:val="bullet"/>
      <w:isLgl w:val="false"/>
      <w:suff w:val="tab"/>
      <w:lvlText w:val=""/>
      <w:lvlJc w:val="left"/>
      <w:pPr/>
    </w:lvl>
    <w:lvl w:ilvl="8">
      <w:start w:val="0"/>
      <w:numFmt w:val="bullet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ajorAsci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0">
    <w:name w:val="Caption Char"/>
    <w:basedOn w:val="963"/>
    <w:link w:val="979"/>
    <w:uiPriority w:val="99"/>
  </w:style>
  <w:style w:type="table" w:styleId="701">
    <w:name w:val="Table Grid"/>
    <w:basedOn w:val="88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8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8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8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8">
    <w:name w:val="Grid Table 1 Light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2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2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2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2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3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3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4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0">
    <w:name w:val="Grid Table 4 - Accent 1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1">
    <w:name w:val="Grid Table 4 - Accent 2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2">
    <w:name w:val="Grid Table 4 - Accent 3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3">
    <w:name w:val="Grid Table 4 - Accent 4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4">
    <w:name w:val="Grid Table 4 - Accent 5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5">
    <w:name w:val="Grid Table 4 - Accent 6"/>
    <w:basedOn w:val="8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6">
    <w:name w:val="Grid Table 5 Dark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37">
    <w:name w:val="Grid Table 5 Dark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38">
    <w:name w:val="Grid Table 5 Dark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39">
    <w:name w:val="Grid Table 5 Dark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40">
    <w:name w:val="Grid Table 5 Dark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41">
    <w:name w:val="Grid Table 5 Dark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42">
    <w:name w:val="Grid Table 5 Dark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43">
    <w:name w:val="Grid Table 6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Grid Table 7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7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7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Grid Table 7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1 Light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List Table 1 Light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5">
    <w:name w:val="List Table 2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6">
    <w:name w:val="List Table 2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7">
    <w:name w:val="List Table 2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8">
    <w:name w:val="List Table 2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9">
    <w:name w:val="List Table 2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70">
    <w:name w:val="List Table 2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1">
    <w:name w:val="List Table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3">
    <w:name w:val="List Table 6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4">
    <w:name w:val="List Table 6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5">
    <w:name w:val="List Table 6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6">
    <w:name w:val="List Table 6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7">
    <w:name w:val="List Table 6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8">
    <w:name w:val="List Table 6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9">
    <w:name w:val="List Table 7 Colorful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801">
    <w:name w:val="List Table 7 Colorful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802">
    <w:name w:val="List Table 7 Colorful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803">
    <w:name w:val="List Table 7 Colorful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804">
    <w:name w:val="List Table 7 Colorful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805">
    <w:name w:val="List Table 7 Colorful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06">
    <w:name w:val="Lined - Accent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7">
    <w:name w:val="Lined - Accent 1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8">
    <w:name w:val="Lined - Accent 2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09">
    <w:name w:val="Lined - Accent 3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0">
    <w:name w:val="Lined - Accent 4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1">
    <w:name w:val="Lined - Accent 5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2">
    <w:name w:val="Lined - Accent 6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13">
    <w:name w:val="Bordered &amp; Lined - Accent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14">
    <w:name w:val="Bordered &amp; Lined - Accent 1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15">
    <w:name w:val="Bordered &amp; Lined - Accent 2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6">
    <w:name w:val="Bordered &amp; Lined - Accent 3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7">
    <w:name w:val="Bordered &amp; Lined - Accent 4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8">
    <w:name w:val="Bordered &amp; Lined - Accent 5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9">
    <w:name w:val="Bordered &amp; Lined - Accent 6"/>
    <w:basedOn w:val="8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20">
    <w:name w:val="Bordered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1">
    <w:name w:val="Bordered - Accent 1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2">
    <w:name w:val="Bordered - Accent 2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3">
    <w:name w:val="Bordered - Accent 3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4">
    <w:name w:val="Bordered - Accent 4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5">
    <w:name w:val="Bordered - Accent 5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6">
    <w:name w:val="Bordered - Accent 6"/>
    <w:basedOn w:val="8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827">
    <w:name w:val="Heading 1"/>
    <w:basedOn w:val="883"/>
    <w:next w:val="883"/>
    <w:link w:val="838"/>
    <w:qFormat/>
    <w:uiPriority w:val="9"/>
    <w:rPr>
      <w:rFonts w:ascii="Arial" w:hAnsi="Arial" w:cs="Arial" w:eastAsia="Arial"/>
      <w:color w:val="0F4761" w:themeColor="accent1" w:themeShade="BF"/>
      <w:sz w:val="40"/>
      <w:szCs w:val="40"/>
    </w:rPr>
    <w:pPr>
      <w:keepLines/>
      <w:keepNext/>
      <w:spacing w:after="80" w:before="360"/>
      <w:outlineLvl w:val="0"/>
    </w:pPr>
  </w:style>
  <w:style w:type="paragraph" w:styleId="828">
    <w:name w:val="Heading 2"/>
    <w:basedOn w:val="883"/>
    <w:next w:val="883"/>
    <w:link w:val="839"/>
    <w:qFormat/>
    <w:uiPriority w:val="9"/>
    <w:unhideWhenUsed/>
    <w:rPr>
      <w:rFonts w:ascii="Arial" w:hAnsi="Arial" w:cs="Arial" w:eastAsia="Arial"/>
      <w:color w:val="0F4761" w:themeColor="accent1" w:themeShade="BF"/>
      <w:sz w:val="32"/>
      <w:szCs w:val="32"/>
    </w:rPr>
    <w:pPr>
      <w:keepLines/>
      <w:keepNext/>
      <w:spacing w:after="80" w:before="160"/>
      <w:outlineLvl w:val="1"/>
    </w:pPr>
  </w:style>
  <w:style w:type="paragraph" w:styleId="829">
    <w:name w:val="Heading 3"/>
    <w:basedOn w:val="883"/>
    <w:next w:val="883"/>
    <w:link w:val="840"/>
    <w:qFormat/>
    <w:uiPriority w:val="9"/>
    <w:unhideWhenUsed/>
    <w:rPr>
      <w:rFonts w:ascii="Arial" w:hAnsi="Arial" w:cs="Arial" w:eastAsia="Arial"/>
      <w:color w:val="0F4761" w:themeColor="accent1" w:themeShade="BF"/>
      <w:sz w:val="28"/>
      <w:szCs w:val="28"/>
    </w:rPr>
    <w:pPr>
      <w:keepLines/>
      <w:keepNext/>
      <w:spacing w:after="80" w:before="160"/>
      <w:outlineLvl w:val="2"/>
    </w:pPr>
  </w:style>
  <w:style w:type="paragraph" w:styleId="830">
    <w:name w:val="Heading 4"/>
    <w:basedOn w:val="883"/>
    <w:next w:val="883"/>
    <w:link w:val="841"/>
    <w:qFormat/>
    <w:uiPriority w:val="9"/>
    <w:unhideWhenUsed/>
    <w:rPr>
      <w:rFonts w:ascii="Arial" w:hAnsi="Arial" w:cs="Arial" w:eastAsia="Arial"/>
      <w:i/>
      <w:iCs/>
      <w:color w:val="0F4761" w:themeColor="accent1" w:themeShade="BF"/>
    </w:rPr>
    <w:pPr>
      <w:keepLines/>
      <w:keepNext/>
      <w:spacing w:after="40" w:before="80"/>
      <w:outlineLvl w:val="3"/>
    </w:pPr>
  </w:style>
  <w:style w:type="paragraph" w:styleId="831">
    <w:name w:val="Heading 5"/>
    <w:basedOn w:val="883"/>
    <w:next w:val="883"/>
    <w:link w:val="842"/>
    <w:qFormat/>
    <w:uiPriority w:val="9"/>
    <w:unhideWhenUsed/>
    <w:rPr>
      <w:rFonts w:ascii="Arial" w:hAnsi="Arial" w:cs="Arial" w:eastAsia="Arial"/>
      <w:color w:val="0F4761" w:themeColor="accent1" w:themeShade="BF"/>
    </w:rPr>
    <w:pPr>
      <w:keepLines/>
      <w:keepNext/>
      <w:spacing w:after="40" w:before="80"/>
      <w:outlineLvl w:val="4"/>
    </w:pPr>
  </w:style>
  <w:style w:type="paragraph" w:styleId="832">
    <w:name w:val="Heading 6"/>
    <w:basedOn w:val="883"/>
    <w:next w:val="883"/>
    <w:link w:val="843"/>
    <w:qFormat/>
    <w:uiPriority w:val="9"/>
    <w:unhideWhenUsed/>
    <w:rPr>
      <w:rFonts w:ascii="Arial" w:hAnsi="Arial" w:cs="Arial" w:eastAsia="Arial"/>
      <w:i/>
      <w:iCs/>
      <w:color w:val="595959" w:themeColor="text1" w:themeTint="A6"/>
    </w:rPr>
    <w:pPr>
      <w:keepLines/>
      <w:keepNext/>
      <w:spacing w:after="0" w:before="40"/>
      <w:outlineLvl w:val="5"/>
    </w:pPr>
  </w:style>
  <w:style w:type="paragraph" w:styleId="833">
    <w:name w:val="Heading 7"/>
    <w:basedOn w:val="883"/>
    <w:next w:val="883"/>
    <w:link w:val="844"/>
    <w:qFormat/>
    <w:uiPriority w:val="9"/>
    <w:unhideWhenUsed/>
    <w:rPr>
      <w:rFonts w:ascii="Arial" w:hAnsi="Arial" w:cs="Arial" w:eastAsia="Arial"/>
      <w:color w:val="595959" w:themeColor="text1" w:themeTint="A6"/>
    </w:rPr>
    <w:pPr>
      <w:keepLines/>
      <w:keepNext/>
      <w:spacing w:after="0" w:before="40"/>
      <w:outlineLvl w:val="6"/>
    </w:pPr>
  </w:style>
  <w:style w:type="paragraph" w:styleId="834">
    <w:name w:val="Heading 8"/>
    <w:basedOn w:val="883"/>
    <w:next w:val="883"/>
    <w:link w:val="845"/>
    <w:qFormat/>
    <w:uiPriority w:val="9"/>
    <w:unhideWhenUsed/>
    <w:rPr>
      <w:rFonts w:ascii="Arial" w:hAnsi="Arial" w:cs="Arial" w:eastAsia="Arial"/>
      <w:i/>
      <w:iCs/>
      <w:color w:val="272727" w:themeColor="text1" w:themeTint="D8"/>
    </w:rPr>
    <w:pPr>
      <w:keepLines/>
      <w:keepNext/>
      <w:spacing w:after="0"/>
      <w:outlineLvl w:val="7"/>
    </w:pPr>
  </w:style>
  <w:style w:type="paragraph" w:styleId="835">
    <w:name w:val="Heading 9"/>
    <w:basedOn w:val="883"/>
    <w:next w:val="883"/>
    <w:link w:val="846"/>
    <w:qFormat/>
    <w:uiPriority w:val="9"/>
    <w:unhideWhenUsed/>
    <w:rPr>
      <w:rFonts w:ascii="Arial" w:hAnsi="Arial" w:cs="Arial" w:eastAsia="Arial"/>
      <w:i/>
      <w:iCs/>
      <w:color w:val="272727" w:themeColor="text1" w:themeTint="D8"/>
    </w:rPr>
    <w:pPr>
      <w:keepLines/>
      <w:keepNext/>
      <w:spacing w:after="0"/>
      <w:outlineLvl w:val="8"/>
    </w:pPr>
  </w:style>
  <w:style w:type="character" w:styleId="836" w:default="1">
    <w:name w:val="Default Paragraph Font"/>
    <w:uiPriority w:val="1"/>
    <w:semiHidden/>
    <w:unhideWhenUsed/>
  </w:style>
  <w:style w:type="numbering" w:styleId="837" w:default="1">
    <w:name w:val="No List"/>
    <w:uiPriority w:val="99"/>
    <w:semiHidden/>
    <w:unhideWhenUsed/>
  </w:style>
  <w:style w:type="character" w:styleId="838">
    <w:name w:val="Heading 1 Char"/>
    <w:basedOn w:val="836"/>
    <w:link w:val="827"/>
    <w:uiPriority w:val="9"/>
    <w:rPr>
      <w:rFonts w:ascii="Arial" w:hAnsi="Arial" w:cs="Arial" w:eastAsia="Arial"/>
      <w:color w:val="0F4761" w:themeColor="accent1" w:themeShade="BF"/>
      <w:sz w:val="40"/>
      <w:szCs w:val="40"/>
    </w:rPr>
  </w:style>
  <w:style w:type="character" w:styleId="839">
    <w:name w:val="Heading 2 Char"/>
    <w:basedOn w:val="836"/>
    <w:link w:val="828"/>
    <w:uiPriority w:val="9"/>
    <w:rPr>
      <w:rFonts w:ascii="Arial" w:hAnsi="Arial" w:cs="Arial" w:eastAsia="Arial"/>
      <w:color w:val="0F4761" w:themeColor="accent1" w:themeShade="BF"/>
      <w:sz w:val="32"/>
      <w:szCs w:val="32"/>
    </w:rPr>
  </w:style>
  <w:style w:type="character" w:styleId="840">
    <w:name w:val="Heading 3 Char"/>
    <w:basedOn w:val="836"/>
    <w:link w:val="829"/>
    <w:uiPriority w:val="9"/>
    <w:rPr>
      <w:rFonts w:ascii="Arial" w:hAnsi="Arial" w:cs="Arial" w:eastAsia="Arial"/>
      <w:color w:val="0F4761" w:themeColor="accent1" w:themeShade="BF"/>
      <w:sz w:val="28"/>
      <w:szCs w:val="28"/>
    </w:rPr>
  </w:style>
  <w:style w:type="character" w:styleId="841">
    <w:name w:val="Heading 4 Char"/>
    <w:basedOn w:val="836"/>
    <w:link w:val="830"/>
    <w:uiPriority w:val="9"/>
    <w:rPr>
      <w:rFonts w:ascii="Arial" w:hAnsi="Arial" w:cs="Arial" w:eastAsia="Arial"/>
      <w:i/>
      <w:iCs/>
      <w:color w:val="0F4761" w:themeColor="accent1" w:themeShade="BF"/>
    </w:rPr>
  </w:style>
  <w:style w:type="character" w:styleId="842">
    <w:name w:val="Heading 5 Char"/>
    <w:basedOn w:val="836"/>
    <w:link w:val="831"/>
    <w:uiPriority w:val="9"/>
    <w:rPr>
      <w:rFonts w:ascii="Arial" w:hAnsi="Arial" w:cs="Arial" w:eastAsia="Arial"/>
      <w:color w:val="0F4761" w:themeColor="accent1" w:themeShade="BF"/>
    </w:rPr>
  </w:style>
  <w:style w:type="character" w:styleId="843">
    <w:name w:val="Heading 6 Char"/>
    <w:basedOn w:val="836"/>
    <w:link w:val="832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844">
    <w:name w:val="Heading 7 Char"/>
    <w:basedOn w:val="836"/>
    <w:link w:val="833"/>
    <w:uiPriority w:val="9"/>
    <w:rPr>
      <w:rFonts w:ascii="Arial" w:hAnsi="Arial" w:cs="Arial" w:eastAsia="Arial"/>
      <w:color w:val="595959" w:themeColor="text1" w:themeTint="A6"/>
    </w:rPr>
  </w:style>
  <w:style w:type="character" w:styleId="845">
    <w:name w:val="Heading 8 Char"/>
    <w:basedOn w:val="836"/>
    <w:link w:val="834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846">
    <w:name w:val="Heading 9 Char"/>
    <w:basedOn w:val="836"/>
    <w:link w:val="835"/>
    <w:uiPriority w:val="9"/>
    <w:rPr>
      <w:rFonts w:ascii="Arial" w:hAnsi="Arial" w:cs="Arial" w:eastAsia="Arial"/>
      <w:i/>
      <w:iCs/>
      <w:color w:val="272727" w:themeColor="text1" w:themeTint="D8"/>
    </w:rPr>
  </w:style>
  <w:style w:type="paragraph" w:styleId="847">
    <w:name w:val="Title"/>
    <w:basedOn w:val="883"/>
    <w:next w:val="883"/>
    <w:link w:val="848"/>
    <w:qFormat/>
    <w:uiPriority w:val="10"/>
    <w:rPr>
      <w:rFonts w:ascii="Arial" w:hAnsi="Arial" w:cs="Arial" w:eastAsia="Arial"/>
      <w:spacing w:val="-10"/>
      <w:sz w:val="56"/>
      <w:szCs w:val="56"/>
    </w:rPr>
    <w:pPr>
      <w:contextualSpacing w:val="true"/>
      <w:spacing w:lineRule="auto" w:line="240" w:after="80"/>
    </w:pPr>
  </w:style>
  <w:style w:type="character" w:styleId="848">
    <w:name w:val="Title Char"/>
    <w:basedOn w:val="836"/>
    <w:link w:val="847"/>
    <w:uiPriority w:val="10"/>
    <w:rPr>
      <w:rFonts w:ascii="Arial" w:hAnsi="Arial" w:cs="Arial" w:eastAsia="Arial"/>
      <w:spacing w:val="-10"/>
      <w:sz w:val="56"/>
      <w:szCs w:val="56"/>
    </w:rPr>
  </w:style>
  <w:style w:type="character" w:styleId="849">
    <w:name w:val="Subtitle Char"/>
    <w:basedOn w:val="836"/>
    <w:link w:val="980"/>
    <w:uiPriority w:val="11"/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3"/>
    <w:next w:val="883"/>
    <w:link w:val="851"/>
    <w:qFormat/>
    <w:uiPriority w:val="29"/>
    <w:rPr>
      <w:i/>
      <w:iCs/>
      <w:color w:val="404040" w:themeColor="text1" w:themeTint="BF"/>
    </w:rPr>
    <w:pPr>
      <w:jc w:val="center"/>
      <w:spacing w:before="160"/>
    </w:pPr>
  </w:style>
  <w:style w:type="character" w:styleId="851">
    <w:name w:val="Quote Char"/>
    <w:basedOn w:val="836"/>
    <w:link w:val="850"/>
    <w:uiPriority w:val="29"/>
    <w:rPr>
      <w:i/>
      <w:iCs/>
      <w:color w:val="404040" w:themeColor="text1" w:themeTint="BF"/>
    </w:rPr>
  </w:style>
  <w:style w:type="character" w:styleId="852">
    <w:name w:val="Intense Emphasis"/>
    <w:basedOn w:val="836"/>
    <w:qFormat/>
    <w:uiPriority w:val="21"/>
    <w:rPr>
      <w:i/>
      <w:iCs/>
      <w:color w:val="0F4761" w:themeColor="accent1" w:themeShade="BF"/>
    </w:rPr>
  </w:style>
  <w:style w:type="paragraph" w:styleId="853">
    <w:name w:val="Intense Quote"/>
    <w:basedOn w:val="883"/>
    <w:next w:val="883"/>
    <w:link w:val="854"/>
    <w:qFormat/>
    <w:uiPriority w:val="30"/>
    <w:rPr>
      <w:i/>
      <w:iCs/>
      <w:color w:val="0F4761" w:themeColor="accent1" w:themeShade="BF"/>
    </w:rPr>
    <w:pPr>
      <w:ind w:left="864" w:right="864"/>
      <w:jc w:val="center"/>
      <w:spacing w:after="360" w:before="360"/>
      <w:pBdr>
        <w:top w:val="single" w:color="0F4761" w:sz="4" w:space="10" w:themeColor="accent1" w:themeShade="BF"/>
        <w:bottom w:val="single" w:color="0F4761" w:sz="4" w:space="10" w:themeColor="accent1" w:themeShade="BF"/>
      </w:pBdr>
    </w:pPr>
  </w:style>
  <w:style w:type="character" w:styleId="854">
    <w:name w:val="Intense Quote Char"/>
    <w:basedOn w:val="836"/>
    <w:link w:val="853"/>
    <w:uiPriority w:val="30"/>
    <w:rPr>
      <w:i/>
      <w:iCs/>
      <w:color w:val="0F4761" w:themeColor="accent1" w:themeShade="BF"/>
    </w:rPr>
  </w:style>
  <w:style w:type="character" w:styleId="855">
    <w:name w:val="Intense Reference"/>
    <w:basedOn w:val="836"/>
    <w:qFormat/>
    <w:uiPriority w:val="32"/>
    <w:rPr>
      <w:b/>
      <w:bCs/>
      <w:smallCaps/>
      <w:color w:val="0F4761" w:themeColor="accent1" w:themeShade="BF"/>
      <w:spacing w:val="5"/>
    </w:rPr>
  </w:style>
  <w:style w:type="paragraph" w:styleId="856">
    <w:name w:val="No Spacing"/>
    <w:basedOn w:val="883"/>
    <w:qFormat/>
    <w:uiPriority w:val="1"/>
    <w:pPr>
      <w:spacing w:lineRule="auto" w:line="240" w:after="0"/>
    </w:pPr>
  </w:style>
  <w:style w:type="character" w:styleId="857">
    <w:name w:val="Subtle Emphasis"/>
    <w:basedOn w:val="836"/>
    <w:qFormat/>
    <w:uiPriority w:val="19"/>
    <w:rPr>
      <w:i/>
      <w:iCs/>
      <w:color w:val="404040" w:themeColor="text1" w:themeTint="BF"/>
    </w:rPr>
  </w:style>
  <w:style w:type="character" w:styleId="858">
    <w:name w:val="Emphasis"/>
    <w:basedOn w:val="836"/>
    <w:qFormat/>
    <w:uiPriority w:val="20"/>
    <w:rPr>
      <w:i/>
      <w:iCs/>
    </w:rPr>
  </w:style>
  <w:style w:type="character" w:styleId="859">
    <w:name w:val="Subtle Reference"/>
    <w:basedOn w:val="836"/>
    <w:qFormat/>
    <w:uiPriority w:val="31"/>
    <w:rPr>
      <w:smallCaps/>
      <w:color w:val="5A5A5A" w:themeColor="text1" w:themeTint="A5"/>
    </w:rPr>
  </w:style>
  <w:style w:type="character" w:styleId="860">
    <w:name w:val="Book Title"/>
    <w:basedOn w:val="836"/>
    <w:qFormat/>
    <w:uiPriority w:val="33"/>
    <w:rPr>
      <w:b/>
      <w:bCs/>
      <w:i/>
      <w:iCs/>
      <w:spacing w:val="5"/>
    </w:rPr>
  </w:style>
  <w:style w:type="character" w:styleId="861">
    <w:name w:val="Header Char"/>
    <w:basedOn w:val="836"/>
    <w:link w:val="978"/>
    <w:uiPriority w:val="99"/>
  </w:style>
  <w:style w:type="character" w:styleId="862">
    <w:name w:val="Footer Char"/>
    <w:basedOn w:val="836"/>
    <w:link w:val="979"/>
    <w:uiPriority w:val="99"/>
  </w:style>
  <w:style w:type="paragraph" w:styleId="863">
    <w:name w:val="footnote text"/>
    <w:basedOn w:val="883"/>
    <w:link w:val="864"/>
    <w:uiPriority w:val="99"/>
    <w:semiHidden/>
    <w:unhideWhenUsed/>
    <w:rPr>
      <w:sz w:val="20"/>
      <w:szCs w:val="20"/>
    </w:rPr>
    <w:pPr>
      <w:spacing w:lineRule="auto" w:line="240" w:after="0"/>
    </w:pPr>
  </w:style>
  <w:style w:type="character" w:styleId="864">
    <w:name w:val="Footnote Text Char"/>
    <w:basedOn w:val="836"/>
    <w:link w:val="863"/>
    <w:uiPriority w:val="99"/>
    <w:semiHidden/>
    <w:rPr>
      <w:sz w:val="20"/>
      <w:szCs w:val="20"/>
    </w:rPr>
  </w:style>
  <w:style w:type="character" w:styleId="865">
    <w:name w:val="footnote reference"/>
    <w:basedOn w:val="836"/>
    <w:uiPriority w:val="99"/>
    <w:semiHidden/>
    <w:unhideWhenUsed/>
    <w:rPr>
      <w:vertAlign w:val="superscript"/>
    </w:rPr>
  </w:style>
  <w:style w:type="paragraph" w:styleId="866">
    <w:name w:val="endnote text"/>
    <w:basedOn w:val="883"/>
    <w:link w:val="867"/>
    <w:uiPriority w:val="99"/>
    <w:semiHidden/>
    <w:unhideWhenUsed/>
    <w:rPr>
      <w:sz w:val="20"/>
      <w:szCs w:val="20"/>
    </w:rPr>
    <w:pPr>
      <w:spacing w:lineRule="auto" w:line="240" w:after="0"/>
    </w:pPr>
  </w:style>
  <w:style w:type="character" w:styleId="867">
    <w:name w:val="Endnote Text Char"/>
    <w:basedOn w:val="836"/>
    <w:link w:val="866"/>
    <w:uiPriority w:val="99"/>
    <w:semiHidden/>
    <w:rPr>
      <w:sz w:val="20"/>
      <w:szCs w:val="20"/>
    </w:rPr>
  </w:style>
  <w:style w:type="character" w:styleId="868">
    <w:name w:val="endnote reference"/>
    <w:basedOn w:val="836"/>
    <w:uiPriority w:val="99"/>
    <w:semiHidden/>
    <w:unhideWhenUsed/>
    <w:rPr>
      <w:vertAlign w:val="superscript"/>
    </w:rPr>
  </w:style>
  <w:style w:type="character" w:styleId="869">
    <w:name w:val="FollowedHyperlink"/>
    <w:basedOn w:val="836"/>
    <w:uiPriority w:val="99"/>
    <w:semiHidden/>
    <w:unhideWhenUsed/>
    <w:rPr>
      <w:color w:val="954F72" w:themeColor="followedHyperlink"/>
      <w:u w:val="single"/>
    </w:rPr>
  </w:style>
  <w:style w:type="paragraph" w:styleId="870">
    <w:name w:val="toc 1"/>
    <w:basedOn w:val="883"/>
    <w:next w:val="883"/>
    <w:uiPriority w:val="39"/>
    <w:unhideWhenUsed/>
    <w:pPr>
      <w:spacing w:after="100"/>
    </w:pPr>
  </w:style>
  <w:style w:type="paragraph" w:styleId="871">
    <w:name w:val="toc 2"/>
    <w:basedOn w:val="883"/>
    <w:next w:val="883"/>
    <w:uiPriority w:val="39"/>
    <w:unhideWhenUsed/>
    <w:pPr>
      <w:ind w:left="220"/>
      <w:spacing w:after="100"/>
    </w:pPr>
  </w:style>
  <w:style w:type="paragraph" w:styleId="872">
    <w:name w:val="toc 3"/>
    <w:basedOn w:val="883"/>
    <w:next w:val="883"/>
    <w:uiPriority w:val="39"/>
    <w:unhideWhenUsed/>
    <w:pPr>
      <w:ind w:left="440"/>
      <w:spacing w:after="100"/>
    </w:pPr>
  </w:style>
  <w:style w:type="paragraph" w:styleId="873">
    <w:name w:val="toc 4"/>
    <w:basedOn w:val="883"/>
    <w:next w:val="883"/>
    <w:uiPriority w:val="39"/>
    <w:unhideWhenUsed/>
    <w:pPr>
      <w:ind w:left="660"/>
      <w:spacing w:after="100"/>
    </w:pPr>
  </w:style>
  <w:style w:type="paragraph" w:styleId="874">
    <w:name w:val="toc 5"/>
    <w:basedOn w:val="883"/>
    <w:next w:val="883"/>
    <w:uiPriority w:val="39"/>
    <w:unhideWhenUsed/>
    <w:pPr>
      <w:ind w:left="880"/>
      <w:spacing w:after="100"/>
    </w:pPr>
  </w:style>
  <w:style w:type="paragraph" w:styleId="875">
    <w:name w:val="toc 6"/>
    <w:basedOn w:val="883"/>
    <w:next w:val="883"/>
    <w:uiPriority w:val="39"/>
    <w:unhideWhenUsed/>
    <w:pPr>
      <w:ind w:left="1100"/>
      <w:spacing w:after="100"/>
    </w:pPr>
  </w:style>
  <w:style w:type="paragraph" w:styleId="876">
    <w:name w:val="toc 7"/>
    <w:basedOn w:val="883"/>
    <w:next w:val="883"/>
    <w:uiPriority w:val="39"/>
    <w:unhideWhenUsed/>
    <w:pPr>
      <w:ind w:left="1320"/>
      <w:spacing w:after="100"/>
    </w:pPr>
  </w:style>
  <w:style w:type="paragraph" w:styleId="877">
    <w:name w:val="toc 8"/>
    <w:basedOn w:val="883"/>
    <w:next w:val="883"/>
    <w:uiPriority w:val="39"/>
    <w:unhideWhenUsed/>
    <w:pPr>
      <w:ind w:left="1540"/>
      <w:spacing w:after="100"/>
    </w:pPr>
  </w:style>
  <w:style w:type="paragraph" w:styleId="878">
    <w:name w:val="toc 9"/>
    <w:basedOn w:val="883"/>
    <w:next w:val="883"/>
    <w:uiPriority w:val="39"/>
    <w:unhideWhenUsed/>
    <w:pPr>
      <w:ind w:left="1760"/>
      <w:spacing w:after="100"/>
    </w:pPr>
  </w:style>
  <w:style w:type="character" w:styleId="879">
    <w:name w:val="Placeholder Text"/>
    <w:basedOn w:val="836"/>
    <w:uiPriority w:val="99"/>
    <w:semiHidden/>
    <w:rPr>
      <w:color w:val="666666"/>
    </w:rPr>
  </w:style>
  <w:style w:type="paragraph" w:styleId="880">
    <w:name w:val="TOC Heading"/>
    <w:uiPriority w:val="39"/>
    <w:unhideWhenUsed/>
  </w:style>
  <w:style w:type="paragraph" w:styleId="881">
    <w:name w:val="table of figures"/>
    <w:basedOn w:val="883"/>
    <w:next w:val="883"/>
    <w:uiPriority w:val="99"/>
    <w:unhideWhenUsed/>
    <w:pPr>
      <w:spacing w:after="0" w:afterAutospacing="0"/>
    </w:pPr>
  </w:style>
  <w:style w:type="table" w:styleId="882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83" w:default="1">
    <w:name w:val="Normal"/>
    <w:next w:val="883"/>
    <w:link w:val="883"/>
    <w:rPr>
      <w:rFonts w:ascii="Calibri" w:hAnsi="Calibri" w:cs="Times New Roman" w:eastAsia="Calibri"/>
      <w:color w:val="auto"/>
      <w:sz w:val="22"/>
      <w:szCs w:val="22"/>
      <w:lang w:val="ru-RU" w:bidi="ar-SA" w:eastAsia="zh-CN"/>
    </w:rPr>
    <w:pPr>
      <w:ind w:left="-57" w:right="-57" w:firstLine="0"/>
      <w:widowControl/>
    </w:pPr>
  </w:style>
  <w:style w:type="character" w:styleId="884">
    <w:name w:val="WW8Num1z0"/>
    <w:next w:val="884"/>
    <w:link w:val="883"/>
    <w:rPr>
      <w:rFonts w:ascii="Symbol" w:hAnsi="Symbol" w:cs="Symbol"/>
    </w:rPr>
  </w:style>
  <w:style w:type="character" w:styleId="885">
    <w:name w:val="WW8Num4z0"/>
    <w:next w:val="885"/>
    <w:link w:val="883"/>
    <w:rPr>
      <w:rFonts w:ascii="Symbol" w:hAnsi="Symbol" w:cs="Symbol"/>
    </w:rPr>
  </w:style>
  <w:style w:type="character" w:styleId="886">
    <w:name w:val="WW8Num4z1"/>
    <w:next w:val="886"/>
    <w:link w:val="883"/>
    <w:rPr>
      <w:rFonts w:ascii="Courier New" w:hAnsi="Courier New" w:cs="Courier New"/>
    </w:rPr>
  </w:style>
  <w:style w:type="character" w:styleId="887">
    <w:name w:val="WW8Num4z2"/>
    <w:next w:val="887"/>
    <w:link w:val="883"/>
    <w:rPr>
      <w:rFonts w:ascii="Wingdings" w:hAnsi="Wingdings" w:cs="Wingdings"/>
    </w:rPr>
  </w:style>
  <w:style w:type="character" w:styleId="888">
    <w:name w:val="WW8Num5z0"/>
    <w:next w:val="888"/>
    <w:link w:val="883"/>
    <w:rPr>
      <w:rFonts w:ascii="Symbol" w:hAnsi="Symbol" w:cs="Symbol"/>
    </w:rPr>
  </w:style>
  <w:style w:type="character" w:styleId="889">
    <w:name w:val="WW8Num5z1"/>
    <w:next w:val="889"/>
    <w:link w:val="883"/>
    <w:rPr>
      <w:rFonts w:ascii="Courier New" w:hAnsi="Courier New" w:cs="Courier New"/>
    </w:rPr>
  </w:style>
  <w:style w:type="character" w:styleId="890">
    <w:name w:val="WW8Num5z2"/>
    <w:next w:val="890"/>
    <w:link w:val="883"/>
    <w:rPr>
      <w:rFonts w:ascii="Wingdings" w:hAnsi="Wingdings" w:cs="Wingdings"/>
    </w:rPr>
  </w:style>
  <w:style w:type="character" w:styleId="891">
    <w:name w:val="WW8Num2z0"/>
    <w:next w:val="891"/>
    <w:link w:val="883"/>
  </w:style>
  <w:style w:type="character" w:styleId="892">
    <w:name w:val="WW8Num2z1"/>
    <w:next w:val="892"/>
    <w:link w:val="883"/>
    <w:rPr>
      <w:b/>
    </w:rPr>
  </w:style>
  <w:style w:type="character" w:styleId="893">
    <w:name w:val="WW8Num2z2"/>
    <w:next w:val="893"/>
    <w:link w:val="883"/>
    <w:rPr>
      <w:lang w:val="fi-FI"/>
    </w:rPr>
  </w:style>
  <w:style w:type="character" w:styleId="894">
    <w:name w:val="WW8Num3z0"/>
    <w:next w:val="894"/>
    <w:link w:val="883"/>
  </w:style>
  <w:style w:type="character" w:styleId="895">
    <w:name w:val="Основной шрифт абзаца"/>
    <w:next w:val="895"/>
    <w:link w:val="883"/>
  </w:style>
  <w:style w:type="character" w:styleId="896">
    <w:name w:val="Верхний колонтитул Знак"/>
    <w:basedOn w:val="895"/>
    <w:next w:val="896"/>
    <w:link w:val="883"/>
  </w:style>
  <w:style w:type="character" w:styleId="897">
    <w:name w:val="Нижний колонтитул Знак"/>
    <w:basedOn w:val="895"/>
    <w:next w:val="897"/>
    <w:link w:val="883"/>
  </w:style>
  <w:style w:type="character" w:styleId="898">
    <w:name w:val="Подзаголовок Знак"/>
    <w:next w:val="898"/>
    <w:link w:val="883"/>
    <w:rPr>
      <w:rFonts w:ascii="Cambria" w:hAnsi="Cambria" w:cs="Times New Roman" w:eastAsia="Times New Roman"/>
      <w:i/>
      <w:iCs/>
      <w:color w:val="4F81BD"/>
      <w:spacing w:val="15"/>
      <w:sz w:val="24"/>
      <w:szCs w:val="24"/>
    </w:rPr>
  </w:style>
  <w:style w:type="character" w:styleId="899">
    <w:name w:val="Hyperlink"/>
    <w:next w:val="899"/>
    <w:link w:val="883"/>
    <w:rPr>
      <w:color w:val="0000FF"/>
      <w:u w:val="single"/>
    </w:rPr>
  </w:style>
  <w:style w:type="character" w:styleId="900">
    <w:name w:val="Текст выноски Знак"/>
    <w:next w:val="900"/>
    <w:link w:val="883"/>
    <w:rPr>
      <w:rFonts w:ascii="Tahoma" w:hAnsi="Tahoma" w:cs="Tahoma"/>
      <w:sz w:val="16"/>
      <w:szCs w:val="16"/>
    </w:rPr>
  </w:style>
  <w:style w:type="character" w:styleId="901">
    <w:name w:val="Strong"/>
    <w:next w:val="901"/>
    <w:link w:val="883"/>
    <w:rPr>
      <w:b/>
      <w:bCs/>
      <w:color w:val="333333"/>
    </w:rPr>
  </w:style>
  <w:style w:type="character" w:styleId="902">
    <w:name w:val="Стандартный HTML Знак"/>
    <w:next w:val="902"/>
    <w:link w:val="883"/>
    <w:rPr>
      <w:rFonts w:ascii="Courier New" w:hAnsi="Courier New" w:cs="Courier New" w:eastAsia="Times New Roman"/>
    </w:rPr>
  </w:style>
  <w:style w:type="character" w:styleId="903">
    <w:name w:val="Неразрешенное упоминание"/>
    <w:next w:val="903"/>
    <w:link w:val="883"/>
    <w:rPr>
      <w:color w:val="605E5C"/>
      <w:shd w:val="clear" w:fill="E1DFDD" w:color="auto"/>
    </w:rPr>
  </w:style>
  <w:style w:type="character" w:styleId="904">
    <w:name w:val="Основной текст1"/>
    <w:next w:val="904"/>
    <w:link w:val="883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color w:val="000000"/>
      <w:spacing w:val="10"/>
      <w:position w:val="0"/>
      <w:sz w:val="24"/>
      <w:szCs w:val="24"/>
      <w:u w:val="none"/>
      <w:vertAlign w:val="baseline"/>
      <w:lang w:val="ru-RU" w:bidi="ru-RU"/>
    </w:rPr>
  </w:style>
  <w:style w:type="character" w:styleId="905">
    <w:name w:val="Основной текст + Courier New;Полужирный;Интервал 0 pt"/>
    <w:next w:val="905"/>
    <w:link w:val="883"/>
    <w:rPr>
      <w:rFonts w:ascii="Courier New" w:hAnsi="Courier New" w:cs="Courier New" w:eastAsia="Courier New"/>
      <w:b/>
      <w:bCs/>
      <w:color w:val="000000"/>
      <w:spacing w:val="0"/>
      <w:position w:val="0"/>
      <w:sz w:val="24"/>
      <w:szCs w:val="24"/>
      <w:shd w:val="clear" w:fill="FFFFFF" w:color="auto"/>
      <w:vertAlign w:val="baseline"/>
      <w:lang w:val="ru-RU" w:bidi="ru-RU"/>
    </w:rPr>
  </w:style>
  <w:style w:type="character" w:styleId="906">
    <w:name w:val="ListLabel 37"/>
    <w:next w:val="906"/>
    <w:link w:val="883"/>
  </w:style>
  <w:style w:type="character" w:styleId="907">
    <w:name w:val="ListLabel 38"/>
    <w:next w:val="907"/>
    <w:link w:val="883"/>
  </w:style>
  <w:style w:type="character" w:styleId="908">
    <w:name w:val="ListLabel 39"/>
    <w:next w:val="908"/>
    <w:link w:val="883"/>
  </w:style>
  <w:style w:type="character" w:styleId="909">
    <w:name w:val="ListLabel 40"/>
    <w:next w:val="909"/>
    <w:link w:val="883"/>
  </w:style>
  <w:style w:type="character" w:styleId="910">
    <w:name w:val="ListLabel 41"/>
    <w:next w:val="910"/>
    <w:link w:val="883"/>
  </w:style>
  <w:style w:type="character" w:styleId="911">
    <w:name w:val="ListLabel 42"/>
    <w:next w:val="911"/>
    <w:link w:val="883"/>
  </w:style>
  <w:style w:type="character" w:styleId="912">
    <w:name w:val="ListLabel 43"/>
    <w:next w:val="912"/>
    <w:link w:val="883"/>
  </w:style>
  <w:style w:type="character" w:styleId="913">
    <w:name w:val="ListLabel 44"/>
    <w:next w:val="913"/>
    <w:link w:val="883"/>
  </w:style>
  <w:style w:type="character" w:styleId="914">
    <w:name w:val="ListLabel 45"/>
    <w:next w:val="914"/>
    <w:link w:val="883"/>
  </w:style>
  <w:style w:type="character" w:styleId="915">
    <w:name w:val="ListLabel 46"/>
    <w:next w:val="915"/>
    <w:link w:val="883"/>
  </w:style>
  <w:style w:type="character" w:styleId="916">
    <w:name w:val="ListLabel 47"/>
    <w:next w:val="916"/>
    <w:link w:val="883"/>
  </w:style>
  <w:style w:type="character" w:styleId="917">
    <w:name w:val="ListLabel 48"/>
    <w:next w:val="917"/>
    <w:link w:val="883"/>
  </w:style>
  <w:style w:type="character" w:styleId="918">
    <w:name w:val="ListLabel 49"/>
    <w:next w:val="918"/>
    <w:link w:val="883"/>
  </w:style>
  <w:style w:type="character" w:styleId="919">
    <w:name w:val="ListLabel 50"/>
    <w:next w:val="919"/>
    <w:link w:val="883"/>
  </w:style>
  <w:style w:type="character" w:styleId="920">
    <w:name w:val="ListLabel 51"/>
    <w:next w:val="920"/>
    <w:link w:val="883"/>
  </w:style>
  <w:style w:type="character" w:styleId="921">
    <w:name w:val="ListLabel 52"/>
    <w:next w:val="921"/>
    <w:link w:val="883"/>
  </w:style>
  <w:style w:type="character" w:styleId="922">
    <w:name w:val="ListLabel 53"/>
    <w:next w:val="922"/>
    <w:link w:val="883"/>
  </w:style>
  <w:style w:type="character" w:styleId="923">
    <w:name w:val="ListLabel 54"/>
    <w:next w:val="923"/>
    <w:link w:val="883"/>
  </w:style>
  <w:style w:type="character" w:styleId="924">
    <w:name w:val="ListLabel 19"/>
    <w:next w:val="924"/>
    <w:link w:val="883"/>
    <w:rPr>
      <w:rFonts w:cs="Symbol"/>
    </w:rPr>
  </w:style>
  <w:style w:type="character" w:styleId="925">
    <w:name w:val="ListLabel 20"/>
    <w:next w:val="925"/>
    <w:link w:val="883"/>
    <w:rPr>
      <w:rFonts w:cs="Courier New"/>
    </w:rPr>
  </w:style>
  <w:style w:type="character" w:styleId="926">
    <w:name w:val="ListLabel 21"/>
    <w:next w:val="926"/>
    <w:link w:val="883"/>
    <w:rPr>
      <w:rFonts w:cs="Wingdings"/>
    </w:rPr>
  </w:style>
  <w:style w:type="character" w:styleId="927">
    <w:name w:val="ListLabel 22"/>
    <w:next w:val="927"/>
    <w:link w:val="883"/>
    <w:rPr>
      <w:rFonts w:cs="Symbol"/>
    </w:rPr>
  </w:style>
  <w:style w:type="character" w:styleId="928">
    <w:name w:val="ListLabel 23"/>
    <w:next w:val="928"/>
    <w:link w:val="883"/>
    <w:rPr>
      <w:rFonts w:cs="Courier New"/>
    </w:rPr>
  </w:style>
  <w:style w:type="character" w:styleId="929">
    <w:name w:val="ListLabel 24"/>
    <w:next w:val="929"/>
    <w:link w:val="883"/>
    <w:rPr>
      <w:rFonts w:cs="Wingdings"/>
    </w:rPr>
  </w:style>
  <w:style w:type="character" w:styleId="930">
    <w:name w:val="ListLabel 25"/>
    <w:next w:val="930"/>
    <w:link w:val="883"/>
    <w:rPr>
      <w:rFonts w:cs="Symbol"/>
    </w:rPr>
  </w:style>
  <w:style w:type="character" w:styleId="931">
    <w:name w:val="ListLabel 26"/>
    <w:next w:val="931"/>
    <w:link w:val="883"/>
    <w:rPr>
      <w:rFonts w:cs="Courier New"/>
    </w:rPr>
  </w:style>
  <w:style w:type="character" w:styleId="932">
    <w:name w:val="ListLabel 27"/>
    <w:next w:val="932"/>
    <w:link w:val="883"/>
    <w:rPr>
      <w:rFonts w:cs="Wingdings"/>
    </w:rPr>
  </w:style>
  <w:style w:type="character" w:styleId="933">
    <w:name w:val="ListLabel 28"/>
    <w:next w:val="933"/>
    <w:link w:val="883"/>
    <w:rPr>
      <w:rFonts w:cs="Symbol"/>
    </w:rPr>
  </w:style>
  <w:style w:type="character" w:styleId="934">
    <w:name w:val="ListLabel 29"/>
    <w:next w:val="934"/>
    <w:link w:val="883"/>
    <w:rPr>
      <w:rFonts w:cs="Courier New"/>
    </w:rPr>
  </w:style>
  <w:style w:type="character" w:styleId="935">
    <w:name w:val="ListLabel 30"/>
    <w:next w:val="935"/>
    <w:link w:val="883"/>
    <w:rPr>
      <w:rFonts w:cs="Wingdings"/>
    </w:rPr>
  </w:style>
  <w:style w:type="character" w:styleId="936">
    <w:name w:val="ListLabel 31"/>
    <w:next w:val="936"/>
    <w:link w:val="883"/>
    <w:rPr>
      <w:rFonts w:cs="Symbol"/>
    </w:rPr>
  </w:style>
  <w:style w:type="character" w:styleId="937">
    <w:name w:val="ListLabel 32"/>
    <w:next w:val="937"/>
    <w:link w:val="883"/>
    <w:rPr>
      <w:rFonts w:cs="Courier New"/>
    </w:rPr>
  </w:style>
  <w:style w:type="character" w:styleId="938">
    <w:name w:val="ListLabel 33"/>
    <w:next w:val="938"/>
    <w:link w:val="883"/>
    <w:rPr>
      <w:rFonts w:cs="Wingdings"/>
    </w:rPr>
  </w:style>
  <w:style w:type="character" w:styleId="939">
    <w:name w:val="ListLabel 34"/>
    <w:next w:val="939"/>
    <w:link w:val="883"/>
    <w:rPr>
      <w:rFonts w:cs="Symbol"/>
    </w:rPr>
  </w:style>
  <w:style w:type="character" w:styleId="940">
    <w:name w:val="ListLabel 35"/>
    <w:next w:val="940"/>
    <w:link w:val="883"/>
    <w:rPr>
      <w:rFonts w:cs="Courier New"/>
    </w:rPr>
  </w:style>
  <w:style w:type="character" w:styleId="941">
    <w:name w:val="ListLabel 36"/>
    <w:next w:val="941"/>
    <w:link w:val="883"/>
    <w:rPr>
      <w:rFonts w:cs="Wingdings"/>
    </w:rPr>
  </w:style>
  <w:style w:type="character" w:styleId="942">
    <w:name w:val="ListLabel 55"/>
    <w:next w:val="942"/>
    <w:link w:val="883"/>
  </w:style>
  <w:style w:type="character" w:styleId="943">
    <w:name w:val="ListLabel 56"/>
    <w:next w:val="943"/>
    <w:link w:val="883"/>
  </w:style>
  <w:style w:type="character" w:styleId="944">
    <w:name w:val="ListLabel 57"/>
    <w:next w:val="944"/>
    <w:link w:val="883"/>
  </w:style>
  <w:style w:type="character" w:styleId="945">
    <w:name w:val="ListLabel 58"/>
    <w:next w:val="945"/>
    <w:link w:val="883"/>
  </w:style>
  <w:style w:type="character" w:styleId="946">
    <w:name w:val="ListLabel 59"/>
    <w:next w:val="946"/>
    <w:link w:val="883"/>
  </w:style>
  <w:style w:type="character" w:styleId="947">
    <w:name w:val="ListLabel 60"/>
    <w:next w:val="947"/>
    <w:link w:val="883"/>
  </w:style>
  <w:style w:type="character" w:styleId="948">
    <w:name w:val="ListLabel 61"/>
    <w:next w:val="948"/>
    <w:link w:val="883"/>
  </w:style>
  <w:style w:type="character" w:styleId="949">
    <w:name w:val="ListLabel 62"/>
    <w:next w:val="949"/>
    <w:link w:val="883"/>
  </w:style>
  <w:style w:type="character" w:styleId="950">
    <w:name w:val="ListLabel 63"/>
    <w:next w:val="950"/>
    <w:link w:val="883"/>
  </w:style>
  <w:style w:type="character" w:styleId="951">
    <w:name w:val="ListLabel 64"/>
    <w:next w:val="951"/>
    <w:link w:val="883"/>
  </w:style>
  <w:style w:type="character" w:styleId="952">
    <w:name w:val="ListLabel 65"/>
    <w:next w:val="952"/>
    <w:link w:val="883"/>
  </w:style>
  <w:style w:type="character" w:styleId="953">
    <w:name w:val="ListLabel 66"/>
    <w:next w:val="953"/>
    <w:link w:val="883"/>
  </w:style>
  <w:style w:type="character" w:styleId="954">
    <w:name w:val="ListLabel 67"/>
    <w:next w:val="954"/>
    <w:link w:val="883"/>
  </w:style>
  <w:style w:type="character" w:styleId="955">
    <w:name w:val="ListLabel 68"/>
    <w:next w:val="955"/>
    <w:link w:val="883"/>
  </w:style>
  <w:style w:type="character" w:styleId="956">
    <w:name w:val="ListLabel 69"/>
    <w:next w:val="956"/>
    <w:link w:val="883"/>
  </w:style>
  <w:style w:type="character" w:styleId="957">
    <w:name w:val="ListLabel 70"/>
    <w:next w:val="957"/>
    <w:link w:val="883"/>
  </w:style>
  <w:style w:type="character" w:styleId="958">
    <w:name w:val="ListLabel 71"/>
    <w:next w:val="958"/>
    <w:link w:val="883"/>
  </w:style>
  <w:style w:type="character" w:styleId="959">
    <w:name w:val="ListLabel 72"/>
    <w:next w:val="959"/>
    <w:link w:val="883"/>
  </w:style>
  <w:style w:type="paragraph" w:styleId="960">
    <w:name w:val="Заголовок"/>
    <w:basedOn w:val="883"/>
    <w:next w:val="961"/>
    <w:link w:val="883"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61">
    <w:name w:val="Body Text"/>
    <w:basedOn w:val="883"/>
    <w:next w:val="961"/>
    <w:link w:val="883"/>
    <w:pPr>
      <w:spacing w:lineRule="auto" w:line="276" w:after="140" w:before="0"/>
    </w:pPr>
  </w:style>
  <w:style w:type="paragraph" w:styleId="962">
    <w:name w:val="List"/>
    <w:basedOn w:val="961"/>
    <w:next w:val="962"/>
    <w:link w:val="883"/>
    <w:rPr>
      <w:rFonts w:cs="Arial"/>
    </w:rPr>
  </w:style>
  <w:style w:type="paragraph" w:styleId="963">
    <w:name w:val="Caption"/>
    <w:basedOn w:val="883"/>
    <w:next w:val="963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4">
    <w:name w:val="Указатель"/>
    <w:basedOn w:val="883"/>
    <w:next w:val="964"/>
    <w:link w:val="883"/>
    <w:rPr>
      <w:rFonts w:cs="Arial"/>
    </w:rPr>
    <w:pPr>
      <w:suppressLineNumbers/>
    </w:pPr>
  </w:style>
  <w:style w:type="paragraph" w:styleId="965">
    <w:name w:val="Caption1"/>
    <w:basedOn w:val="883"/>
    <w:next w:val="965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6">
    <w:name w:val="Caption11"/>
    <w:basedOn w:val="883"/>
    <w:next w:val="966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7">
    <w:name w:val="Caption111"/>
    <w:basedOn w:val="883"/>
    <w:next w:val="967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8">
    <w:name w:val="Caption1111"/>
    <w:basedOn w:val="883"/>
    <w:next w:val="968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69">
    <w:name w:val="Caption11111"/>
    <w:basedOn w:val="883"/>
    <w:next w:val="969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0">
    <w:name w:val="Caption111111"/>
    <w:basedOn w:val="883"/>
    <w:next w:val="970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1">
    <w:name w:val="Caption1111111"/>
    <w:basedOn w:val="883"/>
    <w:next w:val="971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2">
    <w:name w:val="Caption11111111"/>
    <w:basedOn w:val="883"/>
    <w:next w:val="972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3">
    <w:name w:val="Caption111111111"/>
    <w:basedOn w:val="883"/>
    <w:next w:val="973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4">
    <w:name w:val="Caption1111111111"/>
    <w:basedOn w:val="883"/>
    <w:next w:val="974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5">
    <w:name w:val="Caption11111111111"/>
    <w:basedOn w:val="883"/>
    <w:next w:val="975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6">
    <w:name w:val="Caption111111111111"/>
    <w:basedOn w:val="883"/>
    <w:next w:val="976"/>
    <w:link w:val="883"/>
    <w:rPr>
      <w:rFonts w:cs="Arial"/>
      <w:i/>
      <w:iCs/>
      <w:sz w:val="24"/>
      <w:szCs w:val="24"/>
    </w:rPr>
    <w:pPr>
      <w:spacing w:after="120" w:before="120"/>
      <w:suppressLineNumbers/>
    </w:pPr>
  </w:style>
  <w:style w:type="paragraph" w:styleId="977">
    <w:name w:val="Колонтитул"/>
    <w:basedOn w:val="883"/>
    <w:next w:val="977"/>
    <w:link w:val="883"/>
    <w:pPr>
      <w:tabs>
        <w:tab w:val="center" w:pos="4819" w:leader="none"/>
        <w:tab w:val="right" w:pos="9638" w:leader="none"/>
      </w:tabs>
      <w:suppressLineNumbers/>
    </w:pPr>
  </w:style>
  <w:style w:type="paragraph" w:styleId="978">
    <w:name w:val="Header"/>
    <w:basedOn w:val="883"/>
    <w:next w:val="978"/>
    <w:link w:val="883"/>
  </w:style>
  <w:style w:type="paragraph" w:styleId="979">
    <w:name w:val="Footer"/>
    <w:basedOn w:val="883"/>
    <w:next w:val="979"/>
    <w:link w:val="883"/>
  </w:style>
  <w:style w:type="paragraph" w:styleId="980">
    <w:name w:val="Subtitle"/>
    <w:basedOn w:val="883"/>
    <w:next w:val="883"/>
    <w:link w:val="883"/>
    <w:rPr>
      <w:rFonts w:ascii="Cambria" w:hAnsi="Cambria" w:cs="Cambria" w:eastAsia="Times New Roman"/>
      <w:i/>
      <w:iCs/>
      <w:color w:val="4F81BD"/>
      <w:spacing w:val="15"/>
      <w:sz w:val="24"/>
      <w:szCs w:val="24"/>
      <w:lang w:val="en-US"/>
    </w:rPr>
    <w:pPr>
      <w:ind w:left="-57" w:right="-57" w:firstLine="0"/>
    </w:pPr>
  </w:style>
  <w:style w:type="paragraph" w:styleId="981">
    <w:name w:val="Обычный (веб)"/>
    <w:basedOn w:val="883"/>
    <w:next w:val="981"/>
    <w:link w:val="883"/>
    <w:rPr>
      <w:rFonts w:ascii="Times New Roman" w:hAnsi="Times New Roman" w:cs="Times New Roman" w:eastAsia="Times New Roman"/>
      <w:sz w:val="24"/>
      <w:szCs w:val="24"/>
    </w:rPr>
    <w:pPr>
      <w:ind w:left="0" w:right="0" w:firstLine="0"/>
      <w:spacing w:after="100" w:before="100"/>
    </w:pPr>
  </w:style>
  <w:style w:type="paragraph" w:styleId="982">
    <w:name w:val="Текст выноски"/>
    <w:basedOn w:val="883"/>
    <w:next w:val="982"/>
    <w:link w:val="883"/>
    <w:rPr>
      <w:rFonts w:ascii="Tahoma" w:hAnsi="Tahoma" w:cs="Tahoma"/>
      <w:sz w:val="16"/>
      <w:szCs w:val="16"/>
      <w:lang w:val="en-US"/>
    </w:rPr>
  </w:style>
  <w:style w:type="paragraph" w:styleId="983">
    <w:name w:val="Основной текст 31"/>
    <w:basedOn w:val="883"/>
    <w:next w:val="983"/>
    <w:link w:val="883"/>
    <w:rPr>
      <w:rFonts w:ascii="Times New Roman" w:hAnsi="Times New Roman" w:cs="Times New Roman" w:eastAsia="Times New Roman"/>
      <w:sz w:val="24"/>
      <w:szCs w:val="24"/>
    </w:rPr>
    <w:pPr>
      <w:ind w:left="0" w:right="0" w:firstLine="0"/>
      <w:jc w:val="both"/>
    </w:pPr>
  </w:style>
  <w:style w:type="paragraph" w:styleId="984">
    <w:name w:val="Стандартный HTML"/>
    <w:basedOn w:val="883"/>
    <w:next w:val="984"/>
    <w:link w:val="883"/>
    <w:rPr>
      <w:rFonts w:ascii="Courier New" w:hAnsi="Courier New" w:cs="Courier New" w:eastAsia="Times New Roman"/>
      <w:sz w:val="20"/>
      <w:szCs w:val="20"/>
      <w:lang w:val="en-US"/>
    </w:rPr>
    <w:pPr>
      <w:ind w:left="0" w:right="0" w:firstLine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paragraph" w:styleId="985">
    <w:name w:val="Маркированный список"/>
    <w:basedOn w:val="883"/>
    <w:next w:val="985"/>
    <w:link w:val="883"/>
    <w:pPr>
      <w:numPr>
        <w:ilvl w:val="0"/>
        <w:numId w:val="1"/>
      </w:numPr>
      <w:contextualSpacing w:val="true"/>
      <w:spacing w:after="0" w:before="0"/>
    </w:pPr>
  </w:style>
  <w:style w:type="paragraph" w:styleId="986">
    <w:name w:val="ConsPlusNonformat"/>
    <w:next w:val="986"/>
    <w:link w:val="883"/>
    <w:rPr>
      <w:rFonts w:ascii="Courier New" w:hAnsi="Courier New" w:cs="Courier New" w:eastAsia="Times New Roman"/>
      <w:color w:val="auto"/>
      <w:sz w:val="20"/>
      <w:szCs w:val="20"/>
      <w:lang w:val="ru-RU" w:bidi="ar-SA" w:eastAsia="zh-CN"/>
    </w:rPr>
    <w:pPr>
      <w:widowControl w:val="off"/>
    </w:pPr>
  </w:style>
  <w:style w:type="paragraph" w:styleId="987">
    <w:name w:val="Содержимое таблицы"/>
    <w:basedOn w:val="883"/>
    <w:next w:val="987"/>
    <w:link w:val="883"/>
    <w:pPr>
      <w:widowControl w:val="off"/>
      <w:suppressLineNumbers/>
    </w:pPr>
  </w:style>
  <w:style w:type="paragraph" w:styleId="988">
    <w:name w:val="Заголовок таблицы"/>
    <w:basedOn w:val="987"/>
    <w:next w:val="988"/>
    <w:link w:val="883"/>
    <w:rPr>
      <w:b/>
      <w:bCs/>
    </w:rPr>
    <w:pPr>
      <w:jc w:val="center"/>
      <w:suppressLineNumbers/>
    </w:pPr>
  </w:style>
  <w:style w:type="paragraph" w:styleId="989">
    <w:name w:val="Body Text 2"/>
    <w:basedOn w:val="883"/>
    <w:next w:val="989"/>
    <w:link w:val="883"/>
    <w:pPr>
      <w:spacing w:lineRule="auto" w:line="480" w:after="120" w:before="0"/>
    </w:pPr>
  </w:style>
  <w:style w:type="paragraph" w:styleId="990">
    <w:name w:val="msolistparagraph"/>
    <w:basedOn w:val="883"/>
    <w:next w:val="990"/>
    <w:link w:val="883"/>
    <w:pPr>
      <w:ind w:left="720" w:right="-57" w:firstLine="0"/>
    </w:pPr>
  </w:style>
  <w:style w:type="paragraph" w:styleId="991">
    <w:name w:val="List Paragraph"/>
    <w:basedOn w:val="883"/>
    <w:next w:val="991"/>
    <w:link w:val="883"/>
    <w:pPr>
      <w:contextualSpacing w:val="true"/>
      <w:ind w:left="720" w:right="-57" w:firstLine="0"/>
      <w:spacing w:after="0" w:before="0"/>
    </w:pPr>
  </w:style>
  <w:style w:type="paragraph" w:styleId="992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en-US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Relationship Id="rId15" Type="http://schemas.openxmlformats.org/officeDocument/2006/relationships/hyperlink" Target="mailto:lab@ot-kir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25</cp:revision>
  <dcterms:created xsi:type="dcterms:W3CDTF">2025-05-19T07:34:00Z</dcterms:created>
  <dcterms:modified xsi:type="dcterms:W3CDTF">2026-08-21T05:27:05Z</dcterms:modified>
</cp:coreProperties>
</file>