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7B" w:rsidRDefault="00D635D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ОБОСНОВАНИЕ НАЧАЛЬНОЙ (МАКСИМАЛЬНОЙ) ЦЕНЫ КОНТРАКТА</w:t>
      </w:r>
    </w:p>
    <w:tbl>
      <w:tblPr>
        <w:tblStyle w:val="a8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37"/>
        <w:gridCol w:w="9468"/>
      </w:tblGrid>
      <w:tr w:rsidR="00A8677B">
        <w:tc>
          <w:tcPr>
            <w:tcW w:w="1737" w:type="dxa"/>
          </w:tcPr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объекта закупки</w:t>
            </w:r>
          </w:p>
        </w:tc>
        <w:tc>
          <w:tcPr>
            <w:tcW w:w="9468" w:type="dxa"/>
            <w:vAlign w:val="center"/>
          </w:tcPr>
          <w:p w:rsidR="00A8677B" w:rsidRDefault="00D635D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«Оказание услуг по письменному переводу с иностранного на русский язык и с русского на иностранный язык материалов международных и иностранных организаций, презентационных, </w:t>
            </w:r>
            <w:r>
              <w:rPr>
                <w:rFonts w:ascii="Times New Roman" w:hAnsi="Times New Roman"/>
              </w:rPr>
              <w:t>отчетных и иных материалов, а также по устному переводу при ведении переговоров с представителями иностранных и международных организаций»</w:t>
            </w:r>
            <w:proofErr w:type="gramEnd"/>
          </w:p>
        </w:tc>
      </w:tr>
      <w:tr w:rsidR="00A8677B">
        <w:tc>
          <w:tcPr>
            <w:tcW w:w="1737" w:type="dxa"/>
          </w:tcPr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Используемый метод определения НМЦК</w:t>
            </w:r>
          </w:p>
        </w:tc>
        <w:tc>
          <w:tcPr>
            <w:tcW w:w="9468" w:type="dxa"/>
            <w:vAlign w:val="center"/>
          </w:tcPr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 сопоставимых рыночных цен (анализ рынка)</w:t>
            </w:r>
          </w:p>
        </w:tc>
      </w:tr>
      <w:tr w:rsidR="00A8677B">
        <w:tc>
          <w:tcPr>
            <w:tcW w:w="1737" w:type="dxa"/>
          </w:tcPr>
          <w:p w:rsidR="00A8677B" w:rsidRDefault="00D63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 НМЦК</w:t>
            </w:r>
          </w:p>
        </w:tc>
        <w:tc>
          <w:tcPr>
            <w:tcW w:w="9468" w:type="dxa"/>
            <w:vAlign w:val="center"/>
          </w:tcPr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(максималь</w:t>
            </w:r>
            <w:r>
              <w:rPr>
                <w:rFonts w:ascii="Times New Roman" w:hAnsi="Times New Roman"/>
              </w:rPr>
              <w:t>ная) цена контракта составляет 200 000,00 руб.</w:t>
            </w:r>
          </w:p>
          <w:p w:rsidR="00A8677B" w:rsidRDefault="00A8677B">
            <w:pPr>
              <w:rPr>
                <w:rFonts w:ascii="Times New Roman" w:hAnsi="Times New Roman"/>
              </w:rPr>
            </w:pPr>
          </w:p>
          <w:p w:rsidR="00A8677B" w:rsidRDefault="00D635D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Расчет начальной (максимальной) цены контракта производился в соответствии с Приказом Минэкономразвития России от 02.10.2013 №567 «Об утверждении методических рекомендаций по применению методов определения на</w:t>
            </w:r>
            <w:r>
              <w:rPr>
                <w:rFonts w:ascii="Times New Roman" w:hAnsi="Times New Roman"/>
              </w:rPr>
              <w:t>чальной (максимальной) цены контракта, цены контракта, заключаемого с единственным поставщиком (подрядчиком, исполнителем)».</w:t>
            </w:r>
            <w:proofErr w:type="gramEnd"/>
          </w:p>
          <w:p w:rsidR="00A8677B" w:rsidRDefault="00A8677B">
            <w:pPr>
              <w:rPr>
                <w:rFonts w:ascii="Times New Roman" w:hAnsi="Times New Roman"/>
              </w:rPr>
            </w:pPr>
          </w:p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определения начальной (максимальной) цены контракта были</w:t>
            </w:r>
            <w:r>
              <w:rPr>
                <w:rFonts w:ascii="Times New Roman" w:hAnsi="Times New Roman"/>
              </w:rPr>
              <w:br/>
              <w:t>использованы следующие ценовые предложения:</w:t>
            </w:r>
          </w:p>
          <w:p w:rsidR="00A8677B" w:rsidRDefault="00A8677B">
            <w:pPr>
              <w:rPr>
                <w:rFonts w:ascii="Times New Roman" w:hAnsi="Times New Roman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8"/>
              <w:gridCol w:w="2285"/>
              <w:gridCol w:w="1395"/>
              <w:gridCol w:w="2019"/>
            </w:tblGrid>
            <w:tr w:rsidR="00A8677B">
              <w:tc>
                <w:tcPr>
                  <w:tcW w:w="3458" w:type="dxa"/>
                </w:tcPr>
                <w:p w:rsidR="00A8677B" w:rsidRDefault="00D635D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Наименование услуги</w:t>
                  </w:r>
                </w:p>
              </w:tc>
              <w:tc>
                <w:tcPr>
                  <w:tcW w:w="2285" w:type="dxa"/>
                </w:tcPr>
                <w:p w:rsidR="00A8677B" w:rsidRDefault="00D635D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Цено</w:t>
                  </w:r>
                  <w:r>
                    <w:rPr>
                      <w:rFonts w:ascii="Times New Roman" w:hAnsi="Times New Roman"/>
                    </w:rPr>
                    <w:t>вое предложение № 1 (ВХ/13915 от 07.07.2026)</w:t>
                  </w:r>
                </w:p>
              </w:tc>
              <w:tc>
                <w:tcPr>
                  <w:tcW w:w="1395" w:type="dxa"/>
                </w:tcPr>
                <w:p w:rsidR="00A8677B" w:rsidRDefault="00D635D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Ценовое предложение № 2 (ВХ/13914 от 07.07.2026)</w:t>
                  </w:r>
                </w:p>
              </w:tc>
              <w:tc>
                <w:tcPr>
                  <w:tcW w:w="2019" w:type="dxa"/>
                </w:tcPr>
                <w:p w:rsidR="00A8677B" w:rsidRDefault="00D635D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Ценовое предложение № 3(ВХ/13913 от 09.07.2026)</w:t>
                  </w:r>
                </w:p>
              </w:tc>
            </w:tr>
            <w:tr w:rsidR="00A8677B">
              <w:tc>
                <w:tcPr>
                  <w:tcW w:w="3458" w:type="dxa"/>
                </w:tcPr>
                <w:p w:rsidR="00A8677B" w:rsidRDefault="00D635D3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 xml:space="preserve">«Оказание услуг по письменному переводу с иностранного на русский язык и с русского на иностранный язык </w:t>
                  </w:r>
                  <w:r>
                    <w:rPr>
                      <w:rFonts w:ascii="Times New Roman" w:hAnsi="Times New Roman"/>
                    </w:rPr>
                    <w:t>материалов международных и иностранных организаций, презентационных, отчетных и иных материалов, а также по устному переводу при ведении переговоров с представителями иностранных и международных организаций»</w:t>
                  </w:r>
                  <w:proofErr w:type="gramEnd"/>
                </w:p>
              </w:tc>
              <w:tc>
                <w:tcPr>
                  <w:tcW w:w="2285" w:type="dxa"/>
                </w:tcPr>
                <w:p w:rsidR="00A8677B" w:rsidRDefault="00A8677B">
                  <w:pPr>
                    <w:widowControl/>
                    <w:spacing w:before="120" w:after="120"/>
                    <w:ind w:left="120" w:right="120" w:hanging="120"/>
                    <w:rPr>
                      <w:rFonts w:ascii="Times New Roman" w:hAnsi="Times New Roman"/>
                      <w:highlight w:val="white"/>
                    </w:rPr>
                  </w:pPr>
                </w:p>
                <w:p w:rsidR="00A8677B" w:rsidRDefault="00A8677B">
                  <w:pPr>
                    <w:widowControl/>
                    <w:spacing w:before="120" w:after="120"/>
                    <w:ind w:left="120" w:right="120" w:hanging="120"/>
                    <w:rPr>
                      <w:rFonts w:ascii="Times New Roman" w:hAnsi="Times New Roman"/>
                      <w:highlight w:val="white"/>
                    </w:rPr>
                  </w:pPr>
                </w:p>
                <w:p w:rsidR="00A8677B" w:rsidRDefault="00A8677B">
                  <w:pPr>
                    <w:widowControl/>
                    <w:spacing w:before="120" w:after="120"/>
                    <w:ind w:left="120" w:right="120" w:hanging="120"/>
                    <w:rPr>
                      <w:rFonts w:ascii="Times New Roman" w:hAnsi="Times New Roman"/>
                      <w:highlight w:val="white"/>
                    </w:rPr>
                  </w:pPr>
                </w:p>
                <w:p w:rsidR="00A8677B" w:rsidRDefault="00D635D3">
                  <w:pPr>
                    <w:widowControl/>
                    <w:spacing w:before="120" w:after="120"/>
                    <w:ind w:left="120" w:right="120" w:hanging="120"/>
                    <w:jc w:val="center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319 225,00</w:t>
                  </w:r>
                </w:p>
              </w:tc>
              <w:tc>
                <w:tcPr>
                  <w:tcW w:w="1395" w:type="dxa"/>
                </w:tcPr>
                <w:p w:rsidR="00A8677B" w:rsidRDefault="00A8677B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</w:p>
                <w:p w:rsidR="00A8677B" w:rsidRDefault="00A8677B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</w:p>
                <w:p w:rsidR="00A8677B" w:rsidRDefault="00A8677B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</w:p>
                <w:p w:rsidR="00A8677B" w:rsidRDefault="00A8677B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</w:p>
                <w:p w:rsidR="00A8677B" w:rsidRDefault="00A8677B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</w:p>
                <w:p w:rsidR="00A8677B" w:rsidRDefault="00D635D3">
                  <w:pPr>
                    <w:jc w:val="center"/>
                    <w:rPr>
                      <w:rFonts w:ascii="Times New Roman" w:hAnsi="Times New Roman"/>
                      <w:shd w:val="clear" w:color="auto" w:fill="F8D957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315 010,50</w:t>
                  </w:r>
                </w:p>
              </w:tc>
              <w:tc>
                <w:tcPr>
                  <w:tcW w:w="2019" w:type="dxa"/>
                </w:tcPr>
                <w:p w:rsidR="00A8677B" w:rsidRDefault="00A8677B">
                  <w:pPr>
                    <w:spacing w:before="120" w:after="120"/>
                    <w:ind w:left="120" w:right="120" w:hanging="120"/>
                    <w:jc w:val="center"/>
                    <w:rPr>
                      <w:rFonts w:ascii="Times New Roman" w:hAnsi="Times New Roman"/>
                      <w:highlight w:val="white"/>
                    </w:rPr>
                  </w:pPr>
                </w:p>
                <w:p w:rsidR="00A8677B" w:rsidRDefault="00A8677B">
                  <w:pPr>
                    <w:spacing w:before="120" w:after="120"/>
                    <w:ind w:left="120" w:right="120" w:hanging="120"/>
                    <w:jc w:val="center"/>
                    <w:rPr>
                      <w:rFonts w:ascii="Times New Roman" w:hAnsi="Times New Roman"/>
                      <w:sz w:val="24"/>
                      <w:highlight w:val="white"/>
                    </w:rPr>
                  </w:pPr>
                </w:p>
                <w:p w:rsidR="00A8677B" w:rsidRDefault="00A8677B">
                  <w:pPr>
                    <w:spacing w:before="120" w:after="120"/>
                    <w:ind w:left="120" w:right="120" w:hanging="120"/>
                    <w:jc w:val="center"/>
                    <w:rPr>
                      <w:rFonts w:ascii="Times New Roman" w:hAnsi="Times New Roman"/>
                      <w:highlight w:val="white"/>
                    </w:rPr>
                  </w:pPr>
                  <w:bookmarkStart w:id="0" w:name="_GoBack"/>
                  <w:bookmarkEnd w:id="0"/>
                </w:p>
                <w:p w:rsidR="00A8677B" w:rsidRDefault="00D635D3">
                  <w:pPr>
                    <w:spacing w:before="120" w:after="120"/>
                    <w:ind w:left="120" w:right="120" w:hanging="120"/>
                    <w:jc w:val="center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322 975,00</w:t>
                  </w:r>
                </w:p>
              </w:tc>
            </w:tr>
            <w:tr w:rsidR="00D635D3" w:rsidTr="00BE0F8E">
              <w:tc>
                <w:tcPr>
                  <w:tcW w:w="7138" w:type="dxa"/>
                  <w:gridSpan w:val="3"/>
                </w:tcPr>
                <w:p w:rsidR="00D635D3" w:rsidRPr="00D635D3" w:rsidRDefault="00D635D3" w:rsidP="00D635D3">
                  <w:pPr>
                    <w:rPr>
                      <w:rFonts w:ascii="Times New Roman" w:hAnsi="Times New Roman"/>
                      <w:b/>
                      <w:shd w:val="clear" w:color="auto" w:fill="F8D957"/>
                    </w:rPr>
                  </w:pPr>
                  <w:r w:rsidRPr="00D635D3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  <w:tc>
                <w:tcPr>
                  <w:tcW w:w="2019" w:type="dxa"/>
                </w:tcPr>
                <w:p w:rsidR="00D635D3" w:rsidRPr="00D635D3" w:rsidRDefault="00D635D3" w:rsidP="00D635D3">
                  <w:pPr>
                    <w:jc w:val="center"/>
                    <w:rPr>
                      <w:rFonts w:ascii="Times New Roman" w:hAnsi="Times New Roman"/>
                      <w:b/>
                      <w:shd w:val="clear" w:color="auto" w:fill="F8D957"/>
                    </w:rPr>
                  </w:pPr>
                  <w:r w:rsidRPr="00D635D3">
                    <w:rPr>
                      <w:rFonts w:ascii="Times New Roman" w:hAnsi="Times New Roman"/>
                      <w:b/>
                      <w:highlight w:val="white"/>
                    </w:rPr>
                    <w:t>319 070,17</w:t>
                  </w:r>
                </w:p>
              </w:tc>
            </w:tr>
          </w:tbl>
          <w:p w:rsidR="00A8677B" w:rsidRDefault="00A8677B">
            <w:pPr>
              <w:rPr>
                <w:rFonts w:ascii="Times New Roman" w:hAnsi="Times New Roman"/>
              </w:rPr>
            </w:pPr>
          </w:p>
          <w:p w:rsidR="00A8677B" w:rsidRDefault="00D635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Расчет среднего показателя цены Заказчиком не производится, стоимость услуг устанавливается по лимитам доведенных средств в </w:t>
            </w:r>
            <w:proofErr w:type="gramStart"/>
            <w:r>
              <w:rPr>
                <w:rFonts w:ascii="Times New Roman" w:hAnsi="Times New Roman"/>
              </w:rPr>
              <w:t>размере</w:t>
            </w:r>
            <w:proofErr w:type="gramEnd"/>
            <w:r>
              <w:rPr>
                <w:rFonts w:ascii="Times New Roman" w:hAnsi="Times New Roman"/>
              </w:rPr>
              <w:t xml:space="preserve"> 200 000,00 руб.</w:t>
            </w:r>
          </w:p>
          <w:p w:rsidR="00A8677B" w:rsidRDefault="00A8677B">
            <w:pPr>
              <w:rPr>
                <w:rFonts w:ascii="Times New Roman" w:hAnsi="Times New Roman"/>
              </w:rPr>
            </w:pPr>
          </w:p>
        </w:tc>
      </w:tr>
      <w:tr w:rsidR="00A8677B"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8677B" w:rsidRDefault="00D635D3">
            <w:pPr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Иные существенные условия контракта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8677B" w:rsidRDefault="00D635D3">
            <w:pPr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Нет</w:t>
            </w:r>
          </w:p>
        </w:tc>
      </w:tr>
      <w:tr w:rsidR="00A8677B">
        <w:tc>
          <w:tcPr>
            <w:tcW w:w="11205" w:type="dxa"/>
            <w:gridSpan w:val="2"/>
          </w:tcPr>
          <w:p w:rsidR="00A8677B" w:rsidRDefault="00D63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подготовки обоснования НМЦК:21 июля</w:t>
            </w:r>
            <w:r>
              <w:rPr>
                <w:rFonts w:ascii="Times New Roman" w:hAnsi="Times New Roman"/>
              </w:rPr>
              <w:t xml:space="preserve"> 2026 г.</w:t>
            </w:r>
          </w:p>
        </w:tc>
      </w:tr>
    </w:tbl>
    <w:p w:rsidR="00A8677B" w:rsidRDefault="00A8677B">
      <w:pPr>
        <w:rPr>
          <w:rFonts w:ascii="Times New Roman" w:hAnsi="Times New Roman"/>
          <w:sz w:val="20"/>
        </w:rPr>
      </w:pPr>
    </w:p>
    <w:p w:rsidR="00A8677B" w:rsidRDefault="00A8677B">
      <w:pPr>
        <w:widowControl/>
        <w:spacing w:after="0" w:line="240" w:lineRule="auto"/>
        <w:ind w:left="-142"/>
        <w:rPr>
          <w:rFonts w:ascii="Times New Roman" w:hAnsi="Times New Roman"/>
          <w:sz w:val="24"/>
        </w:rPr>
      </w:pPr>
    </w:p>
    <w:sectPr w:rsidR="00A8677B">
      <w:pgSz w:w="11908" w:h="16848"/>
      <w:pgMar w:top="1134" w:right="712" w:bottom="1134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8677B"/>
    <w:rsid w:val="00A8677B"/>
    <w:rsid w:val="00D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message-time">
    <w:name w:val="message-time"/>
    <w:basedOn w:val="12"/>
    <w:link w:val="message-time0"/>
  </w:style>
  <w:style w:type="character" w:customStyle="1" w:styleId="message-time0">
    <w:name w:val="message-time"/>
    <w:basedOn w:val="a0"/>
    <w:link w:val="message-time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essagemeta">
    <w:name w:val="messagemeta"/>
    <w:basedOn w:val="12"/>
    <w:link w:val="messagemeta0"/>
  </w:style>
  <w:style w:type="character" w:customStyle="1" w:styleId="messagemeta0">
    <w:name w:val="messagemeta"/>
    <w:basedOn w:val="a0"/>
    <w:link w:val="messagemeta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message-time">
    <w:name w:val="message-time"/>
    <w:basedOn w:val="12"/>
    <w:link w:val="message-time0"/>
  </w:style>
  <w:style w:type="character" w:customStyle="1" w:styleId="message-time0">
    <w:name w:val="message-time"/>
    <w:basedOn w:val="a0"/>
    <w:link w:val="message-time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essagemeta">
    <w:name w:val="messagemeta"/>
    <w:basedOn w:val="12"/>
    <w:link w:val="messagemeta0"/>
  </w:style>
  <w:style w:type="character" w:customStyle="1" w:styleId="messagemeta0">
    <w:name w:val="messagemeta"/>
    <w:basedOn w:val="a0"/>
    <w:link w:val="messagemeta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2026-07-27T12:05:00Z</dcterms:created>
  <dcterms:modified xsi:type="dcterms:W3CDTF">2026-07-27T12:06:00Z</dcterms:modified>
</cp:coreProperties>
</file>