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44570F" w:rsidRPr="00463222" w:rsidRDefault="0044570F" w:rsidP="004457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63222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44570F" w:rsidRPr="00497F44" w:rsidRDefault="0044570F" w:rsidP="004457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На ж</w:t>
      </w:r>
      <w:r w:rsidRPr="0077611F">
        <w:rPr>
          <w:rFonts w:ascii="Times New Roman" w:eastAsia="Times New Roman" w:hAnsi="Times New Roman"/>
          <w:i/>
          <w:sz w:val="20"/>
          <w:szCs w:val="20"/>
          <w:lang w:eastAsia="ru-RU"/>
        </w:rPr>
        <w:t>алюзи вертикальные тканевые с карнизом</w:t>
      </w:r>
    </w:p>
    <w:p w:rsidR="0044570F" w:rsidRPr="00463222" w:rsidRDefault="0044570F" w:rsidP="0044570F">
      <w:pPr>
        <w:tabs>
          <w:tab w:val="center" w:pos="5032"/>
          <w:tab w:val="left" w:pos="9059"/>
        </w:tabs>
        <w:spacing w:after="0" w:line="240" w:lineRule="auto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ab/>
      </w:r>
      <w:r w:rsidRPr="00463222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  <w:r>
        <w:rPr>
          <w:rFonts w:ascii="Times New Roman" w:eastAsia="Times New Roman" w:hAnsi="Times New Roman"/>
          <w:vertAlign w:val="superscript"/>
          <w:lang w:eastAsia="ru-RU"/>
        </w:rPr>
        <w:tab/>
      </w:r>
    </w:p>
    <w:p w:rsidR="0044570F" w:rsidRPr="00463222" w:rsidRDefault="0044570F" w:rsidP="0044570F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44570F" w:rsidRPr="00DB2CD2" w:rsidRDefault="0044570F" w:rsidP="0044570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vertAlign w:val="superscript"/>
          <w:lang w:eastAsia="ru-RU"/>
        </w:rPr>
      </w:pPr>
      <w:r w:rsidRPr="00463222">
        <w:rPr>
          <w:rFonts w:ascii="Times New Roman" w:hAnsi="Times New Roman"/>
        </w:rPr>
        <w:t xml:space="preserve">Поставщик </w:t>
      </w:r>
      <w:r w:rsidRPr="00225F5F">
        <w:rPr>
          <w:rFonts w:ascii="Times New Roman" w:hAnsi="Times New Roman"/>
          <w:b/>
          <w:i/>
        </w:rPr>
        <w:t>самостоятельно доставляет Товар Заказчику</w:t>
      </w:r>
      <w:r w:rsidRPr="00463222">
        <w:rPr>
          <w:rFonts w:ascii="Times New Roman" w:hAnsi="Times New Roman"/>
        </w:rPr>
        <w:t xml:space="preserve"> по адресу: </w:t>
      </w:r>
      <w:r w:rsidRPr="009C17B5">
        <w:rPr>
          <w:rFonts w:ascii="Times New Roman" w:hAnsi="Times New Roman"/>
        </w:rPr>
        <w:t>664033, город Иркутск, улица Лермонтова, дом 126А (далее - место доставки),</w:t>
      </w:r>
      <w:r>
        <w:rPr>
          <w:rFonts w:ascii="Times New Roman" w:hAnsi="Times New Roman"/>
        </w:rPr>
        <w:t xml:space="preserve"> </w:t>
      </w:r>
      <w:r w:rsidRPr="00225F5F">
        <w:rPr>
          <w:rFonts w:ascii="Times New Roman" w:hAnsi="Times New Roman"/>
          <w:b/>
          <w:i/>
        </w:rPr>
        <w:t>и производит монтаж изделий в течение</w:t>
      </w:r>
      <w:r w:rsidRPr="009C17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Pr="009C17B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двадцати</w:t>
      </w:r>
      <w:r w:rsidRPr="009C17B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календарных</w:t>
      </w:r>
      <w:r w:rsidRPr="009C17B5">
        <w:rPr>
          <w:rFonts w:ascii="Times New Roman" w:hAnsi="Times New Roman"/>
        </w:rPr>
        <w:t xml:space="preserve"> дней со дня заключения Контракта</w:t>
      </w:r>
      <w:r>
        <w:rPr>
          <w:rFonts w:ascii="Times New Roman" w:eastAsia="Times New Roman" w:hAnsi="Times New Roman"/>
          <w:vertAlign w:val="superscript"/>
          <w:lang w:eastAsia="ru-RU"/>
        </w:rPr>
        <w:t xml:space="preserve"> </w:t>
      </w:r>
    </w:p>
    <w:p w:rsidR="0044570F" w:rsidRPr="00463222" w:rsidRDefault="0044570F" w:rsidP="0044570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463222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44570F" w:rsidRPr="00463222" w:rsidRDefault="0044570F" w:rsidP="0044570F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44570F" w:rsidRPr="00463222" w:rsidRDefault="0044570F" w:rsidP="0044570F">
      <w:pPr>
        <w:numPr>
          <w:ilvl w:val="1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463222">
        <w:rPr>
          <w:rFonts w:ascii="Times New Roman" w:hAnsi="Times New Roman"/>
        </w:rPr>
        <w:t>Основные требования к поставляемой продукции: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463222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463222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44570F" w:rsidRPr="0046322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463222">
        <w:rPr>
          <w:rFonts w:ascii="Times New Roman" w:eastAsia="Times New Roman" w:hAnsi="Times New Roman"/>
          <w:lang w:eastAsia="ru-RU"/>
        </w:rPr>
        <w:t>;</w:t>
      </w:r>
    </w:p>
    <w:p w:rsidR="0044570F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63222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44570F" w:rsidRDefault="0044570F" w:rsidP="004457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B3B">
        <w:rPr>
          <w:rFonts w:ascii="Times New Roman" w:eastAsia="Times New Roman" w:hAnsi="Times New Roman"/>
          <w:sz w:val="20"/>
          <w:szCs w:val="20"/>
          <w:lang w:eastAsia="ru-RU"/>
        </w:rPr>
        <w:t>в следующей комплектации:</w:t>
      </w:r>
    </w:p>
    <w:p w:rsidR="0044570F" w:rsidRDefault="0044570F" w:rsidP="004457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87" w:type="pct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828"/>
        <w:gridCol w:w="105"/>
        <w:gridCol w:w="132"/>
        <w:gridCol w:w="194"/>
        <w:gridCol w:w="4062"/>
        <w:gridCol w:w="1009"/>
        <w:gridCol w:w="1991"/>
        <w:gridCol w:w="938"/>
        <w:gridCol w:w="978"/>
        <w:gridCol w:w="78"/>
      </w:tblGrid>
      <w:tr w:rsidR="0044570F" w:rsidRPr="000D1185" w:rsidTr="004905B8">
        <w:trPr>
          <w:trHeight w:val="124"/>
        </w:trPr>
        <w:tc>
          <w:tcPr>
            <w:tcW w:w="2053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35" w:type="dxa"/>
            <w:gridSpan w:val="3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81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25F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Жалюзи вертикальные тканевые с карнизом 2830 мм ширина х 2300 мм высота</w:t>
            </w:r>
          </w:p>
        </w:tc>
        <w:tc>
          <w:tcPr>
            <w:tcW w:w="5624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в количестве</w:t>
            </w:r>
          </w:p>
        </w:tc>
        <w:tc>
          <w:tcPr>
            <w:tcW w:w="2390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53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</w:tr>
      <w:tr w:rsidR="0044570F" w:rsidRPr="000D1185" w:rsidTr="004905B8">
        <w:trPr>
          <w:trHeight w:val="124"/>
        </w:trPr>
        <w:tc>
          <w:tcPr>
            <w:tcW w:w="2053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№</w:t>
            </w:r>
            <w:proofErr w:type="gramStart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п</w:t>
            </w:r>
            <w:proofErr w:type="gramEnd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/п</w:t>
            </w:r>
          </w:p>
        </w:tc>
        <w:tc>
          <w:tcPr>
            <w:tcW w:w="835" w:type="dxa"/>
            <w:gridSpan w:val="3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81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наименование товара (работ услуг)</w:t>
            </w:r>
          </w:p>
        </w:tc>
        <w:tc>
          <w:tcPr>
            <w:tcW w:w="5624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753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ед. изм.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53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Параметры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Требования, установленные Заказчиком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189"/>
        </w:trPr>
        <w:tc>
          <w:tcPr>
            <w:tcW w:w="28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570F" w:rsidRPr="000D1185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Тип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вертикальный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Комплектность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карниз, ламели, механизм управления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Вид жалюзи по форме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Прямоугольные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Материал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алюминий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Цвет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белый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Способ окраски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заводской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В корпусе карниза расположены механизмы вращения и раздвижения ламелей жалюзи - бегунки с системой самовыравнивания. Бегунки с повышенным классом ресурсом работы, наличие кронштейна для стенового, потолочного, подвесного крепления.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Материал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Полиэстер 100%,  ткань с высокой стойкостью к выцветанию, специальной пропиткой с антистатическими и пылеотталкивающими свойствами.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Вид материала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Ткань «Перл»</w:t>
            </w:r>
            <w:r>
              <w:t xml:space="preserve">,  </w:t>
            </w:r>
            <w:r w:rsidRPr="002D24A2">
              <w:t>арт. 100116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Цвет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Цвет 2261 </w:t>
            </w:r>
            <w:r w:rsidRPr="003C2E4A">
              <w:t>св</w:t>
            </w:r>
            <w:r>
              <w:t xml:space="preserve">етло </w:t>
            </w:r>
            <w:r w:rsidRPr="003C2E4A">
              <w:t>бежевый  со светоотражающим эффектом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Светопроницаемость ламелей жалюзи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≥ 45 и ≤ 60</w:t>
            </w:r>
            <w:r>
              <w:t xml:space="preserve">  </w:t>
            </w:r>
            <w:r w:rsidRPr="000804F3">
              <w:t>процент</w:t>
            </w:r>
            <w:r>
              <w:t>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 xml:space="preserve">Плотность материала ламелей 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180-200 грамм на квадратный метр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Толщина материала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4F3">
              <w:rPr>
                <w:rFonts w:ascii="Times New Roman" w:hAnsi="Times New Roman"/>
                <w:sz w:val="20"/>
                <w:szCs w:val="20"/>
              </w:rPr>
              <w:t>0,30-0,40 мм.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Ширина каждой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4F3">
              <w:rPr>
                <w:rFonts w:ascii="Times New Roman" w:hAnsi="Times New Roman"/>
                <w:sz w:val="20"/>
                <w:szCs w:val="20"/>
              </w:rPr>
              <w:t>≥ 87 и ≤ 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>миллиметра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Каждая ламель выполнена из единого полотна ткани, без склеивания и сшивания. Ширина ламелей каждого комплекта одинаковая. Утяжелители расположены в нижней части каждой ламели. Ламели соединены цепочкой.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Механизм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Пластиковая цепочка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Цвет цепочки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белый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Шнур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4E84">
              <w:t>синтетический</w:t>
            </w:r>
            <w:proofErr w:type="gramEnd"/>
            <w:r w:rsidRPr="00414E84">
              <w:t>, дистанция между бегунками соответствует ширине одной ламели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механизма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Сбор ламели жалюзи от середины к бокам, к управлению, от управления. Разворот ламелей производится при помощи пластиковой цепочки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Виды регулировки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смещение ламелей вокруг своей оси на 180 градусов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Предварительный размер оконного проема (по замерам Заказчика)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Default="0044570F" w:rsidP="004905B8">
            <w:pPr>
              <w:spacing w:after="0" w:line="240" w:lineRule="auto"/>
            </w:pPr>
            <w:r w:rsidRPr="000C42B2">
              <w:t>Ширина: не менее 2,</w:t>
            </w:r>
            <w:r>
              <w:t>8</w:t>
            </w:r>
            <w:r w:rsidRPr="000C42B2">
              <w:t xml:space="preserve"> не более </w:t>
            </w:r>
            <w:r>
              <w:t>2</w:t>
            </w:r>
            <w:r w:rsidRPr="000C42B2">
              <w:t>,</w:t>
            </w:r>
            <w:r>
              <w:t>9</w:t>
            </w:r>
            <w:r w:rsidRPr="000C42B2">
              <w:t xml:space="preserve"> м</w:t>
            </w:r>
          </w:p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B2">
              <w:t>Высота: не менее 2,</w:t>
            </w:r>
            <w:r>
              <w:t>3</w:t>
            </w:r>
            <w:r w:rsidRPr="000C42B2">
              <w:t xml:space="preserve"> не более 2,</w:t>
            </w:r>
            <w:r>
              <w:t>4</w:t>
            </w:r>
            <w:r w:rsidRPr="000C42B2">
              <w:t xml:space="preserve"> 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Количество изделий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2 штуки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85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Дополнительные требования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24</w:t>
            </w: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месяцев</w:t>
            </w:r>
          </w:p>
        </w:tc>
      </w:tr>
      <w:tr w:rsidR="0044570F" w:rsidRPr="00B973D3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2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Монтаж изделия входит в стоимость</w:t>
            </w:r>
          </w:p>
        </w:tc>
      </w:tr>
    </w:tbl>
    <w:p w:rsidR="0044570F" w:rsidRDefault="0044570F" w:rsidP="004457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87" w:type="pct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828"/>
        <w:gridCol w:w="105"/>
        <w:gridCol w:w="132"/>
        <w:gridCol w:w="194"/>
        <w:gridCol w:w="4062"/>
        <w:gridCol w:w="1009"/>
        <w:gridCol w:w="1991"/>
        <w:gridCol w:w="938"/>
        <w:gridCol w:w="978"/>
        <w:gridCol w:w="78"/>
      </w:tblGrid>
      <w:tr w:rsidR="0044570F" w:rsidRPr="000D1185" w:rsidTr="004905B8">
        <w:trPr>
          <w:trHeight w:val="124"/>
        </w:trPr>
        <w:tc>
          <w:tcPr>
            <w:tcW w:w="2053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35" w:type="dxa"/>
            <w:gridSpan w:val="3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81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A14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Жалюзи вертикальные тканевые с карнизом 2700 мм ширина х 2300 мм высота</w:t>
            </w:r>
          </w:p>
        </w:tc>
        <w:tc>
          <w:tcPr>
            <w:tcW w:w="5624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в количестве</w:t>
            </w:r>
          </w:p>
        </w:tc>
        <w:tc>
          <w:tcPr>
            <w:tcW w:w="2390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53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</w:tr>
      <w:tr w:rsidR="0044570F" w:rsidRPr="000D1185" w:rsidTr="004905B8">
        <w:trPr>
          <w:trHeight w:val="124"/>
        </w:trPr>
        <w:tc>
          <w:tcPr>
            <w:tcW w:w="2053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№</w:t>
            </w:r>
            <w:proofErr w:type="gramStart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п</w:t>
            </w:r>
            <w:proofErr w:type="gramEnd"/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/п</w:t>
            </w:r>
          </w:p>
        </w:tc>
        <w:tc>
          <w:tcPr>
            <w:tcW w:w="835" w:type="dxa"/>
            <w:gridSpan w:val="3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81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наименование товара (работ услуг)</w:t>
            </w:r>
          </w:p>
        </w:tc>
        <w:tc>
          <w:tcPr>
            <w:tcW w:w="5624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shd w:val="clear" w:color="auto" w:fill="FFFF00"/>
            <w:vAlign w:val="bottom"/>
          </w:tcPr>
          <w:p w:rsidR="0044570F" w:rsidRPr="0095769F" w:rsidRDefault="0044570F" w:rsidP="004905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753" w:type="dxa"/>
            <w:gridSpan w:val="2"/>
            <w:shd w:val="clear" w:color="auto" w:fill="FFFF00"/>
            <w:vAlign w:val="bottom"/>
          </w:tcPr>
          <w:p w:rsidR="0044570F" w:rsidRPr="0095769F" w:rsidRDefault="0044570F" w:rsidP="004905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5769F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vertAlign w:val="superscript"/>
              </w:rPr>
              <w:t>ед. изм.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53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Параметры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Требования, установленные Заказчиком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189"/>
        </w:trPr>
        <w:tc>
          <w:tcPr>
            <w:tcW w:w="28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4570F" w:rsidRPr="000D1185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Тип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вертикальный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Комплектность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карниз, ламели, механизм управления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Вид жалюзи по форме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Прямоугольные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Материал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алюминий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Цвет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белый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7948">
              <w:t>Способ окраски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заводской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карниза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В корпусе карниза расположены механизмы вращения и раздвижения ламелей жалюзи - бегунки с системой самовыравнивания. Бегунки с повышенным классом ресурсом работы, наличие кронштейна для стенового, потолочного, подвесного крепления.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Материал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Полиэстер 100%,  ткань с высокой стойкостью к выцветанию, специальной пропиткой с антистатическими и пылеотталкивающими свойствами.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Вид материала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Ткань «Перл»</w:t>
            </w:r>
            <w:r>
              <w:t>, арт.</w:t>
            </w:r>
            <w:r w:rsidRPr="00AB366B">
              <w:t>100116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Цвет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Цвет 1852 С</w:t>
            </w:r>
            <w:r w:rsidRPr="00CA14D1">
              <w:t>ерый со светоотражающим эффектом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Светопроницаемость ламелей жалюзи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≥ 45 и ≤ 60</w:t>
            </w:r>
            <w:r>
              <w:t xml:space="preserve">  </w:t>
            </w:r>
            <w:r w:rsidRPr="000804F3">
              <w:t>процент</w:t>
            </w:r>
            <w:r>
              <w:t>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 xml:space="preserve">Плотность материала ламелей 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E4A">
              <w:t>180-200 грамм на квадратный метр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Толщина материала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4F3">
              <w:rPr>
                <w:rFonts w:ascii="Times New Roman" w:hAnsi="Times New Roman"/>
                <w:sz w:val="20"/>
                <w:szCs w:val="20"/>
              </w:rPr>
              <w:t>0,30-0,40 мм.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Ширина каждой ламели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4F3">
              <w:rPr>
                <w:rFonts w:ascii="Times New Roman" w:hAnsi="Times New Roman"/>
                <w:sz w:val="20"/>
                <w:szCs w:val="20"/>
              </w:rPr>
              <w:t>≥ 87 и ≤ 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>миллиметра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ламелей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Каждая ламель выполнена из единого полотна ткани, без склеивания и сшивания. Ширина ламелей каждого комплекта одинаковая. Утяжелители расположены в нижней части каждой ламели. Ламели соединены цепочкой.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Механизм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Пластиковая цепочка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Цвет цепочки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белый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Шнур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4E84">
              <w:t>синтетический</w:t>
            </w:r>
            <w:proofErr w:type="gramEnd"/>
            <w:r w:rsidRPr="00414E84">
              <w:t>, дистанция между бегунками соответствует ширине одной ламели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Особенности механизма управления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Сбор ламели жалюзи от середины к бокам, к управлению, от управления. Разворот ламелей производится при помощи пластиковой цепочки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Виды регулировки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84">
              <w:t>смещение ламелей вокруг своей оси на 180 градусов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Предварительный размер оконного проема (по замерам Заказчика)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Default="0044570F" w:rsidP="004905B8">
            <w:pPr>
              <w:spacing w:after="0" w:line="240" w:lineRule="auto"/>
            </w:pPr>
            <w:r>
              <w:t>Ширина: не менее 2,7 не более 2,8 м</w:t>
            </w:r>
          </w:p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Высота: не менее 2,3 не более 2,3 м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212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70F" w:rsidRPr="000D1185" w:rsidRDefault="0044570F" w:rsidP="0044570F">
            <w:pPr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948">
              <w:t>Количество изделий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1 штука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85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Дополнительные требования</w:t>
            </w:r>
          </w:p>
        </w:tc>
      </w:tr>
      <w:tr w:rsidR="0044570F" w:rsidRPr="000D1185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1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24</w:t>
            </w:r>
            <w:r w:rsidRPr="000D11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месяцев</w:t>
            </w:r>
          </w:p>
        </w:tc>
      </w:tr>
      <w:tr w:rsidR="0044570F" w:rsidRPr="00B973D3" w:rsidTr="004905B8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09" w:type="dxa"/>
          <w:trHeight w:val="94"/>
        </w:trPr>
        <w:tc>
          <w:tcPr>
            <w:tcW w:w="22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1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44570F" w:rsidRPr="000D1185" w:rsidRDefault="0044570F" w:rsidP="004905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Монтаж изделия входит в стоимость</w:t>
            </w:r>
          </w:p>
        </w:tc>
      </w:tr>
    </w:tbl>
    <w:p w:rsidR="0044570F" w:rsidRDefault="0044570F" w:rsidP="004457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570F" w:rsidRPr="00463222" w:rsidRDefault="0044570F" w:rsidP="0044570F">
      <w:pPr>
        <w:numPr>
          <w:ilvl w:val="1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463222">
        <w:rPr>
          <w:rFonts w:ascii="Times New Roman" w:hAnsi="Times New Roman"/>
        </w:rPr>
        <w:t>Требования к маркировке: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маркировка должна быть нанесена способом, обеспечивающим сохранность ее в течение всего срока хранения товара.</w:t>
      </w:r>
    </w:p>
    <w:p w:rsidR="0044570F" w:rsidRPr="00463222" w:rsidRDefault="0044570F" w:rsidP="0044570F">
      <w:pPr>
        <w:numPr>
          <w:ilvl w:val="1"/>
          <w:numId w:val="4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463222">
        <w:rPr>
          <w:rFonts w:ascii="Times New Roman" w:hAnsi="Times New Roman"/>
        </w:rPr>
        <w:t>Требования к упаковке: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товар должен быть упакован в соответствии с обязательными правилами и требованиями для тары и упаковки;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44570F" w:rsidRPr="00DB2CD2" w:rsidRDefault="0044570F" w:rsidP="004457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B2CD2">
        <w:rPr>
          <w:rFonts w:ascii="Times New Roman" w:eastAsia="Times New Roman" w:hAnsi="Times New Roman"/>
          <w:lang w:eastAsia="ru-RU"/>
        </w:rPr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44570F" w:rsidRPr="007046D7" w:rsidRDefault="0044570F" w:rsidP="0044570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3222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4570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Иванов Денис Владимирович, 8 (3952) 56-45-00, доп. 42-56 </w:t>
      </w:r>
      <w:r w:rsidRPr="0044570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hyperlink r:id="rId8" w:history="1">
        <w:r w:rsidRPr="005D1078">
          <w:rPr>
            <w:rStyle w:val="a3"/>
            <w:rFonts w:ascii="Times New Roman" w:eastAsia="Times New Roman" w:hAnsi="Times New Roman"/>
            <w:b/>
            <w:sz w:val="20"/>
            <w:szCs w:val="20"/>
            <w:lang w:eastAsia="ru-RU"/>
          </w:rPr>
          <w:t>den_s@iszf.irk.ru</w:t>
        </w:r>
      </w:hyperlink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___________</w:t>
      </w:r>
      <w:bookmarkStart w:id="0" w:name="_GoBack"/>
      <w:bookmarkEnd w:id="0"/>
    </w:p>
    <w:sectPr w:rsidR="0044570F" w:rsidRPr="007046D7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99" w:rsidRDefault="00F86A99" w:rsidP="007B05EB">
      <w:pPr>
        <w:spacing w:after="0" w:line="240" w:lineRule="auto"/>
      </w:pPr>
      <w:r>
        <w:separator/>
      </w:r>
    </w:p>
  </w:endnote>
  <w:endnote w:type="continuationSeparator" w:id="0">
    <w:p w:rsidR="00F86A99" w:rsidRDefault="00F86A99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Noto Sans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99" w:rsidRDefault="00F86A99" w:rsidP="007B05EB">
      <w:pPr>
        <w:spacing w:after="0" w:line="240" w:lineRule="auto"/>
      </w:pPr>
      <w:r>
        <w:separator/>
      </w:r>
    </w:p>
  </w:footnote>
  <w:footnote w:type="continuationSeparator" w:id="0">
    <w:p w:rsidR="00F86A99" w:rsidRDefault="00F86A99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5C694E"/>
    <w:multiLevelType w:val="multilevel"/>
    <w:tmpl w:val="4AC01D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4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3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2C713A"/>
    <w:multiLevelType w:val="multilevel"/>
    <w:tmpl w:val="310E58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0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46"/>
  </w:num>
  <w:num w:numId="22">
    <w:abstractNumId w:val="44"/>
  </w:num>
  <w:num w:numId="23">
    <w:abstractNumId w:val="31"/>
  </w:num>
  <w:num w:numId="24">
    <w:abstractNumId w:val="58"/>
  </w:num>
  <w:num w:numId="25">
    <w:abstractNumId w:val="51"/>
  </w:num>
  <w:num w:numId="26">
    <w:abstractNumId w:val="6"/>
  </w:num>
  <w:num w:numId="2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52"/>
  </w:num>
  <w:num w:numId="30">
    <w:abstractNumId w:val="50"/>
  </w:num>
  <w:num w:numId="31">
    <w:abstractNumId w:val="28"/>
  </w:num>
  <w:num w:numId="32">
    <w:abstractNumId w:val="57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55"/>
  </w:num>
  <w:num w:numId="39">
    <w:abstractNumId w:val="62"/>
  </w:num>
  <w:num w:numId="40">
    <w:abstractNumId w:val="48"/>
  </w:num>
  <w:num w:numId="41">
    <w:abstractNumId w:val="30"/>
  </w:num>
  <w:num w:numId="42">
    <w:abstractNumId w:val="32"/>
  </w:num>
  <w:num w:numId="43">
    <w:abstractNumId w:val="5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_s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196</cp:revision>
  <dcterms:created xsi:type="dcterms:W3CDTF">2025-12-23T02:47:00Z</dcterms:created>
  <dcterms:modified xsi:type="dcterms:W3CDTF">2026-05-26T05:52:00Z</dcterms:modified>
</cp:coreProperties>
</file>