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8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8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895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выполняющее функции государственного заказчика</w:t>
      </w:r>
      <w:r>
        <w:t xml:space="preserve">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заместителя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rPr>
          <w:szCs w:val="22"/>
        </w:rPr>
        <w:t xml:space="preserve">Курпаяниди Станислава Сергеевича, действующего на основании Доверенности от 13</w:t>
      </w:r>
      <w:r>
        <w:rPr>
          <w:szCs w:val="22"/>
        </w:rPr>
        <w:t xml:space="preserve">.08.2024 № 01012408000015510601</w:t>
      </w:r>
      <w:r>
        <w:t xml:space="preserve"> </w:t>
      </w:r>
      <w:r>
        <w:rPr>
          <w:szCs w:val="22"/>
        </w:rPr>
        <w:t xml:space="preserve">и </w:t>
      </w:r>
      <w:r>
        <w:rPr>
          <w:spacing w:val="6"/>
          <w:szCs w:val="22"/>
        </w:rPr>
        <w:t xml:space="preserve">Положения о Межрегиональном филиале </w:t>
      </w:r>
      <w:r>
        <w:rPr>
          <w:szCs w:val="22"/>
        </w:rPr>
        <w:t xml:space="preserve">Федерального казенного учреждения «Центр по обеспечению деятельности Казначейства России» в г. Владимире, 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</w:t>
      </w:r>
      <w:r>
        <w:t xml:space="preserve">17.06.2026 № 588</w:t>
      </w:r>
      <w:r>
        <w:t xml:space="preserve">, с одной стороны, и</w:t>
      </w:r>
      <w:r>
        <w:rPr>
          <w:color w:val="ff0000"/>
        </w:rPr>
        <w:t xml:space="preserve"> </w:t>
      </w:r>
      <w:r>
        <w:t xml:space="preserve">__________________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«Исполнитель»,</w:t>
      </w:r>
      <w:r>
        <w:rPr>
          <w:i/>
          <w:iCs/>
        </w:rPr>
        <w:t xml:space="preserve"> </w:t>
      </w:r>
      <w:r>
        <w:t xml:space="preserve">в лице ________________ </w:t>
      </w:r>
      <w:r>
        <w:rPr>
          <w:i/>
        </w:rPr>
        <w:t xml:space="preserve">(должность) Ф.И.О.</w:t>
      </w:r>
      <w:r>
        <w:t xml:space="preserve">, 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соответствии с пунктом </w:t>
      </w:r>
      <w:r>
        <w:t xml:space="preserve">4 части 1</w:t>
      </w:r>
      <w:r>
        <w:t xml:space="preserve"> статьи 93 Федерального зак</w:t>
      </w:r>
      <w:r>
        <w:t xml:space="preserve">о</w:t>
      </w:r>
      <w:r>
        <w:t xml:space="preserve">на от 05.04.2013 № 44-ФЗ «О контрактной системе в сфе</w:t>
      </w:r>
      <w:r>
        <w:t xml:space="preserve">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 </w:t>
      </w:r>
      <w:r/>
    </w:p>
    <w:p>
      <w:pPr>
        <w:pStyle w:val="895"/>
        <w:ind w:right="17" w:firstLine="544"/>
        <w:jc w:val="both"/>
      </w:pPr>
      <w:r/>
      <w:r/>
    </w:p>
    <w:p>
      <w:pPr>
        <w:pStyle w:val="889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ind w:firstLine="720"/>
        <w:tabs>
          <w:tab w:val="left" w:pos="7100" w:leader="none"/>
        </w:tabs>
        <w:rPr>
          <w:rFonts w:eastAsia="Calibri"/>
        </w:rPr>
      </w:pPr>
      <w:r>
        <w:t xml:space="preserve">1.1. </w:t>
      </w:r>
      <w:r>
        <w:t xml:space="preserve">Предметом контракта является </w:t>
      </w:r>
      <w:r>
        <w:rPr>
          <w:rFonts w:eastAsia="Calibri"/>
        </w:rPr>
        <w:t xml:space="preserve">о</w:t>
      </w:r>
      <w:r>
        <w:rPr>
          <w:rFonts w:eastAsia="Calibri"/>
        </w:rPr>
        <w:t xml:space="preserve">казание услуг по проведению поверки приборов контроля для обеспечения нужд Управления Федерального казначейства по Ивановской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720"/>
      </w:pPr>
      <w:r>
        <w:t xml:space="preserve">1.2. Перечень оказываемых услуг, а также описание объекта закупки указаны в Приложении №1 к контракту.</w:t>
      </w:r>
      <w:r/>
    </w:p>
    <w:p>
      <w:pPr>
        <w:pStyle w:val="889"/>
        <w:ind w:firstLine="720"/>
        <w:rPr>
          <w:rFonts w:eastAsia="Calibri"/>
          <w:u w:val="single"/>
        </w:rPr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Идентификационный код закупки (ИКЗ) </w:t>
      </w:r>
      <w:r>
        <w:rPr>
          <w:rFonts w:eastAsia="Calibri"/>
        </w:rPr>
        <w:t xml:space="preserve">26 1 7709895509 332843001 0004 000 0000 000.</w:t>
      </w:r>
      <w:r>
        <w:rPr>
          <w:rFonts w:eastAsia="Calibri"/>
          <w:u w:val="single"/>
        </w:rPr>
      </w:r>
      <w:r>
        <w:rPr>
          <w:rFonts w:eastAsia="Calibri"/>
          <w:u w:val="single"/>
        </w:rPr>
      </w:r>
    </w:p>
    <w:p>
      <w:pPr>
        <w:pStyle w:val="889"/>
        <w:ind w:right="-1" w:firstLine="709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ind w:firstLine="720"/>
      </w:pPr>
      <w:r>
        <w:t xml:space="preserve">2.1.</w:t>
      </w:r>
      <w:r>
        <w:rPr>
          <w:color w:val="ff0000"/>
        </w:rPr>
        <w:t xml:space="preserve"> </w:t>
      </w:r>
      <w:r>
        <w:t xml:space="preserve">Цена контракта составляет _________(____) рублей ____ копеек, в том числе НДС. </w:t>
      </w:r>
      <w:r/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889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889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  <w:r>
        <w:rPr>
          <w:bCs/>
        </w:rPr>
      </w:r>
    </w:p>
    <w:p>
      <w:pPr>
        <w:pStyle w:val="889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889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</w:t>
      </w:r>
      <w:r>
        <w:t xml:space="preserve">го казначейства по </w:t>
      </w:r>
      <w:r>
        <w:t xml:space="preserve">Ивановской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889"/>
        <w:ind w:firstLine="720"/>
        <w:rPr>
          <w:bCs/>
        </w:rPr>
      </w:pPr>
      <w:r>
        <w:rPr>
          <w:bCs/>
        </w:rPr>
        <w:t xml:space="preserve">2.5. Оплата осуществляется по виду расходов классификации расходов бюджетов </w:t>
      </w:r>
      <w:r>
        <w:rPr>
          <w:bCs/>
        </w:rPr>
        <w:t xml:space="preserve">244 «Прочие закупки товаров, работ и услуг для обеспечения государственных (муниципальных) нужд».</w:t>
      </w:r>
      <w:r>
        <w:rPr>
          <w:bCs/>
        </w:rPr>
      </w:r>
      <w:r>
        <w:rPr>
          <w:bCs/>
        </w:rPr>
      </w:r>
    </w:p>
    <w:p>
      <w:pPr>
        <w:pStyle w:val="889"/>
        <w:ind w:firstLine="708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889"/>
        <w:ind w:firstLine="720"/>
      </w:pPr>
      <w:r/>
      <w:r/>
    </w:p>
    <w:p>
      <w:pPr>
        <w:pStyle w:val="889"/>
        <w:ind w:firstLine="709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ind w:firstLine="709"/>
        <w:shd w:val="clear" w:color="auto" w:fill="ffffff"/>
        <w:rPr>
          <w:bCs/>
        </w:rPr>
      </w:pPr>
      <w:r>
        <w:t xml:space="preserve">3.1. </w:t>
      </w:r>
      <w:r>
        <w:rPr>
          <w:rStyle w:val="901"/>
          <w:b w:val="0"/>
          <w:spacing w:val="-2"/>
        </w:rPr>
        <w:t xml:space="preserve">Место оказания услуг:</w:t>
      </w:r>
      <w:r>
        <w:rPr>
          <w:rStyle w:val="901"/>
          <w:bCs w:val="0"/>
          <w:spacing w:val="-2"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89"/>
        <w:ind w:firstLine="708"/>
      </w:pPr>
      <w:r>
        <w:t xml:space="preserve">Ивановская область:</w:t>
      </w:r>
      <w:r/>
    </w:p>
    <w:p>
      <w:pPr>
        <w:pStyle w:val="889"/>
        <w:ind w:firstLine="708"/>
      </w:pPr>
      <w:r>
        <w:t xml:space="preserve">г. Иваново</w:t>
      </w:r>
      <w:r>
        <w:t xml:space="preserve">,</w:t>
      </w:r>
      <w:r>
        <w:t xml:space="preserve">пр. Строителей</w:t>
      </w:r>
      <w:r>
        <w:t xml:space="preserve">,</w:t>
      </w:r>
      <w:r>
        <w:t xml:space="preserve"> д. 21;</w:t>
      </w:r>
      <w:r/>
    </w:p>
    <w:p>
      <w:pPr>
        <w:pStyle w:val="889"/>
        <w:ind w:firstLine="708"/>
      </w:pPr>
      <w:r>
        <w:t xml:space="preserve">г. Кинешма</w:t>
      </w:r>
      <w:r>
        <w:t xml:space="preserve">,</w:t>
      </w:r>
      <w:r>
        <w:t xml:space="preserve"> ул. Им. Менделеева</w:t>
      </w:r>
      <w:r>
        <w:t xml:space="preserve">,</w:t>
      </w:r>
      <w:r>
        <w:t xml:space="preserve"> д. 26;</w:t>
      </w:r>
      <w:r/>
    </w:p>
    <w:p>
      <w:pPr>
        <w:pStyle w:val="889"/>
        <w:ind w:firstLine="708"/>
      </w:pPr>
      <w:r>
        <w:t xml:space="preserve">г. Родники</w:t>
      </w:r>
      <w:r>
        <w:t xml:space="preserve">,</w:t>
      </w:r>
      <w:r>
        <w:t xml:space="preserve"> мкр. Шагова</w:t>
      </w:r>
      <w:r>
        <w:t xml:space="preserve">,</w:t>
      </w:r>
      <w:r>
        <w:t xml:space="preserve"> д. 20;</w:t>
      </w:r>
      <w:r/>
    </w:p>
    <w:p>
      <w:pPr>
        <w:pStyle w:val="889"/>
        <w:ind w:firstLine="708"/>
      </w:pPr>
      <w:r>
        <w:t xml:space="preserve">г. Тейково</w:t>
      </w:r>
      <w:r>
        <w:t xml:space="preserve">,</w:t>
      </w:r>
      <w:r>
        <w:t xml:space="preserve"> ул. 1-я Комовская</w:t>
      </w:r>
      <w:r>
        <w:t xml:space="preserve">,</w:t>
      </w:r>
      <w:r>
        <w:t xml:space="preserve"> д. 3;</w:t>
      </w:r>
      <w:r/>
    </w:p>
    <w:p>
      <w:pPr>
        <w:pStyle w:val="889"/>
        <w:ind w:firstLine="708"/>
      </w:pPr>
      <w:r>
        <w:t xml:space="preserve">г. Фурманов</w:t>
      </w:r>
      <w:r>
        <w:t xml:space="preserve">, </w:t>
      </w:r>
      <w:r>
        <w:t xml:space="preserve">ул. Нижний Двор</w:t>
      </w:r>
      <w:r>
        <w:t xml:space="preserve">,</w:t>
      </w:r>
      <w:r>
        <w:t xml:space="preserve"> д. 5;</w:t>
      </w:r>
      <w:r/>
    </w:p>
    <w:p>
      <w:pPr>
        <w:pStyle w:val="889"/>
      </w:pPr>
      <w:r>
        <w:t xml:space="preserve">            г. Юрьевец</w:t>
      </w:r>
      <w:r>
        <w:t xml:space="preserve">, </w:t>
      </w:r>
      <w:r>
        <w:t xml:space="preserve">ул. Титова</w:t>
      </w:r>
      <w:r>
        <w:t xml:space="preserve">,</w:t>
      </w:r>
      <w:r>
        <w:t xml:space="preserve"> д.16;</w:t>
      </w:r>
      <w:r/>
    </w:p>
    <w:p>
      <w:pPr>
        <w:pStyle w:val="889"/>
      </w:pPr>
      <w:r>
        <w:t xml:space="preserve">            г. Южа</w:t>
      </w:r>
      <w:r>
        <w:t xml:space="preserve">,</w:t>
      </w:r>
      <w:r>
        <w:t xml:space="preserve"> ул. Дачная</w:t>
      </w:r>
      <w:r>
        <w:t xml:space="preserve">, </w:t>
      </w:r>
      <w:r>
        <w:t xml:space="preserve">д. 11;</w:t>
      </w:r>
      <w:r/>
    </w:p>
    <w:p>
      <w:pPr>
        <w:pStyle w:val="889"/>
      </w:pPr>
      <w:r>
        <w:t xml:space="preserve">            п. Пестяки</w:t>
      </w:r>
      <w:r>
        <w:t xml:space="preserve">,</w:t>
      </w:r>
      <w:r>
        <w:t xml:space="preserve"> ул. Ленина</w:t>
      </w:r>
      <w:r>
        <w:t xml:space="preserve">/</w:t>
      </w:r>
      <w:r>
        <w:t xml:space="preserve">д.14.</w:t>
      </w:r>
      <w:r/>
    </w:p>
    <w:p>
      <w:pPr>
        <w:pStyle w:val="889"/>
        <w:ind w:firstLine="709"/>
      </w:pPr>
      <w:r>
        <w:rPr>
          <w:spacing w:val="-2"/>
        </w:rPr>
        <w:t xml:space="preserve">3.2. </w:t>
      </w:r>
      <w:r>
        <w:t xml:space="preserve">Сроки оказания услуг</w:t>
      </w:r>
      <w:r>
        <w:t xml:space="preserve">: </w:t>
      </w:r>
      <w:r>
        <w:rPr>
          <w:bCs/>
        </w:rPr>
        <w:t xml:space="preserve">Услуги оказываются с даты заключения контракта в течении 30 календарных дней.</w:t>
      </w:r>
      <w:r/>
    </w:p>
    <w:p>
      <w:pPr>
        <w:pStyle w:val="902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Услуги оказываются в рабочее время Получателя с 09:0</w:t>
      </w:r>
      <w:r>
        <w:rPr>
          <w:rFonts w:ascii="Times New Roman" w:hAnsi="Times New Roman" w:cs="Times New Roman"/>
          <w:bCs/>
          <w:sz w:val="24"/>
          <w:szCs w:val="24"/>
        </w:rPr>
        <w:t xml:space="preserve">0 до 13:</w:t>
      </w:r>
      <w:r>
        <w:rPr>
          <w:rFonts w:ascii="Times New Roman" w:hAnsi="Times New Roman" w:cs="Times New Roman"/>
          <w:bCs/>
          <w:sz w:val="24"/>
          <w:szCs w:val="24"/>
        </w:rPr>
        <w:t xml:space="preserve">0</w:t>
      </w:r>
      <w:r>
        <w:rPr>
          <w:rFonts w:ascii="Times New Roman" w:hAnsi="Times New Roman" w:cs="Times New Roman"/>
          <w:bCs/>
          <w:sz w:val="24"/>
          <w:szCs w:val="24"/>
        </w:rPr>
        <w:t xml:space="preserve">0 и с 14:0</w:t>
      </w:r>
      <w:r>
        <w:rPr>
          <w:rFonts w:ascii="Times New Roman" w:hAnsi="Times New Roman" w:cs="Times New Roman"/>
          <w:bCs/>
          <w:sz w:val="24"/>
          <w:szCs w:val="24"/>
        </w:rPr>
        <w:t xml:space="preserve">0 до 1</w:t>
      </w:r>
      <w:r>
        <w:rPr>
          <w:rFonts w:ascii="Times New Roman" w:hAnsi="Times New Roman" w:cs="Times New Roman"/>
          <w:bCs/>
          <w:sz w:val="24"/>
          <w:szCs w:val="24"/>
        </w:rPr>
        <w:t xml:space="preserve">6:30. </w:t>
      </w:r>
      <w:r>
        <w:rPr>
          <w:rFonts w:ascii="Times New Roman" w:hAnsi="Times New Roman" w:cs="Times New Roman"/>
          <w:bCs/>
          <w:sz w:val="24"/>
          <w:szCs w:val="24"/>
        </w:rPr>
        <w:t xml:space="preserve">Время оказания услуг предварительно согласовывается с Получателем.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89"/>
        <w:ind w:firstLine="708"/>
        <w:widowControl w:val="off"/>
        <w:rPr>
          <w:rFonts w:eastAsia="Calibri"/>
          <w:bCs/>
        </w:rPr>
      </w:pPr>
      <w:r>
        <w:rPr>
          <w:rFonts w:eastAsia="Calibri"/>
          <w:bCs/>
        </w:rPr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89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889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889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889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889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889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889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889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889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889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889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889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889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889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89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889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889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889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  <w:r>
        <w:rPr>
          <w:spacing w:val="-2"/>
        </w:rPr>
      </w:r>
    </w:p>
    <w:p>
      <w:pPr>
        <w:pStyle w:val="889"/>
        <w:ind w:firstLine="720"/>
      </w:pPr>
      <w:r>
        <w:t xml:space="preserve">4.4. Заказчик обязуется:</w:t>
      </w:r>
      <w:r/>
    </w:p>
    <w:p>
      <w:pPr>
        <w:pStyle w:val="889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889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889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889"/>
        <w:ind w:firstLine="709"/>
      </w:pPr>
      <w:r>
        <w:t xml:space="preserve">4.5. Заказчик имеет право: </w:t>
      </w:r>
      <w:r/>
    </w:p>
    <w:p>
      <w:pPr>
        <w:pStyle w:val="889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89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889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89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</w:t>
      </w:r>
      <w:r>
        <w:t xml:space="preserve">В день фактического завершения оказания услуг Исполнитель</w:t>
      </w:r>
      <w:r>
        <w:t xml:space="preserve"> </w:t>
      </w:r>
      <w:r>
        <w:rPr>
          <w:rFonts w:eastAsia="Calibri"/>
        </w:rPr>
        <w:t xml:space="preserve">оформляет и представляет Заказчику </w:t>
      </w:r>
      <w:r>
        <w:rPr>
          <w:rFonts w:eastAsia="Calibri"/>
        </w:rPr>
        <w:t xml:space="preserve">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</w:t>
      </w:r>
      <w:r>
        <w:rPr>
          <w:rFonts w:eastAsia="Calibri"/>
        </w:rPr>
        <w:t xml:space="preserve"> 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889"/>
        <w:ind w:firstLine="708"/>
        <w:widowControl w:val="off"/>
      </w:pPr>
      <w:r>
        <w:rPr>
          <w:rFonts w:eastAsia="Calibri"/>
        </w:rPr>
        <w:t xml:space="preserve">5.2.</w:t>
      </w:r>
      <w:r>
        <w:rPr>
          <w:rFonts w:eastAsia="Calibri"/>
        </w:rPr>
        <w:t xml:space="preserve"> </w:t>
      </w:r>
      <w:r>
        <w:t xml:space="preserve">Приемка оказанных услуг осуществляется Заказчиком в течение 20 (двадцати) рабочих дней по акту приемки товаров, работ, услуг (код формы по ОКУД 0510452).  </w:t>
      </w:r>
      <w:r/>
    </w:p>
    <w:p>
      <w:pPr>
        <w:pStyle w:val="889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889"/>
        <w:widowControl w:val="off"/>
      </w:pPr>
      <w:r>
        <w:t xml:space="preserve">           5.3.1</w:t>
      </w:r>
      <w:r>
        <w:t xml:space="preserve">. </w:t>
      </w:r>
      <w:r>
        <w:rPr>
          <w:color w:val="000000"/>
        </w:rPr>
        <w:t xml:space="preserve">Заказчик в течение 15 (пятнадцати)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 xml:space="preserve"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 xml:space="preserve"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889"/>
        <w:ind w:firstLine="708"/>
        <w:widowControl w:val="off"/>
      </w:pPr>
      <w:r>
        <w:rPr>
          <w:color w:val="000000"/>
        </w:rPr>
        <w:t xml:space="preserve">5.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  <w:t xml:space="preserve">2</w:t>
      </w:r>
      <w:r>
        <w:rPr>
          <w:color w:val="000000"/>
        </w:rPr>
        <w:t xml:space="preserve">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3 (трех)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889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889"/>
        <w:ind w:firstLine="708"/>
        <w:widowControl w:val="off"/>
        <w:rPr>
          <w:color w:val="000000"/>
        </w:rPr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889"/>
        <w:tabs>
          <w:tab w:val="left" w:pos="0" w:leader="none"/>
        </w:tabs>
      </w:pPr>
      <w:r>
        <w:t xml:space="preserve">            </w:t>
      </w: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889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889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889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889"/>
        <w:ind w:firstLine="720"/>
        <w:widowControl w:val="off"/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889"/>
        <w:ind w:firstLine="720"/>
        <w:widowControl w:val="off"/>
      </w:pPr>
      <w:r/>
      <w:r/>
    </w:p>
    <w:p>
      <w:pPr>
        <w:pStyle w:val="925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919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21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sz w:val="24"/>
          <w:szCs w:val="24"/>
        </w:rPr>
        <w:t xml:space="preserve">1000,00</w:t>
      </w:r>
      <w:r>
        <w:rPr>
          <w:rFonts w:ascii="Times New Roman" w:hAnsi="Times New Roman"/>
          <w:sz w:val="24"/>
          <w:szCs w:val="24"/>
        </w:rPr>
        <w:t xml:space="preserve">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21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________рублей.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ind w:firstLine="540"/>
        <w:rPr>
          <w:i/>
          <w:iCs/>
          <w:color w:val="000000"/>
        </w:rPr>
      </w:pPr>
      <w:r>
        <w:rPr>
          <w:i/>
          <w:iCs/>
          <w:color w:val="000000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i/>
          <w:iCs/>
          <w:color w:val="000000"/>
        </w:rPr>
      </w:r>
      <w:r>
        <w:rPr>
          <w:i/>
          <w:iCs/>
          <w:color w:val="000000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hAnsi="Times New Roman"/>
          <w:sz w:val="24"/>
          <w:szCs w:val="24"/>
        </w:rPr>
        <w:t xml:space="preserve">1000,00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9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89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  <w:r>
        <w:rPr>
          <w:b/>
        </w:rPr>
      </w:r>
    </w:p>
    <w:p>
      <w:pPr>
        <w:pStyle w:val="893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  <w:r>
        <w:rPr>
          <w:spacing w:val="-2"/>
        </w:rPr>
      </w:r>
    </w:p>
    <w:p>
      <w:pPr>
        <w:pStyle w:val="893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893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893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893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3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89"/>
        <w:ind w:firstLine="709"/>
        <w:widowControl w:val="off"/>
      </w:pPr>
      <w:r>
        <w:t xml:space="preserve">8.1. Контракт </w:t>
      </w:r>
      <w:r>
        <w:rPr>
          <w:lang w:val="en-US"/>
        </w:rPr>
        <w:t xml:space="preserve">вступает в силу с </w:t>
      </w:r>
      <w:r>
        <w:t xml:space="preserve">момента заключения,</w:t>
      </w:r>
      <w:r>
        <w:rPr>
          <w:lang w:val="en-US"/>
        </w:rPr>
        <w:t xml:space="preserve"> действует до </w:t>
      </w:r>
      <w:r>
        <w:t xml:space="preserve">полного</w:t>
      </w:r>
      <w:r>
        <w:rPr>
          <w:lang w:val="en-US"/>
        </w:rPr>
        <w:t xml:space="preserve"> </w:t>
      </w:r>
      <w:r>
        <w:t xml:space="preserve">исполнения</w:t>
      </w:r>
      <w:r>
        <w:rPr>
          <w:lang w:val="en-US"/>
        </w:rPr>
        <w:t xml:space="preserve"> Сторонами </w:t>
      </w:r>
      <w:r>
        <w:t xml:space="preserve">своих</w:t>
      </w:r>
      <w:r>
        <w:rPr>
          <w:lang w:val="en-US"/>
        </w:rPr>
        <w:t xml:space="preserve"> обязательств</w:t>
      </w:r>
      <w:r>
        <w:t xml:space="preserve">.</w:t>
      </w:r>
      <w:r/>
    </w:p>
    <w:p>
      <w:pPr>
        <w:pStyle w:val="889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9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  <w:r>
        <w:rPr>
          <w:b/>
        </w:rPr>
      </w:r>
    </w:p>
    <w:p>
      <w:pPr>
        <w:pStyle w:val="889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889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889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889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  <w:r>
        <w:rPr>
          <w:bCs/>
        </w:rPr>
      </w:r>
    </w:p>
    <w:p>
      <w:pPr>
        <w:pStyle w:val="889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89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89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889"/>
        <w:ind w:firstLine="708"/>
      </w:pPr>
      <w:r/>
      <w:r/>
    </w:p>
    <w:p>
      <w:pPr>
        <w:pStyle w:val="893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3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893"/>
        <w:ind w:firstLine="708"/>
        <w:spacing w:after="0"/>
        <w:rPr>
          <w:lang w:val="ru-RU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pStyle w:val="893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3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3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93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893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889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  <w:r>
        <w:rPr>
          <w:lang w:eastAsia="en-US"/>
        </w:rPr>
      </w:r>
    </w:p>
    <w:p>
      <w:pPr>
        <w:pStyle w:val="893"/>
        <w:ind w:firstLine="708"/>
        <w:spacing w:after="0"/>
        <w:rPr>
          <w:lang w:val="ru-RU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  <w:r>
        <w:rPr>
          <w:lang w:val="ru-RU"/>
        </w:rPr>
      </w:r>
    </w:p>
    <w:p>
      <w:pPr>
        <w:pStyle w:val="889"/>
        <w:widowControl w:val="off"/>
      </w:pPr>
      <w:r/>
      <w:r/>
    </w:p>
    <w:p>
      <w:pPr>
        <w:pStyle w:val="889"/>
        <w:ind w:firstLine="426"/>
        <w:jc w:val="center"/>
        <w:rPr>
          <w:b/>
        </w:rPr>
      </w:pPr>
      <w:r>
        <w:rPr>
          <w:b/>
        </w:rPr>
        <w:t xml:space="preserve">12</w:t>
      </w:r>
      <w:r>
        <w:rPr>
          <w:b/>
        </w:rPr>
        <w:t xml:space="preserve">. Приложения</w:t>
      </w:r>
      <w:r>
        <w:rPr>
          <w:b/>
        </w:rPr>
      </w:r>
      <w:r>
        <w:rPr>
          <w:b/>
        </w:rPr>
      </w:r>
    </w:p>
    <w:p>
      <w:pPr>
        <w:pStyle w:val="889"/>
        <w:ind w:firstLine="426"/>
        <w:widowControl w:val="off"/>
        <w:rPr>
          <w:bCs/>
        </w:rPr>
      </w:pPr>
      <w:r>
        <w:rPr>
          <w:bCs/>
        </w:rPr>
        <w:t xml:space="preserve">1</w:t>
      </w:r>
      <w:r>
        <w:rPr>
          <w:bCs/>
        </w:rPr>
        <w:t xml:space="preserve">2</w:t>
      </w:r>
      <w:r>
        <w:rPr>
          <w:bCs/>
        </w:rPr>
        <w:t xml:space="preserve">.1. Приложение № </w:t>
      </w:r>
      <w:r>
        <w:rPr>
          <w:bCs/>
        </w:rPr>
        <w:t xml:space="preserve">1</w:t>
      </w:r>
      <w:r>
        <w:rPr>
          <w:bCs/>
        </w:rPr>
        <w:t xml:space="preserve"> - </w:t>
      </w:r>
      <w:r>
        <w:rPr>
          <w:bCs/>
        </w:rPr>
        <w:t xml:space="preserve">Описание объекта закупки.</w:t>
      </w:r>
      <w:r>
        <w:rPr>
          <w:bCs/>
        </w:rPr>
      </w:r>
      <w:r>
        <w:rPr>
          <w:bCs/>
        </w:rPr>
      </w:r>
    </w:p>
    <w:p>
      <w:pPr>
        <w:pStyle w:val="889"/>
        <w:ind w:firstLine="426"/>
        <w:widowControl w:val="off"/>
        <w:rPr>
          <w:bCs/>
        </w:rPr>
      </w:pPr>
      <w:r>
        <w:rPr>
          <w:bCs/>
        </w:rPr>
        <w:t xml:space="preserve">12</w:t>
      </w:r>
      <w:r>
        <w:rPr>
          <w:bCs/>
        </w:rPr>
        <w:t xml:space="preserve">.2. Приложение № 2</w:t>
      </w:r>
      <w:r>
        <w:rPr>
          <w:bCs/>
        </w:rPr>
        <w:t xml:space="preserve"> - Акт передачи (сдачи) </w:t>
      </w:r>
      <w:r>
        <w:rPr>
          <w:bCs/>
        </w:rPr>
        <w:t xml:space="preserve">оказанных услуг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889"/>
        <w:ind w:firstLine="426"/>
        <w:widowControl w:val="off"/>
        <w:rPr>
          <w:bCs/>
        </w:rPr>
      </w:pPr>
      <w:r>
        <w:rPr>
          <w:bCs/>
        </w:rPr>
        <w:t xml:space="preserve">12</w:t>
      </w:r>
      <w:r>
        <w:rPr>
          <w:bCs/>
        </w:rPr>
        <w:t xml:space="preserve">.3. Приложение № 3</w:t>
      </w:r>
      <w:r>
        <w:rPr>
          <w:bCs/>
        </w:rPr>
        <w:t xml:space="preserve"> - </w:t>
      </w:r>
      <w:r>
        <w:rPr>
          <w:lang w:eastAsia="en-US"/>
        </w:rPr>
        <w:t xml:space="preserve">Список</w:t>
      </w:r>
      <w:r>
        <w:t xml:space="preserve"> сотрудников, привлекаемых к исполнению контракта.</w:t>
      </w:r>
      <w:r>
        <w:rPr>
          <w:bCs/>
        </w:rPr>
      </w:r>
      <w:r>
        <w:rPr>
          <w:bCs/>
        </w:rPr>
      </w:r>
    </w:p>
    <w:p>
      <w:pPr>
        <w:pStyle w:val="889"/>
        <w:ind w:firstLine="426"/>
      </w:pPr>
      <w:r>
        <w:t xml:space="preserve">12</w:t>
      </w:r>
      <w:r>
        <w:t xml:space="preserve">.4</w:t>
      </w:r>
      <w:r>
        <w:t xml:space="preserve">. </w:t>
      </w:r>
      <w:r>
        <w:rPr>
          <w:bCs/>
        </w:rPr>
        <w:t xml:space="preserve">Приложение № 4</w:t>
      </w:r>
      <w:r>
        <w:rPr>
          <w:bCs/>
        </w:rPr>
        <w:t xml:space="preserve"> -</w:t>
      </w:r>
      <w:r>
        <w:t xml:space="preserve"> Ведомость учёта мероприятий по осуществлению контроля за безопасным исполнением обязательств по</w:t>
      </w:r>
      <w:r>
        <w:t xml:space="preserve"> государственному</w:t>
      </w:r>
      <w:r>
        <w:t xml:space="preserve"> контракту.</w:t>
      </w:r>
      <w:r/>
    </w:p>
    <w:p>
      <w:pPr>
        <w:pStyle w:val="889"/>
        <w:ind w:firstLine="709"/>
        <w:widowControl w:val="off"/>
        <w:rPr>
          <w:highlight w:val="none"/>
          <w:lang w:eastAsia="en-US"/>
        </w:rPr>
      </w:pPr>
      <w:r>
        <w:rPr>
          <w:lang w:val="en-US" w:eastAsia="en-US"/>
        </w:rPr>
        <w:t xml:space="preserve">Приложени</w:t>
      </w:r>
      <w:r>
        <w:rPr>
          <w:lang w:eastAsia="en-US"/>
        </w:rPr>
        <w:t xml:space="preserve">я</w:t>
      </w:r>
      <w:r>
        <w:rPr>
          <w:lang w:val="en-US" w:eastAsia="en-US"/>
        </w:rPr>
        <w:t xml:space="preserve"> к контракту </w:t>
      </w:r>
      <w:r>
        <w:rPr>
          <w:lang w:eastAsia="en-US"/>
        </w:rPr>
        <w:t xml:space="preserve">явля</w:t>
      </w:r>
      <w:r>
        <w:rPr>
          <w:lang w:eastAsia="en-US"/>
        </w:rPr>
        <w:t xml:space="preserve">ю</w:t>
      </w:r>
      <w:r>
        <w:rPr>
          <w:lang w:eastAsia="en-US"/>
        </w:rPr>
        <w:t xml:space="preserve">тся</w:t>
      </w:r>
      <w:r>
        <w:rPr>
          <w:lang w:val="en-US" w:eastAsia="en-US"/>
        </w:rPr>
        <w:t xml:space="preserve"> его неотъемлемой частью</w:t>
      </w:r>
      <w:r>
        <w:rPr>
          <w:lang w:eastAsia="en-US"/>
        </w:rPr>
        <w:t xml:space="preserve">.</w:t>
      </w:r>
      <w:r>
        <w:rPr>
          <w:highlight w:val="none"/>
          <w:lang w:eastAsia="en-US"/>
        </w:rPr>
      </w:r>
      <w:r>
        <w:rPr>
          <w:highlight w:val="none"/>
          <w:lang w:eastAsia="en-US"/>
        </w:rPr>
      </w:r>
    </w:p>
    <w:p>
      <w:pPr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widowControl w:val="off"/>
        <w:rPr>
          <w:lang w:eastAsia="en-US"/>
        </w:rPr>
      </w:pPr>
      <w:r>
        <w:rPr>
          <w:highlight w:val="none"/>
          <w:lang w:eastAsia="en-US"/>
        </w:rPr>
      </w:r>
      <w:r>
        <w:rPr>
          <w:highlight w:val="none"/>
          <w:lang w:eastAsia="en-US"/>
        </w:rPr>
      </w:r>
      <w:r>
        <w:rPr>
          <w:lang w:eastAsia="en-US"/>
        </w:rPr>
      </w:r>
    </w:p>
    <w:p>
      <w:pPr>
        <w:pStyle w:val="897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3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  <w:r>
        <w:rPr>
          <w:caps w:val="0"/>
          <w:smallCaps w:val="0"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607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9"/>
              <w:jc w:val="left"/>
              <w:widowControl w:val="off"/>
            </w:pPr>
            <w:r/>
            <w:r/>
          </w:p>
          <w:p>
            <w:pPr>
              <w:pStyle w:val="889"/>
              <w:jc w:val="left"/>
              <w:widowControl w:val="off"/>
            </w:pPr>
            <w:r>
              <w:t xml:space="preserve">Федеральное казенное учреждение «Центр по обеспечению деятельности Казначейства России»  (ФКУ «ЦОКР»)</w:t>
            </w:r>
            <w:r/>
          </w:p>
          <w:p>
            <w:pPr>
              <w:pStyle w:val="889"/>
              <w:jc w:val="left"/>
              <w:widowControl w:val="off"/>
            </w:pPr>
            <w:r>
              <w:t xml:space="preserve">Адрес (место нахождения): </w:t>
            </w:r>
            <w:r>
              <w:t xml:space="preserve">109012, г.Москва, Площадь Славянская, д. 4, стр. 1, эт. 4, ком. 2-8, 10, 12-19, 23-28, 109-117, 119-122, </w:t>
            </w:r>
            <w:r>
              <w:t xml:space="preserve">122А</w:t>
            </w:r>
            <w:r/>
          </w:p>
          <w:p>
            <w:pPr>
              <w:pStyle w:val="889"/>
              <w:jc w:val="left"/>
              <w:widowControl w:val="off"/>
            </w:pPr>
            <w:r>
              <w:t xml:space="preserve">Фактический адрес: 103132, г. Москва, Ипатьевский пер., д. 12, стр. 1</w:t>
            </w:r>
            <w:r/>
          </w:p>
          <w:p>
            <w:pPr>
              <w:pStyle w:val="889"/>
              <w:jc w:val="left"/>
              <w:widowControl w:val="off"/>
            </w:pPr>
            <w:r>
              <w:t xml:space="preserve">ИНН 7709895509 / КПП 770901001</w:t>
            </w:r>
            <w:r/>
          </w:p>
          <w:p>
            <w:pPr>
              <w:pStyle w:val="889"/>
              <w:jc w:val="left"/>
              <w:widowControl w:val="off"/>
            </w:pPr>
            <w:r>
              <w:t xml:space="preserve">Адрес и наименование филиала:</w:t>
            </w:r>
            <w:r/>
          </w:p>
          <w:p>
            <w:pPr>
              <w:pStyle w:val="889"/>
              <w:jc w:val="left"/>
              <w:widowControl w:val="off"/>
            </w:pPr>
            <w: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/>
          </w:p>
          <w:p>
            <w:pPr>
              <w:pStyle w:val="889"/>
              <w:jc w:val="left"/>
              <w:widowControl w:val="off"/>
            </w:pPr>
            <w:r>
              <w:t xml:space="preserve">(Межрегиональный филиал ФКУ «ЦОКР» в г. Владимире)</w:t>
            </w:r>
            <w:r/>
          </w:p>
          <w:p>
            <w:pPr>
              <w:pStyle w:val="889"/>
              <w:jc w:val="left"/>
              <w:widowControl w:val="off"/>
            </w:pPr>
            <w:r>
              <w:t xml:space="preserve">600017, Владимирская область,                          г. Владимир, ул. Кирова, д. 7.</w:t>
            </w:r>
            <w:r/>
          </w:p>
          <w:p>
            <w:pPr>
              <w:pStyle w:val="889"/>
              <w:widowControl w:val="off"/>
            </w:pPr>
            <w: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pStyle w:val="889"/>
              <w:widowControl w:val="off"/>
            </w:pPr>
            <w:r>
              <w:t xml:space="preserve">л/с 03281D00040</w:t>
            </w:r>
            <w:r/>
          </w:p>
          <w:p>
            <w:pPr>
              <w:pStyle w:val="889"/>
              <w:widowControl w:val="off"/>
            </w:pPr>
            <w:r>
              <w:t xml:space="preserve">ИНН 7709895509 / КПП 332843001</w:t>
            </w:r>
            <w:r/>
          </w:p>
          <w:p>
            <w:pPr>
              <w:pStyle w:val="889"/>
              <w:widowControl w:val="off"/>
            </w:pPr>
            <w:r>
              <w:t xml:space="preserve">Номер казначейского счета 03211643000000013236</w:t>
            </w:r>
            <w:r/>
          </w:p>
          <w:p>
            <w:pPr>
              <w:pStyle w:val="889"/>
              <w:widowControl w:val="off"/>
            </w:pPr>
            <w:r>
              <w:t xml:space="preserve">Номер банковского счета, входящего в состав ЕКС: 40102810745370000024</w:t>
            </w:r>
            <w:r/>
          </w:p>
          <w:p>
            <w:pPr>
              <w:pStyle w:val="889"/>
              <w:widowControl w:val="off"/>
            </w:pPr>
            <w:r>
              <w:t xml:space="preserve">БИК: 012202102</w:t>
            </w:r>
            <w:r/>
          </w:p>
          <w:p>
            <w:pPr>
              <w:pStyle w:val="889"/>
              <w:widowControl w:val="off"/>
            </w:pPr>
            <w:r>
              <w:t xml:space="preserve">Наименование Банка – </w:t>
            </w:r>
            <w:r>
              <w:t xml:space="preserve">ОКЦ № 1 ВВГУ Банка России//УФК по Нижегородской области, г. Нижний Новгород</w:t>
            </w:r>
            <w:r/>
          </w:p>
          <w:p>
            <w:pPr>
              <w:pStyle w:val="889"/>
              <w:widowControl w:val="off"/>
            </w:pPr>
            <w:r>
              <w:t xml:space="preserve">Тел.</w:t>
            </w:r>
            <w:r>
              <w:t xml:space="preserve"> (4922) 771646</w:t>
            </w:r>
            <w:r/>
          </w:p>
          <w:p>
            <w:pPr>
              <w:pStyle w:val="889"/>
              <w:widowControl w:val="off"/>
            </w:pPr>
            <w:r>
              <w:t xml:space="preserve">эл. почта: </w:t>
            </w:r>
            <w:r>
              <w:t xml:space="preserve">cokr_vladimir@roskazna.ru</w:t>
            </w:r>
            <w:r/>
          </w:p>
          <w:p>
            <w:pPr>
              <w:pStyle w:val="889"/>
              <w:widowControl w:val="off"/>
            </w:pPr>
            <w:r>
              <w:t xml:space="preserve">Код по ОКТМО 17701000</w:t>
            </w:r>
            <w:r/>
          </w:p>
          <w:p>
            <w:pPr>
              <w:pStyle w:val="889"/>
              <w:widowControl w:val="off"/>
            </w:pPr>
            <w:r>
              <w:t xml:space="preserve">Код по ОКПО 32915652</w:t>
            </w:r>
            <w:r/>
          </w:p>
          <w:p>
            <w:pPr>
              <w:pStyle w:val="889"/>
              <w:jc w:val="left"/>
              <w:widowControl w:val="off"/>
            </w:pPr>
            <w:r/>
            <w:r/>
          </w:p>
          <w:p>
            <w:pPr>
              <w:pStyle w:val="889"/>
              <w:widowControl w:val="off"/>
            </w:pPr>
            <w:r>
              <w:t xml:space="preserve">______________________ </w:t>
            </w:r>
            <w:r>
              <w:t xml:space="preserve">С.С. Курпаяниди</w:t>
            </w:r>
            <w:r/>
          </w:p>
          <w:p>
            <w:pPr>
              <w:pStyle w:val="889"/>
              <w:widowControl w:val="off"/>
            </w:pPr>
            <w:r/>
            <w:r/>
          </w:p>
          <w:p>
            <w:pPr>
              <w:pStyle w:val="889"/>
              <w:widowControl w:val="off"/>
            </w:pPr>
            <w:r/>
            <w:r/>
          </w:p>
          <w:p>
            <w:pPr>
              <w:pStyle w:val="889"/>
              <w:widowControl w:val="off"/>
            </w:pPr>
            <w:r/>
            <w:r/>
          </w:p>
          <w:p>
            <w:pPr>
              <w:pStyle w:val="889"/>
              <w:widowControl w:val="off"/>
            </w:pPr>
            <w:r/>
            <w:r/>
          </w:p>
          <w:p>
            <w:pPr>
              <w:pStyle w:val="889"/>
              <w:widowControl w:val="off"/>
            </w:pPr>
            <w:r/>
            <w:r/>
          </w:p>
          <w:p>
            <w:pPr>
              <w:pStyle w:val="889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889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889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  <w:jc w:val="center"/>
              <w:widowControl w:val="off"/>
            </w:pPr>
            <w:r/>
            <w:r/>
          </w:p>
          <w:p>
            <w:pPr>
              <w:pStyle w:val="889"/>
            </w:pPr>
            <w:r/>
            <w:r/>
          </w:p>
          <w:p>
            <w:pPr>
              <w:pStyle w:val="889"/>
            </w:pPr>
            <w:r/>
            <w:r/>
          </w:p>
          <w:p>
            <w:pPr>
              <w:pStyle w:val="889"/>
            </w:pPr>
            <w:r/>
            <w:r/>
          </w:p>
          <w:p>
            <w:pPr>
              <w:pStyle w:val="889"/>
            </w:pPr>
            <w:r/>
            <w:r/>
          </w:p>
          <w:p>
            <w:pPr>
              <w:pStyle w:val="889"/>
            </w:pPr>
            <w:r/>
            <w:r/>
          </w:p>
          <w:p>
            <w:pPr>
              <w:pStyle w:val="889"/>
            </w:pPr>
            <w:r/>
            <w:r/>
          </w:p>
          <w:p>
            <w:pPr>
              <w:pStyle w:val="889"/>
              <w:tabs>
                <w:tab w:val="left" w:pos="3070" w:leader="none"/>
              </w:tabs>
            </w:pPr>
            <w:r/>
            <w:r/>
          </w:p>
          <w:p>
            <w:pPr>
              <w:pStyle w:val="889"/>
              <w:tabs>
                <w:tab w:val="left" w:pos="3070" w:leader="none"/>
              </w:tabs>
            </w:pPr>
            <w:r/>
            <w:r/>
          </w:p>
          <w:p>
            <w:pPr>
              <w:pStyle w:val="889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>
        <w:t xml:space="preserve">Приложение № 1</w:t>
      </w:r>
      <w:r/>
    </w:p>
    <w:p>
      <w:pPr>
        <w:pStyle w:val="889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____________</w:t>
      </w:r>
      <w:r/>
    </w:p>
    <w:p>
      <w:pPr>
        <w:pStyle w:val="889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  <w:r>
        <w:rPr>
          <w:rFonts w:eastAsia="Calibri"/>
          <w:b/>
          <w:sz w:val="26"/>
          <w:szCs w:val="26"/>
        </w:rPr>
      </w:r>
      <w:r>
        <w:rPr>
          <w:rFonts w:eastAsia="Calibri"/>
          <w:b/>
          <w:sz w:val="26"/>
          <w:szCs w:val="26"/>
        </w:rPr>
      </w:r>
    </w:p>
    <w:p>
      <w:pPr>
        <w:pStyle w:val="889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Описание объекта закупки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9"/>
        <w:jc w:val="center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9"/>
        <w:ind w:firstLine="720"/>
        <w:rPr>
          <w:rFonts w:eastAsia="Calibri"/>
        </w:rPr>
      </w:pPr>
      <w:r>
        <w:rPr>
          <w:rFonts w:eastAsia="Calibri"/>
          <w:b/>
        </w:rPr>
        <w:t xml:space="preserve">1. Наименование объекта закупки (предмет государственного контракта):</w:t>
      </w: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709"/>
        <w:rPr>
          <w:rFonts w:eastAsia="Calibri"/>
        </w:rPr>
      </w:pPr>
      <w:r>
        <w:rPr>
          <w:rFonts w:eastAsia="Calibri"/>
        </w:rPr>
        <w:t xml:space="preserve">Оказание услуг по проведению поверки приборов контроля для обеспечения нужд Управления Федерального казначейства по Ивановской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709"/>
        <w:tabs>
          <w:tab w:val="left" w:pos="7100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709"/>
        <w:rPr>
          <w:rFonts w:eastAsia="Calibri"/>
          <w:b/>
        </w:rPr>
      </w:pPr>
      <w:r>
        <w:rPr>
          <w:rFonts w:eastAsia="Calibri"/>
          <w:b/>
        </w:rPr>
        <w:t xml:space="preserve">2. Описание объекта закупки: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9"/>
        <w:ind w:left="1070"/>
        <w:jc w:val="left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Объём оказываемой услуги – 1.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left="1070"/>
        <w:jc w:val="left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Единица измерения – единица.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left="1070"/>
        <w:jc w:val="left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ОКПД 2: 71.12.40.120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left="1070"/>
        <w:jc w:val="left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709"/>
        <w:rPr>
          <w:rFonts w:eastAsia="Calibri"/>
          <w:b/>
        </w:rPr>
      </w:pPr>
      <w:r>
        <w:rPr>
          <w:rFonts w:eastAsia="Calibri"/>
          <w:b/>
        </w:rPr>
        <w:t xml:space="preserve">Функциональные, технические и качественные характеристики, эксплуатационные характеристики объекта закупки.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9"/>
        <w:ind w:firstLine="709"/>
        <w:tabs>
          <w:tab w:val="left" w:pos="7100" w:leader="none"/>
        </w:tabs>
        <w:rPr>
          <w:rFonts w:eastAsia="Calibri"/>
        </w:rPr>
      </w:pPr>
      <w:r>
        <w:rPr>
          <w:rFonts w:eastAsia="Calibri"/>
        </w:rPr>
        <w:t xml:space="preserve">Оказание услуг по проведению поверки приборов контроля для обеспечения нужд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Получателя</w:t>
      </w:r>
      <w:r>
        <w:rPr>
          <w:rFonts w:eastAsia="Calibri"/>
        </w:rPr>
        <w:t xml:space="preserve"> включает в себя: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right="-31"/>
        <w:jc w:val="center"/>
        <w:spacing w:after="60"/>
        <w:shd w:val="clear" w:color="auto" w:fill="ffff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right="-31"/>
        <w:jc w:val="center"/>
        <w:spacing w:after="60"/>
        <w:shd w:val="clear" w:color="auto" w:fill="ffffff"/>
        <w:rPr>
          <w:rFonts w:eastAsia="Calibri" w:cs="Courier New"/>
        </w:rPr>
      </w:pPr>
      <w:r>
        <w:rPr>
          <w:rFonts w:eastAsia="Calibri" w:cs="Courier New"/>
        </w:rPr>
        <w:t xml:space="preserve">Перечень поверяемого оборудования:</w:t>
      </w:r>
      <w:r>
        <w:rPr>
          <w:rFonts w:eastAsia="Calibri" w:cs="Courier New"/>
        </w:rPr>
      </w:r>
      <w:r>
        <w:rPr>
          <w:rFonts w:eastAsia="Calibri" w:cs="Courier New"/>
        </w:rPr>
      </w:r>
    </w:p>
    <w:tbl>
      <w:tblPr>
        <w:tblW w:w="10402" w:type="dxa"/>
        <w:jc w:val="center"/>
        <w:tblInd w:w="-37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41"/>
        <w:gridCol w:w="4759"/>
        <w:gridCol w:w="3761"/>
        <w:gridCol w:w="12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№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п.п.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Адрес местонахождения оборудования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3234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Наименование оборудования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1265" w:type="dxa"/>
            <w:vAlign w:val="top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Кол-во, шт.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gridSpan w:val="4"/>
            <w:tcW w:w="10402" w:type="dxa"/>
            <w:vAlign w:val="center"/>
            <w:textDirection w:val="lrTb"/>
            <w:noWrap w:val="false"/>
          </w:tcPr>
          <w:tbl>
            <w:tblPr>
              <w:tblW w:w="10402" w:type="dxa"/>
              <w:jc w:val="center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</w:tblPrEx>
              <w:trPr>
                <w:gridAfter w:val="3"/>
                <w:trHeight w:val="227"/>
              </w:trPr>
              <w:tc>
                <w:tcPr>
                  <w:tcW w:w="10402" w:type="dxa"/>
                  <w:vAlign w:val="center"/>
                  <w:textDirection w:val="lrTb"/>
                  <w:noWrap w:val="false"/>
                </w:tcPr>
                <w:p>
                  <w:pPr>
                    <w:pStyle w:val="889"/>
                    <w:ind w:left="-57" w:right="-57"/>
                    <w:jc w:val="center"/>
                    <w:rPr>
                      <w:rFonts w:eastAsia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Группа учета измерительной техники</w:t>
                  </w:r>
                  <w:r>
                    <w:rPr>
                      <w:rFonts w:eastAsia="Calibri"/>
                      <w:b/>
                      <w:bCs/>
                    </w:rPr>
                  </w:r>
                  <w:r>
                    <w:rPr>
                      <w:rFonts w:eastAsia="Calibri"/>
                      <w:b/>
                      <w:bCs/>
                    </w:rPr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</w:tblPrEx>
              <w:trPr>
                <w:trHeight w:val="617"/>
              </w:trPr>
              <w:tc>
                <w:tcPr>
                  <w:tcBorders>
                    <w:bottom w:val="single" w:color="000000" w:sz="4" w:space="0"/>
                  </w:tcBorders>
                  <w:tcW w:w="670" w:type="dxa"/>
                  <w:vAlign w:val="center"/>
                  <w:textDirection w:val="lrTb"/>
                  <w:noWrap w:val="false"/>
                </w:tcPr>
                <w:p>
                  <w:pPr>
                    <w:pStyle w:val="889"/>
                    <w:ind w:left="-57" w:right="-57"/>
                    <w:jc w:val="center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1</w:t>
                  </w:r>
                  <w:r>
                    <w:rPr>
                      <w:rFonts w:eastAsia="Calibri"/>
                      <w:bCs/>
                    </w:rPr>
                  </w:r>
                  <w:r>
                    <w:rPr>
                      <w:rFonts w:eastAsia="Calibri"/>
                      <w:bCs/>
                    </w:rPr>
                  </w:r>
                </w:p>
              </w:tc>
              <w:tc>
                <w:tcPr>
                  <w:tcBorders>
                    <w:bottom w:val="single" w:color="000000" w:sz="4" w:space="0"/>
                  </w:tcBorders>
                  <w:tcW w:w="4816" w:type="dxa"/>
                  <w:vAlign w:val="center"/>
                  <w:textDirection w:val="lrTb"/>
                  <w:noWrap w:val="false"/>
                </w:tcPr>
                <w:p>
                  <w:pPr>
                    <w:pStyle w:val="889"/>
                    <w:ind w:left="-57" w:right="-57"/>
                    <w:jc w:val="left"/>
                    <w:widowControl w:val="off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 xml:space="preserve">Ивановская область, г. Иваново, пр. Строителей, д. 21</w:t>
                  </w:r>
                  <w:r>
                    <w:rPr>
                      <w:rFonts w:eastAsia="Calibri"/>
                      <w:bCs/>
                    </w:rPr>
                  </w:r>
                  <w:r>
                    <w:rPr>
                      <w:rFonts w:eastAsia="Calibri"/>
                      <w:bCs/>
                    </w:rPr>
                  </w:r>
                </w:p>
              </w:tc>
              <w:tc>
                <w:tcPr>
                  <w:tcW w:w="3827" w:type="dxa"/>
                  <w:vAlign w:val="center"/>
                  <w:textDirection w:val="lrTb"/>
                  <w:noWrap w:val="false"/>
                </w:tcPr>
                <w:p>
                  <w:pPr>
                    <w:pStyle w:val="889"/>
                    <w:ind w:left="-57" w:right="-57"/>
                    <w:jc w:val="left"/>
                    <w:shd w:val="clear" w:color="auto" w:fill="ffffff"/>
                    <w:widowControl w:val="off"/>
                    <w:rPr>
                      <w:spacing w:val="8"/>
                    </w:rPr>
                  </w:pPr>
                  <w:r>
                    <w:rPr>
                      <w:spacing w:val="8"/>
                    </w:rPr>
                    <w:t xml:space="preserve">Курвиметр </w:t>
                  </w:r>
                  <w:r>
                    <w:rPr>
                      <w:spacing w:val="8"/>
                      <w:lang w:val="en-US"/>
                    </w:rPr>
                    <w:t xml:space="preserve">Bosch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spacing w:val="8"/>
                      <w:lang w:val="en-US"/>
                    </w:rPr>
                    <w:t xml:space="preserve">GWM</w:t>
                  </w:r>
                  <w:r>
                    <w:rPr>
                      <w:spacing w:val="8"/>
                    </w:rPr>
                    <w:t xml:space="preserve">-32 </w:t>
                  </w:r>
                  <w:r>
                    <w:rPr>
                      <w:spacing w:val="8"/>
                      <w:lang w:val="en-US"/>
                    </w:rPr>
                    <w:t xml:space="preserve">Professional</w:t>
                  </w:r>
                  <w:r>
                    <w:rPr>
                      <w:spacing w:val="8"/>
                    </w:rPr>
                  </w:r>
                  <w:r>
                    <w:rPr>
                      <w:spacing w:val="8"/>
                    </w:rPr>
                  </w:r>
                </w:p>
                <w:p>
                  <w:pPr>
                    <w:pStyle w:val="889"/>
                    <w:ind w:left="-57" w:right="-57"/>
                    <w:jc w:val="left"/>
                    <w:shd w:val="clear" w:color="auto" w:fill="ffffff"/>
                    <w:widowControl w:val="off"/>
                    <w:rPr>
                      <w:spacing w:val="8"/>
                    </w:rPr>
                  </w:pPr>
                  <w:r>
                    <w:rPr>
                      <w:spacing w:val="8"/>
                    </w:rPr>
                  </w:r>
                  <w:r>
                    <w:rPr>
                      <w:spacing w:val="8"/>
                    </w:rPr>
                  </w:r>
                  <w:r>
                    <w:rPr>
                      <w:spacing w:val="8"/>
                    </w:rPr>
                  </w:r>
                </w:p>
              </w:tc>
              <w:tc>
                <w:tcPr>
                  <w:tcW w:w="1089" w:type="dxa"/>
                  <w:vAlign w:val="center"/>
                  <w:textDirection w:val="lrTb"/>
                  <w:noWrap w:val="false"/>
                </w:tcPr>
                <w:p>
                  <w:pPr>
                    <w:pStyle w:val="889"/>
                    <w:ind w:left="-57" w:right="-57"/>
                    <w:jc w:val="center"/>
                    <w:shd w:val="clear" w:color="auto" w:fill="ffffff"/>
                    <w:widowControl w:val="off"/>
                    <w:rPr>
                      <w:spacing w:val="8"/>
                    </w:rPr>
                  </w:pPr>
                  <w:r>
                    <w:rPr>
                      <w:spacing w:val="8"/>
                    </w:rPr>
                    <w:t xml:space="preserve">1</w:t>
                  </w:r>
                  <w:r>
                    <w:rPr>
                      <w:spacing w:val="8"/>
                    </w:rPr>
                  </w:r>
                  <w:r>
                    <w:rPr>
                      <w:spacing w:val="8"/>
                    </w:rPr>
                  </w:r>
                </w:p>
                <w:p>
                  <w:pPr>
                    <w:pStyle w:val="889"/>
                    <w:ind w:left="-57" w:right="-57"/>
                    <w:jc w:val="left"/>
                    <w:shd w:val="clear" w:color="auto" w:fill="ffffff"/>
                    <w:widowControl w:val="off"/>
                    <w:rPr>
                      <w:spacing w:val="8"/>
                    </w:rPr>
                  </w:pPr>
                  <w:r>
                    <w:rPr>
                      <w:spacing w:val="8"/>
                    </w:rPr>
                  </w:r>
                  <w:r>
                    <w:rPr>
                      <w:spacing w:val="8"/>
                    </w:rPr>
                  </w:r>
                  <w:r>
                    <w:rPr>
                      <w:spacing w:val="8"/>
                    </w:rPr>
                  </w:r>
                </w:p>
              </w:tc>
            </w:tr>
          </w:tbl>
          <w:p>
            <w:pPr>
              <w:pStyle w:val="889"/>
              <w:ind w:left="-57" w:right="-57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Группа учета тепловой энергии</w:t>
            </w:r>
            <w:r>
              <w:rPr>
                <w:rFonts w:eastAsia="Calibri"/>
                <w:b/>
                <w:bCs/>
              </w:rPr>
            </w:r>
            <w:r>
              <w:rPr>
                <w:rFonts w:eastAsia="Calibri"/>
                <w:b/>
                <w:b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7"/>
        </w:trPr>
        <w:tc>
          <w:tcPr>
            <w:tcBorders>
              <w:bottom w:val="single" w:color="000000" w:sz="4" w:space="0"/>
            </w:tcBorders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1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Borders>
              <w:bottom w:val="single" w:color="000000" w:sz="4" w:space="0"/>
            </w:tcBorders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Кинешемский р-н, г. Кинешма, ул. Менделеева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 д. 26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3234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СПТ-941.10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Взлет ЭР-50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2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7"/>
        </w:trPr>
        <w:tc>
          <w:tcPr>
            <w:tcBorders>
              <w:bottom w:val="single" w:color="000000" w:sz="4" w:space="0"/>
            </w:tcBorders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2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Borders>
              <w:bottom w:val="single" w:color="000000" w:sz="4" w:space="0"/>
            </w:tcBorders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Тейковский р-н, г. Тейково, ул. 1-я Комовская,д. 3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3234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ВКТ-7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ПРЭМ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КТС-Б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2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7"/>
        </w:trPr>
        <w:tc>
          <w:tcPr>
            <w:tcBorders>
              <w:bottom w:val="none" w:color="000000" w:sz="4" w:space="0"/>
            </w:tcBorders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3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Borders>
              <w:bottom w:val="none" w:color="000000" w:sz="4" w:space="0"/>
            </w:tcBorders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Пестяковский р-н,  п. Пестяки, ул. Ленина , д. 14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3234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СПТ 941.10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Взлет ЭР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КТСПР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2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2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7"/>
        </w:trPr>
        <w:tc>
          <w:tcPr>
            <w:tcBorders>
              <w:bottom w:val="none" w:color="000000" w:sz="4" w:space="0"/>
            </w:tcBorders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4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Borders>
              <w:bottom w:val="none" w:color="000000" w:sz="4" w:space="0"/>
            </w:tcBorders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Фурмановский р-н, г. Фурманов,ул. Нижний двор, д. 5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3234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ТС </w:t>
            </w:r>
            <w:r>
              <w:rPr>
                <w:spacing w:val="8"/>
                <w:lang w:val="en-US"/>
              </w:rPr>
              <w:t xml:space="preserve">Pt</w:t>
            </w:r>
            <w:r>
              <w:rPr>
                <w:spacing w:val="8"/>
              </w:rPr>
              <w:t xml:space="preserve"> 500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4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г.Иваново, пр. Строителей, д. 21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г. Кинешма, ул. Им. Менделеева, д.26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г. Тейково, ул. 1-я Комовская, д.3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г. Фурманов,ул. Нижний Двор, д. 5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г. Юрьевец, ул. Титова, д.16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г. Родники, мкр. Шагова, д20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3234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Манометр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44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/>
        </w:trPr>
        <w:tc>
          <w:tcPr>
            <w:gridSpan w:val="4"/>
            <w:tcW w:w="10402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b/>
                <w:spacing w:val="8"/>
              </w:rPr>
            </w:pPr>
            <w:r>
              <w:rPr>
                <w:b/>
                <w:spacing w:val="8"/>
              </w:rPr>
              <w:t xml:space="preserve">Группа учета холодной воды</w:t>
            </w:r>
            <w:r>
              <w:rPr>
                <w:b/>
                <w:spacing w:val="8"/>
              </w:rPr>
            </w:r>
            <w:r>
              <w:rPr>
                <w:b/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1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обл, г. Иваново, пр. Строителей, д. 21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3234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Счётчик холодной воды ОСВУ-40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1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2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Юревецкий р-н, г. Юрьевец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3234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Счётчик холодной воды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  <w:p>
            <w:pPr>
              <w:pStyle w:val="889"/>
              <w:ind w:left="-57" w:right="-57"/>
              <w:jc w:val="left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СВК-15-3-2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gridSpan w:val="4"/>
            <w:tcW w:w="10402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shd w:val="clear" w:color="auto" w:fill="ffffff"/>
              <w:widowControl w:val="off"/>
              <w:rPr>
                <w:b/>
                <w:spacing w:val="8"/>
              </w:rPr>
            </w:pPr>
            <w:r>
              <w:rPr>
                <w:b/>
                <w:spacing w:val="8"/>
              </w:rPr>
              <w:t xml:space="preserve">Группа сигнализаторы загазованности</w:t>
            </w:r>
            <w:r>
              <w:rPr>
                <w:b/>
                <w:spacing w:val="8"/>
              </w:rPr>
            </w:r>
            <w:r>
              <w:rPr>
                <w:b/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1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ind w:left="-7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Ивановская область, Родниковский р-н,г.Родники, мкр Шагова,д.20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Сигнализатор оксида углерода </w:t>
            </w:r>
            <w:r>
              <w:rPr>
                <w:rFonts w:eastAsia="Calibri"/>
                <w:color w:val="000000"/>
                <w:lang w:val="en-US"/>
              </w:rPr>
              <w:t xml:space="preserve">RGD</w:t>
            </w:r>
            <w:r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  <w:lang w:val="en-US"/>
              </w:rPr>
              <w:t xml:space="preserve">CO</w:t>
            </w:r>
            <w:r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  <w:lang w:val="en-US"/>
              </w:rPr>
              <w:t xml:space="preserve">MP</w:t>
            </w:r>
            <w:r>
              <w:rPr>
                <w:rFonts w:eastAsia="Calibri"/>
                <w:color w:val="000000"/>
              </w:rPr>
              <w:t xml:space="preserve"> 1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07"/>
        </w:trPr>
        <w:tc>
          <w:tcPr>
            <w:tcBorders>
              <w:bottom w:val="single" w:color="000000" w:sz="4" w:space="0"/>
            </w:tcBorders>
            <w:tcW w:w="670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Borders>
              <w:bottom w:val="single" w:color="000000" w:sz="4" w:space="0"/>
            </w:tcBorders>
            <w:tcW w:w="5233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Сигнализатор загазованности с внешним сенсором метана </w:t>
            </w:r>
            <w:r>
              <w:rPr>
                <w:rFonts w:eastAsia="Calibri"/>
                <w:color w:val="000000"/>
                <w:lang w:val="en-US"/>
              </w:rPr>
              <w:t xml:space="preserve">RGD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  <w:shd w:val="clear" w:color="auto" w:fill="ffffff"/>
                <w:lang w:bidi="ru-RU"/>
              </w:rPr>
            </w:pPr>
            <w:r>
              <w:rPr>
                <w:spacing w:val="8"/>
                <w:shd w:val="clear" w:color="auto" w:fill="ffffff"/>
                <w:lang w:bidi="ru-RU"/>
              </w:rPr>
              <w:t xml:space="preserve">1</w:t>
            </w:r>
            <w:r>
              <w:rPr>
                <w:spacing w:val="8"/>
                <w:shd w:val="clear" w:color="auto" w:fill="ffffff"/>
                <w:lang w:bidi="ru-RU"/>
              </w:rPr>
            </w:r>
            <w:r>
              <w:rPr>
                <w:spacing w:val="8"/>
                <w:shd w:val="clear" w:color="auto" w:fill="ffffff"/>
                <w:lang w:bidi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2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Южский р-н, г. Южа,ул. Дачнвя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д. 11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Сигнализатор оксида углерода </w:t>
            </w:r>
            <w:r>
              <w:rPr>
                <w:rFonts w:eastAsia="Calibri"/>
                <w:color w:val="000000"/>
                <w:lang w:val="en-US"/>
              </w:rPr>
              <w:t xml:space="preserve">RGD</w:t>
            </w:r>
            <w:r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  <w:lang w:val="en-US"/>
              </w:rPr>
              <w:t xml:space="preserve">CO</w:t>
            </w:r>
            <w:r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  <w:lang w:val="en-US"/>
              </w:rPr>
              <w:t xml:space="preserve">MP</w:t>
            </w:r>
            <w:r>
              <w:rPr>
                <w:rFonts w:eastAsia="Calibri"/>
                <w:color w:val="000000"/>
              </w:rPr>
              <w:t xml:space="preserve"> 1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C</w:t>
            </w:r>
            <w:r>
              <w:rPr>
                <w:rFonts w:eastAsia="Calibri"/>
                <w:color w:val="000000"/>
              </w:rPr>
              <w:t xml:space="preserve">игнализатор оксида углерода и горючих газов СТГ-1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vMerge w:val="continue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Сигнализатор загазованности с внешним сенсором метана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  <w:p>
            <w:pPr>
              <w:pStyle w:val="889"/>
              <w:jc w:val="left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RGD</w:t>
            </w:r>
            <w:r>
              <w:rPr>
                <w:rFonts w:eastAsia="Calibri"/>
                <w:color w:val="000000"/>
                <w:lang w:val="en-US"/>
              </w:rPr>
            </w:r>
            <w:r>
              <w:rPr>
                <w:rFonts w:eastAsia="Calibri"/>
                <w:color w:val="000000"/>
                <w:lang w:val="en-US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gridSpan w:val="3"/>
            <w:tcW w:w="9137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right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Группа учета газового топлива                      :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color w:val="000000"/>
                <w:spacing w:val="8"/>
                <w:shd w:val="clear" w:color="auto" w:fill="ffffff"/>
                <w:lang w:bidi="ru-RU"/>
              </w:rPr>
            </w:pPr>
            <w:r>
              <w:rPr>
                <w:color w:val="000000"/>
                <w:spacing w:val="8"/>
                <w:shd w:val="clear" w:color="auto" w:fill="ffffff"/>
                <w:lang w:bidi="ru-RU"/>
              </w:rPr>
            </w:r>
            <w:r>
              <w:rPr>
                <w:color w:val="000000"/>
                <w:spacing w:val="8"/>
                <w:shd w:val="clear" w:color="auto" w:fill="ffffff"/>
                <w:lang w:bidi="ru-RU"/>
              </w:rPr>
            </w:r>
            <w:r>
              <w:rPr>
                <w:color w:val="000000"/>
                <w:spacing w:val="8"/>
                <w:shd w:val="clear" w:color="auto" w:fill="ffffff"/>
                <w:lang w:bidi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1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Родниковский р-н, г. Родники, мкр. Шагова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 д.20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</w:rPr>
              <w:t xml:space="preserve">Счетчик газа ротационный </w:t>
            </w:r>
            <w:r>
              <w:rPr>
                <w:rFonts w:eastAsia="Calibri"/>
                <w:color w:val="000000"/>
                <w:lang w:val="en-US"/>
              </w:rPr>
              <w:t xml:space="preserve">RVG</w:t>
            </w:r>
            <w:r>
              <w:rPr>
                <w:rFonts w:eastAsia="Calibri"/>
                <w:color w:val="000000"/>
                <w:lang w:val="en-US"/>
              </w:rPr>
            </w:r>
            <w:r>
              <w:rPr>
                <w:rFonts w:eastAsia="Calibri"/>
                <w:color w:val="000000"/>
                <w:lang w:val="en-US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2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Родниковский р-н, г. Родники, мкр. Шагова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 д.20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Вычислитель количества газа ВКГ-3Д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3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Родниковский р-н, г. Родники, мкр. Шагова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 д.20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</w:rPr>
              <w:t xml:space="preserve">Датчик давления </w:t>
            </w:r>
            <w:r>
              <w:rPr>
                <w:rFonts w:eastAsia="Calibri"/>
                <w:color w:val="000000"/>
                <w:lang w:val="en-US"/>
              </w:rPr>
              <w:t xml:space="preserve">CZPTZC-1A</w:t>
            </w:r>
            <w:r>
              <w:rPr>
                <w:rFonts w:eastAsia="Calibri"/>
                <w:color w:val="000000"/>
                <w:lang w:val="en-US"/>
              </w:rPr>
            </w:r>
            <w:r>
              <w:rPr>
                <w:rFonts w:eastAsia="Calibri"/>
                <w:color w:val="000000"/>
                <w:lang w:val="en-US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4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Родниковский р-н, г. Родники, мкр. Шагова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 д.20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Блок питания датчиков БПДМ-Ех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5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Родниковский р-н, г. Родники, мкр. Шагова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 д.20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Блок питания датчиков БПДМ-Ех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6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Родниковский р-н, г. Родники, мкр. Шагова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 д.20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Преобразователь давления измерительный АИР-20 Ех/М2-Н ДД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1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tcW w:w="670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7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tcW w:w="5233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left"/>
              <w:widowControl w:val="off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Ивановская область, Родниковский р-н, г. Родники, мкр. Шагова</w:t>
            </w:r>
            <w:r>
              <w:rPr>
                <w:rFonts w:eastAsia="Calibri"/>
                <w:bCs/>
                <w:lang w:val="en-US"/>
              </w:rPr>
              <w:t xml:space="preserve">,</w:t>
            </w:r>
            <w:r>
              <w:rPr>
                <w:rFonts w:eastAsia="Calibri"/>
                <w:bCs/>
              </w:rPr>
              <w:t xml:space="preserve"> д.20</w:t>
            </w:r>
            <w:r>
              <w:rPr>
                <w:rFonts w:eastAsia="Calibri"/>
                <w:bCs/>
              </w:rPr>
            </w:r>
            <w:r>
              <w:rPr>
                <w:rFonts w:eastAsia="Calibri"/>
                <w:bCs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34" w:type="dxa"/>
            <w:vAlign w:val="center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Термометр биметаллический (Метер ТБ-1)</w:t>
            </w: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2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7"/>
        </w:trPr>
        <w:tc>
          <w:tcPr>
            <w:gridSpan w:val="3"/>
            <w:tcW w:w="9137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right"/>
              <w:widowControl w:val="off"/>
              <w:rPr>
                <w:spacing w:val="8"/>
              </w:rPr>
            </w:pPr>
            <w:r>
              <w:rPr>
                <w:spacing w:val="8"/>
              </w:rPr>
              <w:t xml:space="preserve">Итого                   :</w:t>
            </w:r>
            <w:r>
              <w:rPr>
                <w:spacing w:val="8"/>
              </w:rPr>
            </w:r>
            <w:r>
              <w:rPr>
                <w:spacing w:val="8"/>
              </w:rPr>
            </w:r>
          </w:p>
        </w:tc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89"/>
              <w:ind w:left="-57" w:right="-57"/>
              <w:jc w:val="center"/>
              <w:widowControl w:val="off"/>
              <w:rPr>
                <w:color w:val="000000"/>
                <w:spacing w:val="8"/>
                <w:shd w:val="clear" w:color="auto" w:fill="ffffff"/>
                <w:lang w:bidi="ru-RU"/>
              </w:rPr>
            </w:pPr>
            <w:r>
              <w:rPr>
                <w:color w:val="000000"/>
                <w:spacing w:val="8"/>
                <w:shd w:val="clear" w:color="auto" w:fill="ffffff"/>
                <w:lang w:bidi="ru-RU"/>
              </w:rPr>
              <w:t xml:space="preserve">73</w:t>
            </w:r>
            <w:r>
              <w:rPr>
                <w:color w:val="000000"/>
                <w:spacing w:val="8"/>
                <w:shd w:val="clear" w:color="auto" w:fill="ffffff"/>
                <w:lang w:bidi="ru-RU"/>
              </w:rPr>
            </w:r>
            <w:r>
              <w:rPr>
                <w:color w:val="000000"/>
                <w:spacing w:val="8"/>
                <w:shd w:val="clear" w:color="auto" w:fill="ffffff"/>
                <w:lang w:bidi="ru-RU"/>
              </w:rPr>
            </w:r>
          </w:p>
        </w:tc>
      </w:tr>
    </w:tbl>
    <w:p>
      <w:pPr>
        <w:pStyle w:val="889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rPr>
          <w:rFonts w:eastAsia="Calibri"/>
        </w:rPr>
      </w:pPr>
      <w:r>
        <w:rPr>
          <w:rFonts w:eastAsia="Calibri"/>
        </w:rPr>
        <w:t xml:space="preserve">Понятия, используемые в настоящем техническом задании, означают следующее: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  <w:t xml:space="preserve">«поверка средств измерений (далее - поверка)» - совокупность операций, выполняемых в целях подтверждения соответствия средств измерений метрологическим требованиям;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  <w:t xml:space="preserve">«калибровка средств измерений» - совокупность операций, выполняемых в целях определения действительных значений метрологических характеристик средств измерений;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  <w:t xml:space="preserve">«средство измерений» - техническое средство, предназначенное для измерений.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709"/>
        <w:tabs>
          <w:tab w:val="left" w:pos="7100" w:leader="none"/>
        </w:tabs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9"/>
        <w:ind w:firstLine="709"/>
        <w:spacing w:line="276" w:lineRule="auto"/>
        <w:rPr>
          <w:rFonts w:eastAsia="Calibri"/>
        </w:rPr>
      </w:pPr>
      <w:r>
        <w:rPr>
          <w:rFonts w:eastAsia="Calibri"/>
          <w:color w:val="000000"/>
        </w:rPr>
        <w:t xml:space="preserve">Исполнитель своими силами и средствами организует, оказание услуг по поверке </w:t>
      </w:r>
      <w:r>
        <w:rPr>
          <w:rFonts w:eastAsia="Calibri"/>
        </w:rPr>
        <w:t xml:space="preserve">приборов контроля </w:t>
      </w:r>
      <w:r>
        <w:rPr>
          <w:rFonts w:eastAsia="Calibri"/>
          <w:color w:val="000000"/>
        </w:rPr>
        <w:t xml:space="preserve">(далее – средств измерений)</w:t>
      </w:r>
      <w:r>
        <w:rPr>
          <w:rFonts w:eastAsia="Calibri"/>
        </w:rPr>
        <w:t xml:space="preserve">, включая: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left="709"/>
        <w:rPr>
          <w:rFonts w:eastAsia="Calibri"/>
        </w:rPr>
      </w:pPr>
      <w:r>
        <w:rPr>
          <w:rFonts w:eastAsia="Calibri"/>
        </w:rPr>
        <w:t xml:space="preserve">- снятие </w:t>
      </w:r>
      <w:r>
        <w:rPr>
          <w:rFonts w:eastAsia="Calibri"/>
          <w:color w:val="000000"/>
        </w:rPr>
        <w:t xml:space="preserve">средств измерений</w:t>
      </w:r>
      <w:r>
        <w:rPr>
          <w:rFonts w:eastAsia="Calibri"/>
        </w:rPr>
        <w:t xml:space="preserve">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left="851" w:hanging="142"/>
        <w:rPr>
          <w:rFonts w:eastAsia="Calibri"/>
        </w:rPr>
      </w:pPr>
      <w:r>
        <w:rPr>
          <w:rFonts w:eastAsia="Calibri"/>
        </w:rPr>
        <w:t xml:space="preserve">- транспортировка </w:t>
      </w:r>
      <w:r>
        <w:rPr>
          <w:rFonts w:eastAsia="Calibri"/>
          <w:color w:val="000000"/>
        </w:rPr>
        <w:t xml:space="preserve">средств измерений</w:t>
      </w:r>
      <w:r>
        <w:rPr>
          <w:rFonts w:eastAsia="Calibri"/>
        </w:rPr>
        <w:t xml:space="preserve">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left="851" w:right="566" w:hanging="142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- проведение поверки средств измерений (поверку средств измере</w:t>
      </w:r>
      <w:r>
        <w:rPr>
          <w:rFonts w:eastAsia="Calibri"/>
          <w:color w:val="000000"/>
        </w:rPr>
        <w:t xml:space="preserve">ний осуществляет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предприниматели) с выдачей свидетельства;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left="709"/>
        <w:rPr>
          <w:rFonts w:eastAsia="Calibri"/>
        </w:rPr>
      </w:pPr>
      <w:r>
        <w:rPr>
          <w:rFonts w:eastAsia="Calibri"/>
        </w:rPr>
        <w:t xml:space="preserve">- установка </w:t>
      </w:r>
      <w:r>
        <w:rPr>
          <w:rFonts w:eastAsia="Calibri"/>
          <w:color w:val="000000"/>
        </w:rPr>
        <w:t xml:space="preserve">средств измерений</w:t>
      </w:r>
      <w:r>
        <w:rPr>
          <w:rFonts w:eastAsia="Calibri"/>
        </w:rPr>
        <w:t xml:space="preserve">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left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- проверка функционирования инженерной системы после установки средств измерений;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left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- проведение опломбирования средств измерений.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spacing w:line="276" w:lineRule="auto"/>
        <w:rPr>
          <w:rFonts w:eastAsia="Calibri"/>
        </w:rPr>
      </w:pPr>
      <w:r>
        <w:rPr>
          <w:rFonts w:eastAsia="Calibri"/>
        </w:rPr>
        <w:t xml:space="preserve">Транспортировка </w:t>
      </w:r>
      <w:r>
        <w:rPr>
          <w:rFonts w:eastAsia="Calibri"/>
          <w:color w:val="000000"/>
        </w:rPr>
        <w:t xml:space="preserve">средств измерений</w:t>
      </w:r>
      <w:r>
        <w:rPr>
          <w:rFonts w:eastAsia="Calibri"/>
        </w:rPr>
        <w:t xml:space="preserve"> до места проведения поверки </w:t>
      </w:r>
      <w:r>
        <w:rPr>
          <w:rFonts w:eastAsia="Calibri"/>
          <w:color w:val="000000"/>
        </w:rPr>
        <w:t xml:space="preserve">средств измерений</w:t>
      </w:r>
      <w:r>
        <w:rPr>
          <w:rFonts w:eastAsia="Calibri"/>
        </w:rPr>
        <w:t xml:space="preserve">, а также доставка обратно, к месту установки, должна быть организована силами Исполнителя и за его счет.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708"/>
        <w:spacing w:line="276" w:lineRule="auto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Услуги по проведению поверки средств измерений должны быть оказаны без нарушения рабочего режима Получателя.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Услуга по организации проведения поверки средств измерений должна быть оказана качественно, гарантировать безаварийную эксплуатацию средств измерений в период между поверками.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Результатом повер</w:t>
      </w:r>
      <w:r>
        <w:rPr>
          <w:rFonts w:eastAsia="Calibri"/>
          <w:color w:val="000000"/>
        </w:rPr>
        <w:t xml:space="preserve">ки средств измерений является подтверждение пригодности средств измерений к применению или признание средств измерений непригодными к применению. Результаты поверки средств измерений оформляются как свидетельство о поверке, так и извещение о непригодности.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Учитывая установленный контрольно-пропускной режим объекта, Исполнитель в течение 2 (двух) рабочих дней после заключения государственного контракта предоставляет Получателю список сотрудников, привлекаемых к исполнению контрак</w:t>
      </w:r>
      <w:r>
        <w:rPr>
          <w:rFonts w:eastAsia="Calibri"/>
          <w:color w:val="000000"/>
        </w:rPr>
        <w:t xml:space="preserve">та, с указанием фамилии, имени, отчества, паспортных данных, гражданства, должности (профессии), номера и даты заключенного трудового договора (договора гражданско-правового характера) и (или) договора субподряда, вида оказываемых услуг каждым сотрудником </w:t>
      </w:r>
      <w:r>
        <w:rPr>
          <w:rFonts w:eastAsia="Calibri"/>
          <w:color w:val="000000"/>
        </w:rPr>
        <w:t xml:space="preserve">по форме согласно приложению № 3</w:t>
      </w:r>
      <w:r>
        <w:rPr>
          <w:rFonts w:eastAsia="Calibri"/>
          <w:color w:val="000000"/>
        </w:rPr>
        <w:t xml:space="preserve"> к настоящему </w:t>
      </w:r>
      <w:r>
        <w:rPr>
          <w:rFonts w:eastAsia="Calibri"/>
          <w:color w:val="000000"/>
        </w:rPr>
        <w:t xml:space="preserve">контракту</w:t>
      </w:r>
      <w:r>
        <w:rPr>
          <w:rFonts w:eastAsia="Calibri"/>
          <w:color w:val="000000"/>
        </w:rPr>
        <w:t xml:space="preserve">, а также контактную информацию и список транспортных средств, имеющих право доступа на территорию Получателя, для оформления пропусков.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Оказание услуг должно осуществляться гражданами Российской Федерации и/или иностранными гражданами, имеющими право на трудовую деятельность на территории Российской Федерации и получившими специальное разрешение, предусмотренное п. 1 с</w:t>
      </w:r>
      <w:r>
        <w:rPr>
          <w:rFonts w:eastAsia="Calibri"/>
          <w:color w:val="000000"/>
        </w:rPr>
        <w:t xml:space="preserve">т. 11 Федерального закона от 25 июля 2002 г. № 115-ФЗ «О правовом положении иностранных граждан в Российской Федерации» и постановлением Правительства Российской Федерации от 11 октября 2002 г. № 754 «Об утверждении перечня территорий, организаций и объект</w:t>
      </w:r>
      <w:r>
        <w:rPr>
          <w:rFonts w:eastAsia="Calibri"/>
          <w:color w:val="000000"/>
        </w:rPr>
        <w:t xml:space="preserve">ов, для въезда на которые иностранным гражданам требуется специальное разрешение» (для въезда на объекты, на которых размещаются органы государственной власти, осуществляющие работы, связанные с использованием сведений, составляющих государственную тайну);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Исполнитель перед оказанием усл</w:t>
      </w:r>
      <w:r>
        <w:rPr>
          <w:rFonts w:eastAsia="Calibri"/>
          <w:color w:val="000000"/>
        </w:rPr>
        <w:t xml:space="preserve">уг и в процессе оказания услуг обязан предъявлять Заказчику необходимую информацию и наличие требуемых законодательством документов, указанных в Ведомости учёта мероприятий по осуществлению контроля за безопасным исполнением обязательств по контракту предс</w:t>
      </w:r>
      <w:r>
        <w:rPr>
          <w:rFonts w:eastAsia="Calibri"/>
          <w:color w:val="000000"/>
        </w:rPr>
        <w:t xml:space="preserve">тавленную в приложении № 4</w:t>
      </w:r>
      <w:r>
        <w:rPr>
          <w:rFonts w:eastAsia="Calibri"/>
          <w:color w:val="000000"/>
        </w:rPr>
        <w:t xml:space="preserve"> к настоящему </w:t>
      </w:r>
      <w:r>
        <w:rPr>
          <w:rFonts w:eastAsia="Calibri"/>
          <w:color w:val="000000"/>
        </w:rPr>
        <w:t xml:space="preserve">контракту</w:t>
      </w:r>
      <w:r>
        <w:rPr>
          <w:rFonts w:eastAsia="Calibri"/>
          <w:color w:val="000000"/>
        </w:rPr>
        <w:t xml:space="preserve">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Заказчик вп</w:t>
      </w:r>
      <w:r>
        <w:rPr>
          <w:rFonts w:eastAsia="Calibri"/>
          <w:color w:val="000000"/>
        </w:rPr>
        <w:t xml:space="preserve">раве не допускать Исполнителя к оказанию услуг или приостанавливать оказание услуг в случае выявления косвенной или прямой угрозы жизни или здоровья людей либо угрозы возникновения аварии или материального ущерба, а также в случае не предоставления информа</w:t>
      </w:r>
      <w:r>
        <w:rPr>
          <w:rFonts w:eastAsia="Calibri"/>
          <w:color w:val="000000"/>
        </w:rPr>
        <w:t xml:space="preserve">ции, указанной в приложениях № 3 и № 4</w:t>
      </w:r>
      <w:r>
        <w:rPr>
          <w:rFonts w:eastAsia="Calibri"/>
          <w:color w:val="000000"/>
        </w:rPr>
        <w:t xml:space="preserve"> к настоящему </w:t>
      </w:r>
      <w:r>
        <w:rPr>
          <w:rFonts w:eastAsia="Calibri"/>
          <w:color w:val="000000"/>
        </w:rPr>
        <w:t xml:space="preserve">контракту</w:t>
      </w:r>
      <w:r>
        <w:rPr>
          <w:rFonts w:eastAsia="Calibri"/>
          <w:color w:val="000000"/>
        </w:rPr>
        <w:t xml:space="preserve">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 оказанию услуг на объекте допускаются сотрудники Исполнителя, прошедшие инструктаж по охране труда. Для проведения инструктажа по охране труда с работниками Исполнителя, оказывающими услуги на выделенном участке и оформления записей в журнале регистрации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Исполнител</w:t>
      </w:r>
      <w:r>
        <w:rPr>
          <w:rFonts w:eastAsia="Calibri"/>
          <w:color w:val="000000"/>
        </w:rPr>
        <w:t xml:space="preserve">ь 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Заказчика/Получателя, а также предусмотренных действующим законодательством Российской Федерации.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Исполнитель, при обнаружении угрозы жизни и здоровью людей, а также имуществу За</w:t>
      </w:r>
      <w:r>
        <w:rPr>
          <w:rFonts w:eastAsia="Calibri"/>
          <w:color w:val="000000"/>
        </w:rPr>
        <w:t xml:space="preserve">казчика/Получателя или иных обстоятельств, указывающих на возможное наступление неблагоприятных последствий, либо фактического наступления данных обстоятельств, обязан незамедлительно приостановить оказание услуг и известить об этом Заказчика и Получателя.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Продолжить оказание услуг Исполнитель имеет право только после устранения всех обстоятельств,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9"/>
        <w:spacing w:line="260" w:lineRule="exact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Исполнитель производит уборку рабочего места, вывоз мусора, образовавшегося в ходе оказания услуг. Ущерб, причинённый в процессе оказания услуг объектам, расположенным в зоне оказания услуг и на прилегающей территории, Исполнитель устраняет за свой счёт.</w:t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pPr>
        <w:pStyle w:val="889"/>
        <w:ind w:firstLine="708"/>
        <w:spacing w:line="276" w:lineRule="auto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9"/>
        <w:ind w:firstLine="708"/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Технология, качество и безопасность оказания услуг должны удовлетворять требованиям: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89"/>
        <w:ind w:firstLine="708"/>
        <w:rPr>
          <w:rFonts w:eastAsia="Calibri"/>
        </w:rPr>
      </w:pPr>
      <w:r>
        <w:rPr>
          <w:rFonts w:eastAsia="Calibri"/>
        </w:rPr>
        <w:t xml:space="preserve">- Федеральный закон от 26.06.2008 №102-ФЗ «Об обеспечении единства измерений»;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  <w:t xml:space="preserve">- Постановление Правительства РФ от 16.09.2020 № 1479 «Об утверждении Правил противопожарного режима в Российской Федерации»;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  <w:t xml:space="preserve">- Приказа Минтруда России от 17.12.2020 № 924н «Об утверждении Правил по охране труда при эксплуатации объектов теплоснабжения и теплопотребляющих установок»;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  <w:t xml:space="preserve">- ГОСТ 12.0.230-2007 «Межгосударственный стандарт. Система стандартов безопасности труда. Системы управления охраной труда. Общие требования»;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  <w:t xml:space="preserve">- 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0" w:firstLine="567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- Приказа Минтруда России от 29.10.2021 N 776н «Об утверждении Примерного положения о системе управления охраной труда»;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  <w:t xml:space="preserve">- </w:t>
      </w:r>
      <w:r>
        <w:rPr>
          <w:rFonts w:eastAsia="Calibri"/>
        </w:rPr>
        <w:t xml:space="preserve">нормативных документов, регулирующих вопросы качества и безопасности для данного вида услуг в соответствии с инструкциями заводов-изготовителей обслуживаемого оборудования Получателя, в том числе с соблюдением в полном объеме требований правил противопожар</w:t>
      </w:r>
      <w:r>
        <w:rPr>
          <w:rFonts w:eastAsia="Calibri"/>
        </w:rPr>
        <w:t xml:space="preserve">ной и промышленной безопасности, нормативных актов по охране труда, а также с соблюдением экологических, санитарных, санитарно-гигиенических норм и других требований, установленные законодательством РФ в области охраны окружающей среды и здоровья человека.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89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9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89"/>
              <w:widowControl w:val="off"/>
            </w:pPr>
            <w:r>
              <w:t xml:space="preserve">    </w:t>
            </w:r>
            <w:r>
              <w:t xml:space="preserve">__________________</w:t>
            </w:r>
            <w:r>
              <w:t xml:space="preserve"> </w:t>
            </w:r>
            <w:r>
              <w:t xml:space="preserve"> С.С. Курпаяниди</w:t>
            </w:r>
            <w:r/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pStyle w:val="889"/>
        <w:jc w:val="right"/>
        <w:widowControl w:val="off"/>
      </w:pPr>
      <w:r/>
      <w:r/>
    </w:p>
    <w:p>
      <w:pPr>
        <w:pStyle w:val="889"/>
        <w:jc w:val="right"/>
        <w:widowControl w:val="off"/>
      </w:pPr>
      <w:r>
        <w:t xml:space="preserve">Приложение № 2</w:t>
      </w:r>
      <w:r/>
    </w:p>
    <w:p>
      <w:pPr>
        <w:pStyle w:val="889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____________</w:t>
      </w:r>
      <w:r/>
    </w:p>
    <w:p>
      <w:pPr>
        <w:pStyle w:val="889"/>
        <w:tabs>
          <w:tab w:val="left" w:pos="8407" w:leader="none"/>
        </w:tabs>
      </w:pPr>
      <w:r/>
      <w:r/>
    </w:p>
    <w:p>
      <w:pPr>
        <w:pStyle w:val="889"/>
        <w:tabs>
          <w:tab w:val="left" w:pos="8407" w:leader="none"/>
        </w:tabs>
      </w:pPr>
      <w:r/>
      <w:r/>
    </w:p>
    <w:p>
      <w:pPr>
        <w:pStyle w:val="889"/>
        <w:ind w:firstLine="142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И</w:t>
      </w:r>
      <w:r>
        <w:rPr>
          <w:rFonts w:eastAsia="Calibri"/>
          <w:lang w:eastAsia="en-US"/>
        </w:rPr>
        <w:t xml:space="preserve">сполнитель: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tbl>
      <w:tblPr>
        <w:tblW w:w="960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Банк исполнителя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БИК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233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ИНН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763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КПП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р/сч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исполнителя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кор/сч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W w:w="9603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Адрес: </w:t>
            </w: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</w:tbl>
    <w:p>
      <w:pPr>
        <w:pStyle w:val="889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ind w:firstLine="284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Заказчик: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tbl>
      <w:tblPr>
        <w:tblW w:w="9596" w:type="dxa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0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ОКЦ № 1 ВВГУ Банка России//УФК по Нижегородской области, г. Нижний Новгород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БИК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012202102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restart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ИНН 7709895509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dxa"/>
            <w:vAlign w:val="top"/>
            <w:vMerge w:val="restart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КПП 332843001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9"/>
              <w:jc w:val="left"/>
            </w:pPr>
            <w:r>
              <w:t xml:space="preserve">Номер казначейского счета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03211643000000013236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continue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auto"/>
            <w:vAlign w:val="top"/>
            <w:vMerge w:val="continue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9"/>
              <w:jc w:val="left"/>
            </w:pPr>
            <w:r>
              <w:t xml:space="preserve">Номер банковского счета, входящего в состав ЕКС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40102810745370000024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л/сч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03281D00040 в Управлении Федерального казначейства по Владимирской области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8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Адрес: 600017, Владимирская область, г. Владимир, ул. Кирова, д. 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889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АКТ ПЕРЕДАЧИ (</w:t>
      </w:r>
      <w:r>
        <w:rPr>
          <w:rFonts w:eastAsia="Calibri"/>
          <w:lang w:eastAsia="en-US"/>
        </w:rPr>
        <w:t xml:space="preserve">СДАЧИ) ОКАЗАННЫХ</w:t>
      </w:r>
      <w:r>
        <w:rPr>
          <w:rFonts w:eastAsia="Calibri"/>
          <w:lang w:eastAsia="en-US"/>
        </w:rPr>
        <w:t xml:space="preserve"> УСЛУГ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№______от «_____»________20__г.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 государственному контракту от «_________» №_____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ind w:left="284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Исполнитель ____________________________________________ в лице ______________________________________ (должность, Ф.И.О.) действующего на основании </w:t>
      </w:r>
      <w:r>
        <w:rPr>
          <w:rFonts w:eastAsia="Calibri"/>
          <w:lang w:eastAsia="en-US"/>
        </w:rPr>
        <w:t xml:space="preserve">____________________ </w:t>
      </w:r>
      <w:r>
        <w:rPr>
          <w:rFonts w:eastAsia="Calibri"/>
          <w:lang w:eastAsia="en-US"/>
        </w:rPr>
        <w:t xml:space="preserve">составил настоящий акт о том, что Исполнитель сдал следующие оказанные услуги: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tbl>
      <w:tblPr>
        <w:tblW w:w="0" w:type="auto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ind w:right="-11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п/п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оказанных услуг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Ед. изм.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Объем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Цена (руб.)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 (руб.)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Итого: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6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 НДС (%):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889"/>
        <w:ind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ind w:firstLine="709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Все услуги, указанные в настоящем </w:t>
      </w:r>
      <w:r>
        <w:rPr>
          <w:rFonts w:eastAsia="Calibri"/>
          <w:lang w:eastAsia="en-US"/>
        </w:rPr>
        <w:t xml:space="preserve">акте, оказаны.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ind w:firstLine="284"/>
      </w:pPr>
      <w:r>
        <w:t xml:space="preserve">Исполнитель          </w:t>
      </w:r>
      <w:r>
        <w:t xml:space="preserve">   </w:t>
      </w:r>
      <w:r>
        <w:t xml:space="preserve">  _______________    _________   ______________________</w:t>
      </w:r>
      <w:r/>
    </w:p>
    <w:p>
      <w:pPr>
        <w:pStyle w:val="889"/>
        <w:ind w:left="426"/>
      </w:pPr>
      <w:r>
        <w:t xml:space="preserve">   М.П.                   </w:t>
      </w:r>
      <w:r>
        <w:t xml:space="preserve">           </w:t>
      </w:r>
      <w:r>
        <w:t xml:space="preserve">(должность)        (подпись)      (расшифровка подписи)</w:t>
      </w:r>
      <w:r/>
    </w:p>
    <w:p>
      <w:pPr>
        <w:pStyle w:val="889"/>
      </w:pPr>
      <w:r>
        <w:t xml:space="preserve">                                                                                      </w:t>
      </w:r>
      <w:r/>
    </w:p>
    <w:p>
      <w:pPr>
        <w:pStyle w:val="889"/>
      </w:pPr>
      <w:r>
        <w:t xml:space="preserve">                                                                                       «___»_____________20__г.</w:t>
      </w:r>
      <w:r/>
    </w:p>
    <w:p>
      <w:pPr>
        <w:pStyle w:val="889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ind w:firstLine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Акт о передаче (сдаче) оказанных услуг Заказчиком получен:                           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9"/>
        <w:tabs>
          <w:tab w:val="left" w:pos="3583" w:leader="none"/>
        </w:tabs>
      </w:pPr>
      <w:r/>
      <w:r/>
    </w:p>
    <w:p>
      <w:pPr>
        <w:pStyle w:val="889"/>
      </w:pPr>
      <w:r>
        <w:t xml:space="preserve">                             </w:t>
      </w:r>
      <w:r>
        <w:t xml:space="preserve"> </w:t>
      </w:r>
      <w:r>
        <w:t xml:space="preserve"> </w:t>
      </w:r>
      <w:r>
        <w:t xml:space="preserve">        </w:t>
      </w:r>
      <w:r>
        <w:t xml:space="preserve">  _______________    _________   ______________________</w:t>
      </w:r>
      <w:r/>
    </w:p>
    <w:p>
      <w:pPr>
        <w:pStyle w:val="889"/>
      </w:pPr>
      <w:r>
        <w:t xml:space="preserve">                               </w:t>
      </w:r>
      <w:r>
        <w:t xml:space="preserve"> </w:t>
      </w:r>
      <w:r>
        <w:t xml:space="preserve">    </w:t>
      </w:r>
      <w:r>
        <w:t xml:space="preserve">      </w:t>
      </w:r>
      <w:r>
        <w:t xml:space="preserve">    (должность)        (подпись)      (расшифровка подписи)</w:t>
      </w:r>
      <w:r/>
    </w:p>
    <w:p>
      <w:pPr>
        <w:pStyle w:val="889"/>
      </w:pPr>
      <w:r>
        <w:t xml:space="preserve">                                       </w:t>
      </w:r>
      <w:r>
        <w:t xml:space="preserve"> </w:t>
      </w:r>
      <w:r>
        <w:t xml:space="preserve">                         </w:t>
      </w:r>
      <w:r>
        <w:t xml:space="preserve"> </w:t>
      </w:r>
      <w:r>
        <w:t xml:space="preserve">  М.П.                       </w:t>
      </w:r>
      <w:r/>
    </w:p>
    <w:p>
      <w:pPr>
        <w:pStyle w:val="889"/>
      </w:pPr>
      <w:r>
        <w:t xml:space="preserve">                                                           </w:t>
      </w:r>
      <w:r>
        <w:t xml:space="preserve">  </w:t>
      </w:r>
      <w:r>
        <w:t xml:space="preserve">                        </w:t>
      </w:r>
      <w:r>
        <w:t xml:space="preserve">  </w:t>
      </w:r>
      <w:r>
        <w:t xml:space="preserve"> «___»_____________20__г.</w:t>
      </w:r>
      <w:r/>
    </w:p>
    <w:p>
      <w:pPr>
        <w:pStyle w:val="889"/>
        <w:tabs>
          <w:tab w:val="left" w:pos="3583" w:leader="none"/>
        </w:tabs>
      </w:pPr>
      <w:r>
        <w:t xml:space="preserve">   </w:t>
      </w:r>
      <w:r/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ind w:firstLine="28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9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С.С. Курпаяниди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89"/>
        <w:widowControl w:val="off"/>
      </w:pPr>
      <w:r/>
      <w:r/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9"/>
        <w:jc w:val="right"/>
        <w:widowControl w:val="off"/>
      </w:pPr>
      <w:r>
        <w:t xml:space="preserve">Приложение</w:t>
      </w:r>
      <w:r>
        <w:t xml:space="preserve"> № 3</w:t>
      </w:r>
      <w:r/>
    </w:p>
    <w:p>
      <w:pPr>
        <w:pStyle w:val="889"/>
        <w:jc w:val="right"/>
        <w:widowControl w:val="off"/>
      </w:pPr>
      <w:r>
        <w:t xml:space="preserve">к государственному кон</w:t>
      </w:r>
      <w:r>
        <w:t xml:space="preserve">тракту от «____»___________ 2026</w:t>
      </w:r>
      <w:r>
        <w:t xml:space="preserve"> г. № ____________</w:t>
      </w:r>
      <w:r/>
    </w:p>
    <w:p>
      <w:pPr>
        <w:pStyle w:val="889"/>
        <w:jc w:val="center"/>
      </w:pPr>
      <w:r/>
      <w:r/>
    </w:p>
    <w:p>
      <w:pPr>
        <w:pStyle w:val="889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НАИМЕНОВАНИЕ ОРГАНИЗАЦИИ</w:t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pStyle w:val="889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_____________________________________________________________________________________</w:t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pStyle w:val="889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pStyle w:val="889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Список сотрудников, привлекаемых к исполнению контракта</w:t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tbl>
      <w:tblPr>
        <w:tblpPr w:horzAnchor="text" w:tblpXSpec="left" w:vertAnchor="text" w:tblpY="1" w:leftFromText="180" w:topFromText="0" w:rightFromText="180" w:bottomFromText="0"/>
        <w:tblW w:w="101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1134"/>
        <w:gridCol w:w="1275"/>
        <w:gridCol w:w="1276"/>
        <w:gridCol w:w="1220"/>
        <w:gridCol w:w="1249"/>
        <w:gridCol w:w="1136"/>
        <w:gridCol w:w="1165"/>
        <w:gridCol w:w="11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31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№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п/п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Фамилия, Имя, Отчество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Паспортные данные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Гражданство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/разрешение на работу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Должность (профессия)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Виды оказываемых услуг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Наименование организации субподряда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Номер и дата трудового договора (договора ГПХ) и (или) договора субподряда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center"/>
            <w:textDirection w:val="lrTb"/>
            <w:noWrap w:val="false"/>
          </w:tcPr>
          <w:p>
            <w:pPr>
              <w:pStyle w:val="889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Примечание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1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2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3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4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5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6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7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8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9</w:t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</w:tbl>
    <w:p>
      <w:pPr>
        <w:pStyle w:val="889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p>
      <w:pPr>
        <w:pStyle w:val="889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Дата составления списка «___» ______________20 ___ г.</w:t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pStyle w:val="889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Руководитель организации_______________________________________________(Фамилия И.О.)</w:t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pStyle w:val="889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                                                                                                                                     (Подпись)</w:t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pStyle w:val="889"/>
      </w:pPr>
      <w:r>
        <w:t xml:space="preserve">М.П.</w:t>
      </w:r>
      <w:r/>
    </w:p>
    <w:p>
      <w:pPr>
        <w:pStyle w:val="889"/>
        <w:widowControl w:val="off"/>
        <w:tabs>
          <w:tab w:val="left" w:pos="142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С.С. Курпаяниди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89"/>
        <w:widowControl w:val="off"/>
        <w:tabs>
          <w:tab w:val="left" w:pos="142" w:leader="none"/>
        </w:tabs>
        <w:sectPr>
          <w:footnotePr/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889"/>
        <w:jc w:val="right"/>
        <w:widowControl w:val="off"/>
      </w:pPr>
      <w:r>
        <w:t xml:space="preserve">Приложение</w:t>
      </w:r>
      <w:r>
        <w:t xml:space="preserve"> № 4</w:t>
      </w:r>
      <w:r/>
    </w:p>
    <w:p>
      <w:pPr>
        <w:pStyle w:val="889"/>
        <w:jc w:val="right"/>
        <w:widowControl w:val="off"/>
      </w:pPr>
      <w:r>
        <w:t xml:space="preserve">к государственному кон</w:t>
      </w:r>
      <w:r>
        <w:t xml:space="preserve">тракту от «____»___________ 2026</w:t>
      </w:r>
      <w:r>
        <w:t xml:space="preserve"> г. № ____________</w:t>
      </w:r>
      <w:r/>
    </w:p>
    <w:p>
      <w:pPr>
        <w:pStyle w:val="889"/>
        <w:jc w:val="right"/>
        <w:tabs>
          <w:tab w:val="left" w:pos="1134" w:leader="none"/>
        </w:tabs>
      </w:pPr>
      <w:r/>
      <w:r/>
    </w:p>
    <w:p>
      <w:pPr>
        <w:pStyle w:val="889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Ведомость № ______</w:t>
      </w: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p>
      <w:pPr>
        <w:pStyle w:val="889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учёта мероприятий по осуществлению контроля за безопасным исполнением обязательств по ГК.</w:t>
      </w: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p>
      <w:pPr>
        <w:pStyle w:val="889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ГК от ___________№ ____________на ___________________________________________________</w:t>
      </w: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p>
      <w:pPr>
        <w:pStyle w:val="889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Адрес объекта ________________________________________________________________________</w:t>
      </w: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p>
      <w:pPr>
        <w:pStyle w:val="889"/>
        <w:ind w:firstLine="1276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Сроки оказания услуг: _______________</w:t>
      </w: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p>
      <w:pPr>
        <w:pStyle w:val="889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tbl>
      <w:tblPr>
        <w:tblW w:w="10119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567"/>
        <w:gridCol w:w="1276"/>
        <w:gridCol w:w="1417"/>
        <w:gridCol w:w="797"/>
        <w:gridCol w:w="1559"/>
        <w:gridCol w:w="904"/>
        <w:gridCol w:w="851"/>
        <w:gridCol w:w="1134"/>
        <w:gridCol w:w="10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3825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Дата</w:t>
            </w:r>
            <w:r/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Время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Номер и дата выдачи разрешительных документов на оказание услуг (допуски, удостоверения, свидетельства об обучении)*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Замечания к оборудованию и приспособлениям (визуальный осмотр, наличие документации (по необходимости)</w:t>
            </w:r>
            <w:r/>
          </w:p>
        </w:tc>
        <w:tc>
          <w:tcPr>
            <w:tcW w:w="797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Наличие и применение СИЗ (личные карточки учёта выдачи СИЗ)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Медицинские заключения, разрешающие оказания услуг (по необходимости в соответствии с законодательством)</w:t>
            </w:r>
            <w:r/>
          </w:p>
        </w:tc>
        <w:tc>
          <w:tcPr>
            <w:tcW w:w="904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Замечания к оказанию услуг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Ф.И.О., должность представителя Заказчика, подпись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Ф.И.О., должность ответственного лица за выполнение работ по ГК от Исполнителя, подпись</w:t>
            </w:r>
            <w:r/>
          </w:p>
        </w:tc>
        <w:tc>
          <w:tcPr>
            <w:tcW w:w="1080" w:type="dxa"/>
            <w:vAlign w:val="center"/>
            <w:textDirection w:val="lrTb"/>
            <w:noWrap w:val="false"/>
          </w:tcPr>
          <w:p>
            <w:pPr>
              <w:ind w:left="-108" w:right="-108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Примечание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1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3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4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6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9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889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10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889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</w:tbl>
    <w:p>
      <w:pPr>
        <w:ind w:left="0" w:right="0" w:firstLine="0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18"/>
        </w:rPr>
        <w:t xml:space="preserve">*-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</w:t>
      </w:r>
      <w:r/>
    </w:p>
    <w:p>
      <w:pPr>
        <w:pStyle w:val="889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89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19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9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С.С. Курпаяниди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15</w:t>
    </w:r>
    <w:r>
      <w:fldChar w:fldCharType="end"/>
    </w:r>
    <w:r/>
  </w:p>
  <w:p>
    <w:pPr>
      <w:pStyle w:val="908"/>
    </w:pPr>
    <w:r/>
    <w:r/>
  </w:p>
  <w:p>
    <w:pPr>
      <w:pStyle w:val="88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896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33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5"/>
  </w:num>
  <w:num w:numId="2">
    <w:abstractNumId w:val="15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4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0"/>
  </w:num>
  <w:num w:numId="15">
    <w:abstractNumId w:val="16"/>
  </w:num>
  <w:num w:numId="16">
    <w:abstractNumId w:val="17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2">
    <w:name w:val="Heading 1"/>
    <w:basedOn w:val="889"/>
    <w:next w:val="889"/>
    <w:link w:val="7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3">
    <w:name w:val="Heading 1 Char"/>
    <w:link w:val="712"/>
    <w:uiPriority w:val="9"/>
    <w:rPr>
      <w:rFonts w:ascii="Arial" w:hAnsi="Arial" w:eastAsia="Arial" w:cs="Arial"/>
      <w:sz w:val="40"/>
      <w:szCs w:val="40"/>
    </w:rPr>
  </w:style>
  <w:style w:type="paragraph" w:styleId="714">
    <w:name w:val="Heading 2"/>
    <w:basedOn w:val="889"/>
    <w:next w:val="889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5">
    <w:name w:val="Heading 2 Char"/>
    <w:link w:val="714"/>
    <w:uiPriority w:val="9"/>
    <w:rPr>
      <w:rFonts w:ascii="Arial" w:hAnsi="Arial" w:eastAsia="Arial" w:cs="Arial"/>
      <w:sz w:val="34"/>
    </w:rPr>
  </w:style>
  <w:style w:type="paragraph" w:styleId="716">
    <w:name w:val="Heading 3"/>
    <w:basedOn w:val="889"/>
    <w:next w:val="889"/>
    <w:link w:val="7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7">
    <w:name w:val="Heading 3 Char"/>
    <w:link w:val="716"/>
    <w:uiPriority w:val="9"/>
    <w:rPr>
      <w:rFonts w:ascii="Arial" w:hAnsi="Arial" w:eastAsia="Arial" w:cs="Arial"/>
      <w:sz w:val="30"/>
      <w:szCs w:val="30"/>
    </w:rPr>
  </w:style>
  <w:style w:type="paragraph" w:styleId="718">
    <w:name w:val="Heading 4"/>
    <w:basedOn w:val="889"/>
    <w:next w:val="889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9">
    <w:name w:val="Heading 4 Char"/>
    <w:link w:val="718"/>
    <w:uiPriority w:val="9"/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889"/>
    <w:next w:val="889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1">
    <w:name w:val="Heading 5 Char"/>
    <w:link w:val="720"/>
    <w:uiPriority w:val="9"/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89"/>
    <w:next w:val="889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link w:val="722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89"/>
    <w:next w:val="889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89"/>
    <w:next w:val="889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link w:val="726"/>
    <w:uiPriority w:val="9"/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89"/>
    <w:next w:val="889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List Paragraph"/>
    <w:basedOn w:val="889"/>
    <w:uiPriority w:val="34"/>
    <w:qFormat/>
    <w:pPr>
      <w:contextualSpacing/>
      <w:ind w:left="720"/>
    </w:pPr>
  </w:style>
  <w:style w:type="paragraph" w:styleId="731">
    <w:name w:val="Title"/>
    <w:basedOn w:val="889"/>
    <w:next w:val="889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link w:val="731"/>
    <w:uiPriority w:val="10"/>
    <w:rPr>
      <w:sz w:val="48"/>
      <w:szCs w:val="48"/>
    </w:rPr>
  </w:style>
  <w:style w:type="paragraph" w:styleId="733">
    <w:name w:val="Subtitle"/>
    <w:basedOn w:val="889"/>
    <w:next w:val="889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link w:val="733"/>
    <w:uiPriority w:val="11"/>
    <w:rPr>
      <w:sz w:val="24"/>
      <w:szCs w:val="24"/>
    </w:rPr>
  </w:style>
  <w:style w:type="paragraph" w:styleId="735">
    <w:name w:val="Quote"/>
    <w:basedOn w:val="889"/>
    <w:next w:val="889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9"/>
    <w:next w:val="889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paragraph" w:styleId="739">
    <w:name w:val="Header"/>
    <w:basedOn w:val="889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0">
    <w:name w:val="Header Char"/>
    <w:link w:val="739"/>
    <w:uiPriority w:val="99"/>
  </w:style>
  <w:style w:type="paragraph" w:styleId="741">
    <w:name w:val="Footer"/>
    <w:basedOn w:val="889"/>
    <w:link w:val="7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2">
    <w:name w:val="Footer Char"/>
    <w:link w:val="741"/>
    <w:uiPriority w:val="99"/>
  </w:style>
  <w:style w:type="paragraph" w:styleId="743">
    <w:name w:val="Caption"/>
    <w:basedOn w:val="889"/>
    <w:next w:val="889"/>
    <w:link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link w:val="743"/>
    <w:uiPriority w:val="35"/>
    <w:rPr>
      <w:b/>
      <w:bCs/>
      <w:color w:val="4f81bd" w:themeColor="accent1"/>
      <w:sz w:val="18"/>
      <w:szCs w:val="18"/>
    </w:rPr>
  </w:style>
  <w:style w:type="table" w:styleId="74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1">
    <w:name w:val="Hyperlink"/>
    <w:uiPriority w:val="99"/>
    <w:unhideWhenUsed/>
    <w:rPr>
      <w:color w:val="0000ff" w:themeColor="hyperlink"/>
      <w:u w:val="single"/>
    </w:rPr>
  </w:style>
  <w:style w:type="paragraph" w:styleId="872">
    <w:name w:val="footnote text"/>
    <w:basedOn w:val="889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>
    <w:name w:val="Footnote Text Char"/>
    <w:link w:val="872"/>
    <w:uiPriority w:val="99"/>
    <w:rPr>
      <w:sz w:val="18"/>
    </w:rPr>
  </w:style>
  <w:style w:type="character" w:styleId="874">
    <w:name w:val="footnote reference"/>
    <w:uiPriority w:val="99"/>
    <w:unhideWhenUsed/>
    <w:rPr>
      <w:vertAlign w:val="superscript"/>
    </w:rPr>
  </w:style>
  <w:style w:type="paragraph" w:styleId="875">
    <w:name w:val="endnote text"/>
    <w:basedOn w:val="889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>
    <w:name w:val="Endnote Text Char"/>
    <w:link w:val="875"/>
    <w:uiPriority w:val="99"/>
    <w:rPr>
      <w:sz w:val="20"/>
    </w:rPr>
  </w:style>
  <w:style w:type="character" w:styleId="877">
    <w:name w:val="endnote reference"/>
    <w:uiPriority w:val="99"/>
    <w:semiHidden/>
    <w:unhideWhenUsed/>
    <w:rPr>
      <w:vertAlign w:val="superscript"/>
    </w:rPr>
  </w:style>
  <w:style w:type="paragraph" w:styleId="878">
    <w:name w:val="toc 1"/>
    <w:basedOn w:val="889"/>
    <w:next w:val="889"/>
    <w:uiPriority w:val="39"/>
    <w:unhideWhenUsed/>
    <w:pPr>
      <w:ind w:left="0" w:right="0" w:firstLine="0"/>
      <w:spacing w:after="57"/>
    </w:pPr>
  </w:style>
  <w:style w:type="paragraph" w:styleId="879">
    <w:name w:val="toc 2"/>
    <w:basedOn w:val="889"/>
    <w:next w:val="889"/>
    <w:uiPriority w:val="39"/>
    <w:unhideWhenUsed/>
    <w:pPr>
      <w:ind w:left="283" w:right="0" w:firstLine="0"/>
      <w:spacing w:after="57"/>
    </w:pPr>
  </w:style>
  <w:style w:type="paragraph" w:styleId="880">
    <w:name w:val="toc 3"/>
    <w:basedOn w:val="889"/>
    <w:next w:val="889"/>
    <w:uiPriority w:val="39"/>
    <w:unhideWhenUsed/>
    <w:pPr>
      <w:ind w:left="567" w:right="0" w:firstLine="0"/>
      <w:spacing w:after="57"/>
    </w:pPr>
  </w:style>
  <w:style w:type="paragraph" w:styleId="881">
    <w:name w:val="toc 4"/>
    <w:basedOn w:val="889"/>
    <w:next w:val="889"/>
    <w:uiPriority w:val="39"/>
    <w:unhideWhenUsed/>
    <w:pPr>
      <w:ind w:left="850" w:right="0" w:firstLine="0"/>
      <w:spacing w:after="57"/>
    </w:pPr>
  </w:style>
  <w:style w:type="paragraph" w:styleId="882">
    <w:name w:val="toc 5"/>
    <w:basedOn w:val="889"/>
    <w:next w:val="889"/>
    <w:uiPriority w:val="39"/>
    <w:unhideWhenUsed/>
    <w:pPr>
      <w:ind w:left="1134" w:right="0" w:firstLine="0"/>
      <w:spacing w:after="57"/>
    </w:pPr>
  </w:style>
  <w:style w:type="paragraph" w:styleId="883">
    <w:name w:val="toc 6"/>
    <w:basedOn w:val="889"/>
    <w:next w:val="889"/>
    <w:uiPriority w:val="39"/>
    <w:unhideWhenUsed/>
    <w:pPr>
      <w:ind w:left="1417" w:right="0" w:firstLine="0"/>
      <w:spacing w:after="57"/>
    </w:pPr>
  </w:style>
  <w:style w:type="paragraph" w:styleId="884">
    <w:name w:val="toc 7"/>
    <w:basedOn w:val="889"/>
    <w:next w:val="889"/>
    <w:uiPriority w:val="39"/>
    <w:unhideWhenUsed/>
    <w:pPr>
      <w:ind w:left="1701" w:right="0" w:firstLine="0"/>
      <w:spacing w:after="57"/>
    </w:pPr>
  </w:style>
  <w:style w:type="paragraph" w:styleId="885">
    <w:name w:val="toc 8"/>
    <w:basedOn w:val="889"/>
    <w:next w:val="889"/>
    <w:uiPriority w:val="39"/>
    <w:unhideWhenUsed/>
    <w:pPr>
      <w:ind w:left="1984" w:right="0" w:firstLine="0"/>
      <w:spacing w:after="57"/>
    </w:pPr>
  </w:style>
  <w:style w:type="paragraph" w:styleId="886">
    <w:name w:val="toc 9"/>
    <w:basedOn w:val="889"/>
    <w:next w:val="889"/>
    <w:uiPriority w:val="39"/>
    <w:unhideWhenUsed/>
    <w:pPr>
      <w:ind w:left="2268" w:right="0" w:firstLine="0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889"/>
    <w:next w:val="889"/>
    <w:uiPriority w:val="99"/>
    <w:unhideWhenUsed/>
    <w:pPr>
      <w:spacing w:after="0" w:afterAutospacing="0"/>
    </w:pPr>
  </w:style>
  <w:style w:type="paragraph" w:styleId="889" w:default="1">
    <w:name w:val="Normal"/>
    <w:next w:val="889"/>
    <w:link w:val="889"/>
    <w:qFormat/>
    <w:pPr>
      <w:jc w:val="both"/>
    </w:pPr>
    <w:rPr>
      <w:sz w:val="24"/>
      <w:szCs w:val="24"/>
      <w:lang w:val="ru-RU" w:eastAsia="ru-RU" w:bidi="ar-SA"/>
    </w:rPr>
  </w:style>
  <w:style w:type="character" w:styleId="890">
    <w:name w:val="Основной шрифт абзаца"/>
    <w:next w:val="890"/>
    <w:link w:val="889"/>
    <w:semiHidden/>
  </w:style>
  <w:style w:type="table" w:styleId="891">
    <w:name w:val="Обычная таблица"/>
    <w:next w:val="891"/>
    <w:link w:val="889"/>
    <w:semiHidden/>
    <w:tblPr/>
  </w:style>
  <w:style w:type="numbering" w:styleId="892">
    <w:name w:val="Нет списка"/>
    <w:next w:val="892"/>
    <w:link w:val="889"/>
    <w:semiHidden/>
  </w:style>
  <w:style w:type="paragraph" w:styleId="893">
    <w:name w:val="Основной текст"/>
    <w:basedOn w:val="889"/>
    <w:next w:val="893"/>
    <w:link w:val="894"/>
    <w:uiPriority w:val="99"/>
    <w:pPr>
      <w:spacing w:after="120"/>
    </w:pPr>
    <w:rPr>
      <w:lang w:val="en-US" w:eastAsia="en-US"/>
    </w:rPr>
  </w:style>
  <w:style w:type="character" w:styleId="894">
    <w:name w:val="Основной текст Знак"/>
    <w:next w:val="894"/>
    <w:link w:val="893"/>
    <w:uiPriority w:val="99"/>
    <w:rPr>
      <w:sz w:val="24"/>
      <w:szCs w:val="24"/>
      <w:lang w:val="en-US" w:eastAsia="en-US" w:bidi="ar-SA"/>
    </w:rPr>
  </w:style>
  <w:style w:type="paragraph" w:styleId="895">
    <w:name w:val="Стиль"/>
    <w:next w:val="895"/>
    <w:link w:val="889"/>
    <w:pPr>
      <w:widowControl w:val="off"/>
    </w:pPr>
    <w:rPr>
      <w:sz w:val="24"/>
      <w:szCs w:val="24"/>
      <w:lang w:val="ru-RU" w:eastAsia="ru-RU" w:bidi="ar-SA"/>
    </w:rPr>
  </w:style>
  <w:style w:type="paragraph" w:styleId="896">
    <w:name w:val="Контракт-пункт"/>
    <w:basedOn w:val="889"/>
    <w:next w:val="896"/>
    <w:link w:val="889"/>
    <w:pPr>
      <w:numPr>
        <w:ilvl w:val="1"/>
        <w:numId w:val="5"/>
      </w:numPr>
    </w:pPr>
  </w:style>
  <w:style w:type="paragraph" w:styleId="897">
    <w:name w:val="Контракт-раздел"/>
    <w:basedOn w:val="889"/>
    <w:next w:val="889"/>
    <w:link w:val="889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898">
    <w:name w:val="ConsNonformat"/>
    <w:next w:val="898"/>
    <w:link w:val="889"/>
    <w:rPr>
      <w:rFonts w:ascii="Courier New" w:hAnsi="Courier New" w:cs="Courier New"/>
      <w:lang w:val="ru-RU" w:eastAsia="ru-RU" w:bidi="ar-SA"/>
    </w:rPr>
  </w:style>
  <w:style w:type="character" w:styleId="899">
    <w:name w:val="Выделение"/>
    <w:next w:val="899"/>
    <w:link w:val="889"/>
    <w:qFormat/>
    <w:rPr>
      <w:i/>
      <w:iCs/>
    </w:rPr>
  </w:style>
  <w:style w:type="paragraph" w:styleId="900">
    <w:name w:val="Текст выноски"/>
    <w:basedOn w:val="889"/>
    <w:next w:val="900"/>
    <w:link w:val="920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901">
    <w:name w:val="Строгий"/>
    <w:next w:val="901"/>
    <w:link w:val="889"/>
    <w:qFormat/>
    <w:rPr>
      <w:rFonts w:cs="Times New Roman"/>
      <w:b/>
      <w:bCs/>
    </w:rPr>
  </w:style>
  <w:style w:type="paragraph" w:styleId="902">
    <w:name w:val="ConsPlusNonformat"/>
    <w:next w:val="902"/>
    <w:link w:val="889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03">
    <w:name w:val="ConsPlusNormal"/>
    <w:next w:val="903"/>
    <w:link w:val="922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04">
    <w:name w:val="Normal1"/>
    <w:next w:val="904"/>
    <w:link w:val="889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905">
    <w:name w:val="apple-converted-space"/>
    <w:next w:val="905"/>
    <w:link w:val="889"/>
    <w:rPr>
      <w:rFonts w:cs="Times New Roman"/>
    </w:rPr>
  </w:style>
  <w:style w:type="paragraph" w:styleId="906">
    <w:name w:val="Верхний колонтитул"/>
    <w:basedOn w:val="889"/>
    <w:next w:val="906"/>
    <w:link w:val="907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07">
    <w:name w:val="Верхний колонтитул Знак"/>
    <w:next w:val="907"/>
    <w:link w:val="906"/>
    <w:rPr>
      <w:sz w:val="24"/>
      <w:szCs w:val="24"/>
    </w:rPr>
  </w:style>
  <w:style w:type="paragraph" w:styleId="908">
    <w:name w:val="Нижний колонтитул"/>
    <w:basedOn w:val="889"/>
    <w:next w:val="908"/>
    <w:link w:val="909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09">
    <w:name w:val="Нижний колонтитул Знак"/>
    <w:next w:val="909"/>
    <w:link w:val="908"/>
    <w:uiPriority w:val="99"/>
    <w:rPr>
      <w:sz w:val="24"/>
      <w:szCs w:val="24"/>
    </w:rPr>
  </w:style>
  <w:style w:type="numbering" w:styleId="910">
    <w:name w:val="Нет списка1"/>
    <w:next w:val="892"/>
    <w:link w:val="889"/>
    <w:uiPriority w:val="99"/>
    <w:semiHidden/>
    <w:unhideWhenUsed/>
  </w:style>
  <w:style w:type="paragraph" w:styleId="911">
    <w:name w:val="No Spacing"/>
    <w:next w:val="911"/>
    <w:link w:val="889"/>
    <w:uiPriority w:val="99"/>
    <w:rPr>
      <w:rFonts w:eastAsia="Calibri"/>
      <w:sz w:val="18"/>
      <w:szCs w:val="18"/>
      <w:lang w:val="ru-RU" w:eastAsia="ru-RU" w:bidi="ar-SA"/>
    </w:rPr>
  </w:style>
  <w:style w:type="paragraph" w:styleId="912">
    <w:name w:val="Обычный (веб),Обычный (Web),Обычный (веб)1,Обычный (Web)1"/>
    <w:basedOn w:val="889"/>
    <w:next w:val="912"/>
    <w:link w:val="918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913">
    <w:name w:val="Обычный + 11 пт"/>
    <w:basedOn w:val="889"/>
    <w:next w:val="913"/>
    <w:link w:val="889"/>
    <w:pPr>
      <w:ind w:left="360" w:hanging="360"/>
    </w:pPr>
  </w:style>
  <w:style w:type="character" w:styleId="914">
    <w:name w:val="Font Style24"/>
    <w:next w:val="914"/>
    <w:link w:val="889"/>
    <w:rPr>
      <w:rFonts w:ascii="Times New Roman" w:hAnsi="Times New Roman" w:cs="Times New Roman"/>
      <w:b/>
      <w:bCs/>
      <w:sz w:val="8"/>
      <w:szCs w:val="8"/>
    </w:rPr>
  </w:style>
  <w:style w:type="paragraph" w:styleId="915">
    <w:name w:val="Style4"/>
    <w:basedOn w:val="889"/>
    <w:next w:val="915"/>
    <w:link w:val="889"/>
    <w:pPr>
      <w:jc w:val="left"/>
      <w:spacing w:line="274" w:lineRule="exact"/>
      <w:widowControl w:val="off"/>
    </w:pPr>
  </w:style>
  <w:style w:type="paragraph" w:styleId="916">
    <w:name w:val="Style6"/>
    <w:basedOn w:val="889"/>
    <w:next w:val="916"/>
    <w:link w:val="889"/>
    <w:pPr>
      <w:jc w:val="left"/>
      <w:spacing w:line="278" w:lineRule="exact"/>
      <w:widowControl w:val="off"/>
    </w:pPr>
  </w:style>
  <w:style w:type="paragraph" w:styleId="917">
    <w:name w:val="PEA"/>
    <w:next w:val="917"/>
    <w:link w:val="88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918">
    <w:name w:val="Обычный (веб) Знак,Обычный (Web) Знак,Обычный (веб)1 Знак,Обычный (Web)1 Знак"/>
    <w:next w:val="918"/>
    <w:link w:val="912"/>
    <w:uiPriority w:val="99"/>
    <w:rPr>
      <w:sz w:val="24"/>
      <w:szCs w:val="24"/>
    </w:rPr>
  </w:style>
  <w:style w:type="paragraph" w:styleId="919">
    <w:name w:val="Без интервала"/>
    <w:next w:val="919"/>
    <w:link w:val="889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920">
    <w:name w:val="Текст выноски Знак"/>
    <w:next w:val="920"/>
    <w:link w:val="900"/>
    <w:uiPriority w:val="99"/>
    <w:semiHidden/>
    <w:rPr>
      <w:rFonts w:ascii="Tahoma" w:hAnsi="Tahoma" w:cs="Tahoma"/>
      <w:sz w:val="16"/>
      <w:szCs w:val="16"/>
    </w:rPr>
  </w:style>
  <w:style w:type="character" w:styleId="921">
    <w:name w:val="Гиперссылка"/>
    <w:next w:val="921"/>
    <w:link w:val="889"/>
    <w:rPr>
      <w:color w:val="0000ff"/>
      <w:u w:val="single"/>
    </w:rPr>
  </w:style>
  <w:style w:type="character" w:styleId="922">
    <w:name w:val="ConsPlusNormal Знак"/>
    <w:next w:val="922"/>
    <w:link w:val="903"/>
    <w:uiPriority w:val="99"/>
    <w:rPr>
      <w:rFonts w:ascii="Arial" w:hAnsi="Arial" w:cs="Arial"/>
      <w:lang w:val="ru-RU" w:eastAsia="ru-RU" w:bidi="ar-SA"/>
    </w:rPr>
  </w:style>
  <w:style w:type="table" w:styleId="923">
    <w:name w:val="Сетка таблицы"/>
    <w:basedOn w:val="891"/>
    <w:next w:val="923"/>
    <w:link w:val="889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24">
    <w:name w:val="Сетка таблицы1"/>
    <w:basedOn w:val="891"/>
    <w:next w:val="923"/>
    <w:link w:val="889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925">
    <w:name w:val="14"/>
    <w:basedOn w:val="889"/>
    <w:next w:val="925"/>
    <w:link w:val="889"/>
    <w:pPr>
      <w:jc w:val="left"/>
      <w:spacing w:before="120" w:after="240"/>
    </w:pPr>
    <w:rPr>
      <w:b/>
      <w:bCs/>
      <w:sz w:val="28"/>
      <w:szCs w:val="28"/>
    </w:rPr>
  </w:style>
  <w:style w:type="table" w:styleId="926">
    <w:name w:val="Сетка таблицы GR1"/>
    <w:basedOn w:val="891"/>
    <w:next w:val="923"/>
    <w:link w:val="889"/>
    <w:uiPriority w:val="59"/>
    <w:rPr>
      <w:rFonts w:ascii="Calibri" w:hAnsi="Calibri" w:eastAsia="Calibri"/>
      <w:sz w:val="22"/>
      <w:szCs w:val="22"/>
      <w:lang w:eastAsia="en-US"/>
    </w:rPr>
    <w:tblPr/>
  </w:style>
  <w:style w:type="table" w:styleId="927">
    <w:name w:val="TableGrid1"/>
    <w:next w:val="927"/>
    <w:link w:val="889"/>
    <w:rPr>
      <w:rFonts w:ascii="Calibri" w:hAnsi="Calibri"/>
      <w:sz w:val="22"/>
      <w:szCs w:val="22"/>
      <w:lang w:val="ru-RU" w:eastAsia="ru-RU" w:bidi="ar-SA"/>
    </w:rPr>
    <w:tblPr/>
  </w:style>
  <w:style w:type="character" w:styleId="928" w:default="1">
    <w:name w:val="Default Paragraph Font"/>
    <w:uiPriority w:val="1"/>
    <w:semiHidden/>
    <w:unhideWhenUsed/>
  </w:style>
  <w:style w:type="numbering" w:styleId="929" w:default="1">
    <w:name w:val="No List"/>
    <w:uiPriority w:val="99"/>
    <w:semiHidden/>
    <w:unhideWhenUsed/>
  </w:style>
  <w:style w:type="table" w:styleId="9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Рогачков Антон Владимирович</cp:lastModifiedBy>
  <cp:revision>193</cp:revision>
  <dcterms:created xsi:type="dcterms:W3CDTF">2017-12-26T08:09:00Z</dcterms:created>
  <dcterms:modified xsi:type="dcterms:W3CDTF">2026-07-10T09:21:22Z</dcterms:modified>
  <cp:version>917504</cp:version>
</cp:coreProperties>
</file>