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на поставку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расходных материалов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  1.  Порядок организации поставки и объем товара.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  <w:outlineLvl w:val="0"/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Расходные материалы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(далее по тексту- товар), поставляем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ые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по данному техническому заданию указан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в таблице №1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709"/>
        <w:jc w:val="right"/>
        <w:spacing w:after="0" w:line="240" w:lineRule="auto"/>
        <w:rPr>
          <w:rFonts w:ascii="Times New Roman" w:hAnsi="Times New Roman" w:eastAsia="SimSu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Таблица №1</w:t>
      </w:r>
      <w:r>
        <w:rPr>
          <w:rFonts w:ascii="Times New Roman" w:hAnsi="Times New Roman" w:eastAsia="SimSun" w:cs="Times New Roman"/>
          <w:sz w:val="20"/>
          <w:szCs w:val="20"/>
          <w:lang w:eastAsia="ru-RU"/>
        </w:rPr>
      </w:r>
      <w:r>
        <w:rPr>
          <w:rFonts w:ascii="Times New Roman" w:hAnsi="Times New Roman" w:eastAsia="SimSun" w:cs="Times New Roman"/>
          <w:sz w:val="20"/>
          <w:szCs w:val="20"/>
          <w:lang w:eastAsia="ru-RU"/>
        </w:rPr>
      </w:r>
    </w:p>
    <w:tbl>
      <w:tblPr>
        <w:tblStyle w:val="937"/>
        <w:tblW w:w="0" w:type="auto"/>
        <w:tblLook w:val="04A0" w:firstRow="1" w:lastRow="0" w:firstColumn="1" w:lastColumn="0" w:noHBand="0" w:noVBand="1"/>
      </w:tblPr>
      <w:tblGrid>
        <w:gridCol w:w="945"/>
        <w:gridCol w:w="4800"/>
        <w:gridCol w:w="1725"/>
        <w:gridCol w:w="945"/>
        <w:gridCol w:w="945"/>
        <w:gridCol w:w="945"/>
        <w:gridCol w:w="945"/>
      </w:tblGrid>
      <w:tr>
        <w:tblPrEx/>
        <w:trPr>
          <w:trHeight w:val="72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№пп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0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Наименование 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Код ОКПД2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Единица </w:t>
              <w:br/>
              <w:t xml:space="preserve">измерения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Общее количество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ЛЭВИ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ЛМВ</w:t>
            </w:r>
            <w:r/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Дезинфицирующее жидкое мыло "Тетрософт", 1л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20.20.14.000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шт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14</w:t>
            </w:r>
            <w:r/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Средство дезинфицирующее "Техномикс", 1л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20.20.14.000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шт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82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30</w:t>
            </w:r>
            <w:r/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Средство дезинфицирующее "Альсепт Экспресс", 1л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20.20.14.000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шт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</w:t>
            </w:r>
            <w:r/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Средство дезинфицирующее «Ок"Септ салфетки»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20.20.14.000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шт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</w:t>
            </w:r>
            <w:r/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Профессиональный крем для ухода за кожей рук  «Манидерм» ,125г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20.42.15.141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шт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Средство дезинфицирующее</w:t>
              <w:br/>
              <w:t xml:space="preserve">"Мистраль", 5 л</w:t>
              <w:br/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20.20.14.000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шт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12</w:t>
            </w:r>
            <w:r/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7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00" w:type="dxa"/>
            <w:vAlign w:val="top"/>
            <w:textDirection w:val="lrTb"/>
            <w:noWrap w:val="false"/>
          </w:tcPr>
          <w:p>
            <w:pPr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Средство дезинфицирующее "Экобриз - спрей ",  0,75л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2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20.20.14.000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шт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30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30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Поступивший груз должен быть доставлен по адресу: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197376, г. Санкт-Петербург, ул. Профессора Попова, д.15/17, лит. Б, (ЛЭВИ, 2 этаж, лифт отсутствует)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         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Товар поставляется Поставщиком самостоятельно до места доставки (с разгрузкой, подъемом на этаж, заносом в кабинет)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zh-CN"/>
        </w:rPr>
        <w:t xml:space="preserve">с предварительным информированием Заказчика по телефону +7 (812) 499-15-61,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либо на эл.адрес:</w:t>
      </w:r>
      <w:r>
        <w:rPr>
          <w:rFonts w:ascii="Times New Roman" w:hAnsi="Times New Roman" w:cs="Times New Roman"/>
          <w:b/>
          <w:sz w:val="24"/>
          <w:szCs w:val="24"/>
        </w:rPr>
        <w:t xml:space="preserve"> maksim.durnov@influenz</w:t>
      </w:r>
      <w:r>
        <w:rPr>
          <w:rFonts w:ascii="Times New Roman" w:hAnsi="Times New Roman" w:cs="Times New Roman"/>
          <w:b/>
          <w:sz w:val="24"/>
          <w:szCs w:val="24"/>
        </w:rPr>
        <w:t xml:space="preserve">a.spb.ru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  <w:t xml:space="preserve">за 2 рабочих дня до даты предполагаемой доставки.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Рабочее время Заказчика для принятия Товара с понедельника по четверг с 9-00ч до 15-45ч, в пятницу с 9-00ч до 14-30ч, суббота, воскресенье – выходные дни (по местному времени).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  <w:r>
        <w:rPr>
          <w:rFonts w:ascii="Times New Roman" w:hAnsi="Times New Roman" w:eastAsia="Times New Roman" w:cs="Times New Roman"/>
          <w:color w:val="ff0000"/>
          <w:sz w:val="24"/>
          <w:szCs w:val="24"/>
          <w:highlight w:val="none"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Поставщиком должен исполняться комплекс мероприятий по организации холодовых цепей на базе измерителей-регистраторов, которые применяются для контроля температуры при доставке товара до момента передачи его Заказчику.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Независимо от количества привлекаемых для доставки товара субподрядных организаций должна обеспечиваться возможность документирования температурного режима груза от момента отгрузки товара и до момента получения груза Заказчиком. В каждом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термоконтейнере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долж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находиться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терморегистратор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отправке груза Поставщик обязан: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1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 менее чем за 48 часов уведомить Заказчика о дате прибытия товара;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1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температурном режиме хранения его отдельных компонентов;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1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схеме раскладки по промаркированным Поставщиком для упрощения проверки по номенклатуре и количеству термоконтейнерам и иной транспортной таре (коробкам, контейнерам, ящикам);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1"/>
        </w:numPr>
        <w:contextualSpacing/>
        <w:ind w:left="426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номера пломбировочных устройств и номера термоиндикаторов с местами их закладки.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left="426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contextualSpacing/>
        <w:ind w:left="426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Упаковки, содержащие товар с заданным температурным диапазоном хранения и перевозки, должны иметь соответствующую маркировку.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Принимая во внимание сложно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сть поставляемых компонентов и его высокую стоимость, при приемке товара должен присутствовать представитель Поставщика, действующий по доверенности, выданной уполномоченным руководителем Поставщика для проведения действий по передаче товара по Контракту.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отказа Поставщика от направления представителя для передачи тов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ара в месте получения груза Заказчиком или его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отсутствии при прибытии указанного товара к месту выгрузки, в в товаросопроводительных документах при приемке товара Заказчиком указывается информация  об отсутствии уполномоченного представителя Поставщика. В этом случае проверка груза проводится представ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ителями Заказчика самостоятельно и его результаты (проверка результатов контроля холодовой цепи, состояние груза и недостатки, выявленные путем внешнего осмотра груза и проведение измерений температуры поступившего груза, не могут оспариваться Поставщиком.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Поставка товара включает в себя: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30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доставку в специализированной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термо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упаковке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реагентов требующих соблюдения температурного диапазона при хранении и транспортировке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по адресу Заказчика;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0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распаковку,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доставку 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 месту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размещения на складе Заказчика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оказание указанных услуг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Поставщиком входит в стоимость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0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неукоснительное соблюдение Поставщиком мероприятий по осуществлению контроля холодовой цепи. Терморегистраторы должны находиться в опечатанных вместе с товаром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30"/>
        </w:numPr>
        <w:ind w:left="567" w:hanging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выполнение совместно с представителями Заказчика контроля температурного режима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доставленного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(товар, поставленный с нарушением режима температуры хранения Заказчиком не принимается и подлежит замене)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Для составления акта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приема-передачи Товара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 могут привлекать независимые сюрвейерские компании, действующие по соглашению сторон и фиксирующие сведения изложенные в акте доставки товара.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Датой доставки товара считается дата подписания: первичного сопроводительного документа (акт приема-передачи, накладная и т.п. в котором обязательны к указанию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наименование Контракта, наименование товара в соответствии с Контрактом, количество, ед.измерения, даты и подписи  представителей сторон) подтверждающего доставку до Заказчика и переданного Заказчику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обнаружения некачественной  доставки товара составляется акт к составлению которого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 могут привлекать независимые сюрвейерские компании.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0"/>
        <w:spacing w:after="0" w:line="240" w:lineRule="auto"/>
        <w:rPr>
          <w:rFonts w:ascii="XO Thames" w:hAnsi="XO Thames" w:cs="XO Thames"/>
          <w:b/>
          <w:bCs/>
          <w:sz w:val="24"/>
          <w:szCs w:val="24"/>
          <w:highlight w:val="none"/>
        </w:rPr>
      </w:pPr>
      <w:r>
        <w:rPr>
          <w:rFonts w:ascii="XO Thames" w:hAnsi="XO Thames" w:eastAsia="XO Thames" w:cs="XO Thames"/>
          <w:b/>
          <w:bCs/>
          <w:sz w:val="24"/>
          <w:szCs w:val="24"/>
          <w:lang w:eastAsia="ru-RU"/>
        </w:rPr>
        <w:t xml:space="preserve">Дополнительные требования:</w:t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cs="XO Thames"/>
          <w:b/>
          <w:bCs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 w:val="0"/>
          <w:sz w:val="24"/>
          <w:szCs w:val="24"/>
          <w:highlight w:val="none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  <w:lang w:eastAsia="ru-RU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 w:val="0"/>
          <w:sz w:val="24"/>
          <w:szCs w:val="24"/>
          <w:highlight w:val="none"/>
        </w:rP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  <w:lang w:eastAsia="ru-RU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Требования к качеству поставляемого Товара: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Весь поставляемый Товар должен соответствовать государственным стандартам, санитарно-гигиеническим и пожарным нормам, должен быть разрешенным  для  применения ..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свойства)., а также к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ачество Товара должно соответствовать требованиям завода-изготовителя ,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 иным требованиям ГОСТов для данного вида товара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и подтверждаться при осуществлении поставки документами качества, необходимыми согласно действующему законодательству: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- копиями регистрационных удостоверений 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(при наличии).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;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- копиями деклараций соответствия или сертификатов соответствия, предлагаемыми к поставке на каждую партию поставляемого Товара (при наличии).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Вся сопроводительная информация о поставляемом Товаре должна иметь информацию на русском языке, перевод на русский язык. Товар должен иметь маркиров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очные ярлыки (или этикетки) с указанием полной информации, предусмотренной законами и иными нормативно-правовыми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Качественные характеристики и функциональные характеристики (потребительские свойства) Товара должны полностью соответствовать описанию объекта закупки.</w:t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При возникновении сомнений в качестве, эффективности и безопасности товара, Заказчик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может провести его дополнительную (внешнюю) экспертизу. При получении заключения экспертизы о несоответствии товара качеству эффективности и безопасности принятому для данного вида товара, расходы, связанные с её проведением возмещаются Поставщиком в бессп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орном порядке в полном объеме. 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При поставке некачественного Товара срок его замены на Товар надлежащего качества осуществляется Поставщиком за его счет и в срок, согласованные Заказчиком и Поставщиком н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е более 20 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рабочих дней с момента поступления претензии от Заказчика, переданной посредством факсимильного или электронного сообщения .</w:t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sz w:val="24"/>
          <w:szCs w:val="24"/>
          <w:highlight w:val="none"/>
        </w:rPr>
      </w:r>
    </w:p>
    <w:p>
      <w:pPr>
        <w:ind w:left="0" w:right="0" w:firstLine="0"/>
        <w:spacing w:before="0" w:after="0"/>
        <w:shd w:val="clear" w:color="ffffff" w:fill="ffffff"/>
        <w:rPr>
          <w:rFonts w:ascii="XO Thames" w:hAnsi="XO Thames" w:cs="XO Thames"/>
          <w:b w:val="0"/>
          <w:bCs w:val="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333333"/>
          <w:sz w:val="24"/>
          <w:szCs w:val="24"/>
        </w:rPr>
        <w:t xml:space="preserve">В случае в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ыявления недостатков качества Товара в процессе его непосредственной эксплуатации, установлен особый порядок предъявления претензи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й по качеству, а именно:</w:t>
      </w:r>
      <w:r>
        <w:rPr>
          <w:rFonts w:ascii="XO Thames" w:hAnsi="XO Thames" w:cs="XO Thames"/>
          <w:b w:val="0"/>
          <w:bCs w:val="0"/>
          <w:sz w:val="24"/>
          <w:szCs w:val="24"/>
        </w:rPr>
      </w:r>
      <w:r>
        <w:rPr>
          <w:rFonts w:ascii="XO Thames" w:hAnsi="XO Thames" w:cs="XO Thames"/>
          <w:b w:val="0"/>
          <w:bCs w:val="0"/>
          <w:sz w:val="24"/>
          <w:szCs w:val="24"/>
        </w:rPr>
      </w:r>
    </w:p>
    <w:p>
      <w:pPr>
        <w:pStyle w:val="929"/>
        <w:numPr>
          <w:ilvl w:val="0"/>
          <w:numId w:val="33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заказчик вправе предъявить требование о замене товара в случае обнаружения недостатков, в т. ч. по истечении сроков, предусмотренных 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разделом  контракта (гарантийные обязательства и т. д.).</w:t>
      </w:r>
      <w:r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r>
      <w:r>
        <w:rPr>
          <w:rFonts w:ascii="XO Thames" w:hAnsi="XO Thames" w:cs="XO Thames"/>
          <w:b w:val="0"/>
          <w:bCs w:val="0"/>
          <w:color w:val="000000" w:themeColor="text1"/>
          <w:sz w:val="24"/>
          <w:szCs w:val="24"/>
        </w:rPr>
      </w:r>
    </w:p>
    <w:p>
      <w:pPr>
        <w:pStyle w:val="929"/>
        <w:numPr>
          <w:ilvl w:val="0"/>
          <w:numId w:val="32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для инициирования процедуры замены Заказчик направляет Поставщику письменное требование на электронный адрес, указанный в карточке, с подробным описанием выявленных недостатков и, при наличии, приложением подтверждающих материалов (фото-,</w:t>
      </w: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 видеофиксация, акты и т. п.).</w:t>
      </w:r>
      <w:r>
        <w:rPr>
          <w:rFonts w:ascii="XO Thames" w:hAnsi="XO Thames" w:cs="XO Thames"/>
          <w:color w:val="000000" w:themeColor="text1"/>
          <w:sz w:val="24"/>
          <w:szCs w:val="24"/>
        </w:rPr>
      </w:r>
      <w:r>
        <w:rPr>
          <w:rFonts w:ascii="XO Thames" w:hAnsi="XO Thames" w:cs="XO Thames"/>
          <w:color w:val="000000" w:themeColor="text1"/>
          <w:sz w:val="24"/>
          <w:szCs w:val="24"/>
        </w:rPr>
      </w:r>
    </w:p>
    <w:p>
      <w:pPr>
        <w:pStyle w:val="929"/>
        <w:numPr>
          <w:ilvl w:val="0"/>
          <w:numId w:val="32"/>
        </w:numPr>
        <w:ind w:left="0" w:right="0" w:firstLine="0"/>
        <w:spacing w:before="0" w:after="0"/>
        <w:shd w:val="clear" w:color="ffffff" w:fill="ffffff"/>
        <w:rPr>
          <w:rFonts w:ascii="XO Thames" w:hAnsi="XO Thames" w:cs="XO Thames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 w:themeColor="text1"/>
          <w:sz w:val="24"/>
          <w:szCs w:val="24"/>
        </w:rPr>
        <w:t xml:space="preserve">поставщик обязуется осуществить замену некачественного товара в течение 40 (сорока) календарных дней с даты получения                    указанного           требования.</w:t>
      </w:r>
      <w:r>
        <w:rPr>
          <w:rFonts w:ascii="XO Thames" w:hAnsi="XO Thames" w:cs="XO Thames"/>
          <w:color w:val="000000" w:themeColor="text1"/>
          <w:sz w:val="24"/>
          <w:szCs w:val="24"/>
        </w:rPr>
      </w:r>
      <w:r>
        <w:rPr>
          <w:rFonts w:ascii="XO Thames" w:hAnsi="XO Thames" w:cs="XO Thames"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Требования к сроку годности: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eastAsia="XO Thames" w:cs="XO Thames"/>
          <w:b/>
          <w:bCs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bCs/>
          <w:color w:val="000000"/>
          <w:sz w:val="24"/>
          <w:szCs w:val="24"/>
        </w:rPr>
        <w:t xml:space="preserve">Остаточный срок годности поставляемого товара на дату поставки составляет не менее 75%  от общего срока годности товара.</w:t>
      </w:r>
      <w:r>
        <w:rPr>
          <w:rFonts w:ascii="XO Thames" w:hAnsi="XO Thames" w:eastAsia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eastAsia="XO Thames" w:cs="XO Thames"/>
          <w:b/>
          <w:bCs/>
          <w:sz w:val="24"/>
          <w:szCs w:val="24"/>
          <w:highlight w:val="none"/>
        </w:rPr>
      </w:r>
    </w:p>
    <w:p>
      <w:pPr>
        <w:ind w:firstLine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Гарантийный срок Поставщика должен составлять не менее 12 месяцев</w:t>
      </w:r>
      <w:r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Заказчику. Гарантия распространяется на сохранение стерильности, целостности упаковки и соответствие техническим характеристикам, указанным в технической документации производителя. Поста</w:t>
      </w:r>
      <w:r>
        <w:rPr>
          <w:rFonts w:ascii="Times New Roman" w:hAnsi="Times New Roman"/>
          <w:sz w:val="24"/>
          <w:szCs w:val="24"/>
          <w:lang w:eastAsia="ru-RU"/>
        </w:rPr>
        <w:t xml:space="preserve">вщик обязуется бесплатно заменить товар или устранить дефекты, возникшие по вине производителя, в течение гарантийного срока при условии соблюдения заказчиком правил хранения, транспортировки и использования, предусмотренных эксплуатационной документацией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/>
          <w:bCs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/>
          <w:bCs/>
          <w:sz w:val="24"/>
          <w:szCs w:val="24"/>
          <w:highlight w:val="none"/>
        </w:rPr>
      </w:r>
      <w:r>
        <w:rPr>
          <w:rFonts w:ascii="XO Thames" w:hAnsi="XO Thames" w:cs="XO Thames"/>
          <w:b/>
          <w:bCs/>
        </w:rPr>
      </w:r>
      <w:r>
        <w:rPr>
          <w:rFonts w:ascii="XO Thames" w:hAnsi="XO Thames" w:cs="XO Thames"/>
          <w:b/>
          <w:bCs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 Требования к транспортировке, таре, упаковке и маркировке Товара: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Доставка товара, разгрузочно-погрузочные работы осуществляются транспортом Поставщика и за его счет.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Товар должен быть доставлен по адресу Заказчика транспортом, обеспечивающим сохранность товара от загряз</w:t>
      </w:r>
      <w:r>
        <w:rPr>
          <w:rFonts w:ascii="XO Thames" w:hAnsi="XO Thames" w:eastAsia="XO Thames" w:cs="XO Thames"/>
          <w:b w:val="0"/>
          <w:bCs w:val="0"/>
          <w:sz w:val="24"/>
          <w:szCs w:val="24"/>
        </w:rPr>
        <w:t xml:space="preserve">нения, пропитывания товара посторонними запахами, сохранность от влияния низких и высоких температур, обеспечивающих его дальнейшее качественное и безопасное применение, при несоблюдении данных условий весь товар разгрузке по адресу Заказчика не подлежит.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Товар должен поставляться в таре, упаковке, обеспечивающей сохранность и качество товара при перевозке и хранении. 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shd w:val="clear" w:color="ffffff" w:fill="ffffff"/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Тара, упаковка и маркировка Товара должны соответствовать требованиям, установленным законодательством Российской Федерации, а тара, упаковка и маркировка импортного Товара – международным стандартам и обеспечивать возможность количественного учета поставл</w:t>
      </w: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енного Товара.</w:t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XO Thames" w:hAnsi="XO Thames" w:cs="XO Thame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pP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none"/>
          <w:lang w:eastAsia="zh-CN"/>
        </w:rPr>
        <w:t xml:space="preserve">В случае  многокомпонентного товара типа набора  каждая упаковка должна содержать  маркировку позволяющую 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идентифици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р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о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в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а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т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white"/>
        </w:rPr>
        <w:t xml:space="preserve">ь</w:t>
      </w:r>
      <w:r>
        <w:rPr>
          <w:rFonts w:ascii="XO Thames" w:hAnsi="XO Thames" w:eastAsia="XO Thames" w:cs="XO Thames"/>
          <w:b w:val="0"/>
          <w:bCs w:val="0"/>
          <w:i/>
          <w:iCs/>
          <w:color w:val="auto"/>
          <w:sz w:val="24"/>
          <w:szCs w:val="24"/>
          <w:highlight w:val="none"/>
          <w:lang w:eastAsia="zh-CN"/>
        </w:rPr>
        <w:t xml:space="preserve">  набор в комплекте</w:t>
      </w:r>
      <w:r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r>
      <w:r>
        <w:rPr>
          <w:rFonts w:ascii="XO Thames" w:hAnsi="XO Thames" w:cs="XO Thames"/>
          <w:b w:val="0"/>
          <w:bCs/>
          <w:i/>
          <w:color w:val="auto"/>
          <w:sz w:val="22"/>
          <w:szCs w:val="22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Поставщик должен обеспечить упаковку Товара, способную предотвратить их повреждение или порчу во время перевозки к конечным пунктам назначения. Упаковка должна выдерживать воздействие экстремальных температур и осадков во время перевозки.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/>
        <w:rPr>
          <w:rFonts w:ascii="XO Thames" w:hAnsi="XO Thames" w:cs="XO Thames"/>
          <w:b w:val="0"/>
          <w:bCs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XO Thames" w:hAnsi="XO Thames" w:eastAsia="XO Thames" w:cs="XO Thames"/>
          <w:b w:val="0"/>
          <w:bCs w:val="0"/>
          <w:color w:val="000000"/>
          <w:sz w:val="24"/>
          <w:szCs w:val="24"/>
        </w:rPr>
        <w:t xml:space="preserve"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</w:t>
      </w:r>
      <w:r>
        <w:rPr>
          <w:rFonts w:ascii="XO Thames" w:hAnsi="XO Thames" w:cs="XO Thames"/>
          <w:b w:val="0"/>
          <w:bCs w:val="0"/>
          <w:szCs w:val="24"/>
        </w:rPr>
      </w:r>
      <w:r>
        <w:rPr>
          <w:rFonts w:ascii="XO Thames" w:hAnsi="XO Thames" w:cs="XO Thames"/>
          <w:b w:val="0"/>
          <w:bCs w:val="0"/>
          <w:szCs w:val="24"/>
        </w:rPr>
      </w:r>
    </w:p>
    <w:p>
      <w:pPr>
        <w:ind w:left="0" w:right="0" w:firstLine="0"/>
        <w:jc w:val="both"/>
        <w:spacing w:after="0" w:line="240" w:lineRule="auto"/>
        <w:rPr>
          <w:rFonts w:ascii="XO Thames" w:hAnsi="XO Thames" w:cs="XO Thames"/>
          <w:color w:val="000000" w:themeColor="text1"/>
          <w:sz w:val="22"/>
          <w:szCs w:val="22"/>
          <w:highlight w:val="none"/>
        </w:rPr>
      </w:pP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  <w:r>
        <w:rPr>
          <w:rFonts w:ascii="XO Thames" w:hAnsi="XO Thames" w:cs="XO Thames"/>
          <w:color w:val="000000" w:themeColor="text1"/>
          <w:sz w:val="22"/>
          <w:szCs w:val="22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contextualSpacing w:val="0"/>
        <w:ind w:left="709" w:right="57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Требуемые характеристики товара.(</w:t>
      </w:r>
      <w:r>
        <w:rPr>
          <w:rFonts w:eastAsia="Times New Roman" w:cs="Times New Roman"/>
          <w:b/>
          <w:sz w:val="28"/>
          <w:szCs w:val="28"/>
        </w:rPr>
        <w:t xml:space="preserve">ОПИСАНИЕ ОБЪЕКТА ЗАКУПКИ</w:t>
      </w:r>
      <w:r>
        <w:rPr>
          <w:rFonts w:eastAsia="Times New Roman" w:cs="Times New Roman"/>
          <w:b/>
          <w:sz w:val="28"/>
          <w:szCs w:val="28"/>
        </w:rPr>
        <w:t xml:space="preserve">)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ind w:right="57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Каталог товаров, работ, услуг для обеспечения государственных и муниципальных нужд не применяется из-за отсутствия в каталоге позиций с требуемым набором параметров.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 w:val="0"/>
        <w:ind w:left="709" w:right="57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 w:val="0"/>
        <w:ind w:left="709" w:right="57" w:firstLine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left"/>
        <w:spacing w:after="0" w:line="240" w:lineRule="auto"/>
        <w:rPr>
          <w:rFonts w:ascii="Times New Roman" w:hAnsi="Times New Roman" w:eastAsia="Times New Roman" w:cs="Times New Roman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Характеристики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товара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изложены в Таблице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</w:p>
    <w:tbl>
      <w:tblPr>
        <w:tblStyle w:val="937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2068"/>
        <w:gridCol w:w="5585"/>
        <w:gridCol w:w="1134"/>
        <w:gridCol w:w="567"/>
        <w:gridCol w:w="709"/>
      </w:tblGrid>
      <w:tr>
        <w:tblPrEx/>
        <w:trPr>
          <w:trHeight w:val="14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№пп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6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Наименование товара, работы, услуги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85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Дополнительное описание товара, работы, услуги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Код ОКПД2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Единица </w:t>
              <w:br/>
              <w:t xml:space="preserve">измерения</w:t>
            </w:r>
            <w:r/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Количество</w:t>
            </w:r>
            <w:r/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68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Дезинфицирующее жидкое мыло "Тетрософт", 1л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85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Назначение:для организаций, осуществляющихмедицинскую деятельность различного профиля и других организаций, имеющих право заниматься дезинфекционной деятельностью, использования нас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елением в быту:гигиеническая обработка (мытье) рук хирургов, оперирующего медицинского персонала перед обработкой антисептическим средством;гигиеническая обработка (мытье) рук медицинского персонала до и после проведения различных медицинских манипуляций;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гигиеническая обработка (мытье) рук и кожных покровов взрослым населением в быту;гигиеническая обработка ступней ног в целях профилактики грибковых заболеваний;профилактическая обработка рук и кожных покровов в очагах вируса гриппа;гигиеническая обработка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(мытье) рук и санитарная обработка кожных покровов работников и пациентов различных учреждений и предприятий.</w:t>
              <w:br/>
              <w:t xml:space="preserve">Особенности:Обладает антимикробной активностью в отношении грамотрицательных (кроме микобактерий туберкулеза) и грамположительных бактерий (в том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числе в отношении возбудителей ВБИ, кишечных инфекций); вирусов (в отношении возбудителей энтеральных и парентеральных гепатитов, ВИЧ-инфекции, гриппа, в т.ч. типа А/H1N1, A/H5N1 и др.); грибов рода Кандида, Трихофитон.Содержит смягчающие и увлажняющие кож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у добавки.</w:t>
              <w:br/>
              <w:t xml:space="preserve">Обладает пролонгированным антимикробным действием в течение 3 часов.</w:t>
              <w:br/>
              <w:t xml:space="preserve">Комфортный для кожи уровень pH.Экономично в применении.</w:t>
              <w:br/>
              <w:t xml:space="preserve">Состав: ундециленамидопропилтримониумметосульфат (тетранил У) (0,5%), функциональные добавки, в том числе увлажняющие и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ухаживающие за кожей компоненты.                                                                                Тип средства Жидкое  дезинфицирующее средство  (концентрат)                                            </w:t>
              <w:br/>
              <w:t xml:space="preserve">Объём упаковки ( полимерный флакон с кры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шкой) -1 литр</w:t>
              <w:br/>
              <w:t xml:space="preserve">Остаточный срок годности не менее 75% от установленного производителем.                                                      Срок годности средства в невскрытой упаковке производителя при соблюдении условий хранения составляет не менее 5 лет.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20.20.14.000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шт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67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68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Средство дезинфицирующее "Техномикс", 1л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85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Форма выпуска жидкость</w:t>
              <w:br/>
              <w:t xml:space="preserve">Назначение: медицинского назначения; Для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 дезинфекции медицинских отходов класса Б; Для дезинфекции медицинских отходов класса В, Для дезинфекции поверхностей из различных материалов; Для дезинфекции санитарно-технического оборудования; Для дезинфекции системы вентиляции и кондиционирования возду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ха; Для дезинфекции уборочного инвентаря; Для проведения дезинфекции (профилактической, текущей, заключительной), Для дезинфекции, совмещенной с предстерилизационной очисткой, Для дезинфекции крови и биологических выделений ;                              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                 Антимикробная активность в отношении грамотрицательных и грамположительных бактерий (включая возбудителей туберкулеза, внутрибольничных и анаэробных инфекций); вирусов (в отношении всех известных вирусов-патогенов человека, в т.ч. вирусов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энтеральных и парентеральных гепатитов (включая гепатиты А, В и С), ВИЧ, полиомиелита, аденовирусов, энтеровирусов Коксаки, ЕСНО, ротавирусов, норовирусов, коронавирусов, вирусов “атипичной пневмонии”. (SARS), герпеса, гриппа, в т.ч. “птичьего” (А/H5N1), “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свиного” (A/H1N1) и пр.); грибов (в т.ч. в отношении  патогенных грибов рода Кандида и Трихофитон (дерматофитий), плесневых грибов), а также овоцидными свойствами в отношении возбудителей паразитарных заболеваний (инвазий), в т.ч. в отношении цист и ооцист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  простейших, яиц и личинок возбудителей кишечных гельминтозов.;     В качестве действующих веществ комплекс четвертичных аммониевых соединений (ЧАС)  ≥ 6 и ≤ 8 процент,   В качестве действующих веществ производные аминов ≥ 2 и ≤ 3  процент;</w:t>
              <w:br/>
              <w:t xml:space="preserve">Срок годности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рабочих растворов более 40 дней 40 сутки</w:t>
              <w:br/>
              <w:t xml:space="preserve">Показатель концентрации водородных ионов (рН) средства 1% раствора ≥ 6 и ≤ 10 единица</w:t>
              <w:br/>
              <w:t xml:space="preserve">Тип средства Жидкое  дезинфицирующее средство  (концентрат)                                            </w:t>
              <w:br/>
              <w:t xml:space="preserve">Объём упаковки ( полимерн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ый флакон с крышкой) -1 литр</w:t>
              <w:br/>
              <w:t xml:space="preserve">Остаточный срок годности не менее 75% от установленного производителем.                                                     Гарантийный срок производителя при невскрытой упаковке -  не менее 5 лет.</w:t>
              <w:br/>
              <w:t xml:space="preserve">РУ на медицинское изделие Да</w:t>
              <w:br/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20.20.14.000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шт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82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3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68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Средство дезинфицирующее "Альсепт Экспресс", 1л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85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Назначение средс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тва дезинфицирующего Для дезинфекции изделий медицинского назначения; Для дезинфекции обуви из различных материалов; Для дезинфекции поверхностей из различных материалов; Для дезинфекции посуды столовой, лабораторной;  Для обработки кожных покровов;  Тип с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редства Жидкое дезинфицирующее средство (готовый раствор) Антимикробная активность Антимикробная активность в отношении грамположительных и грамотрицательных бактерий (включая возбудителей туберкулеза, тестировано на Mycobacterium terrae), возбудителей осо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бо опасных инфекций (чумы, холеры, туляремии), противовирусной активностью (в отношении возбудителей ECHO 6 группы вирусов полиомиелита, вирусов энтеральных и парентеральных гепатитов (в том числе гепатита А, В и С), ВИЧ, аденовирусов, энтеровирусов, ротав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ирусов, коронавирусов (в том числе Covid2019), вирусов «атипичной пневмонии» (SARS), «птичьего» гриппа H5N1, «свиного» гриппа A/H1N1, гриппа человека, герпеса и др.), внутрибольничных инфекций (метициллин-резистентного золотистого стафилококка (S. aureus),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 кишечной палочки (E. Coli), синегнойной палочки (P. aeruginosa), легионеллеза, анаэробных инфекций, грибковых инфекций (в т.ч. в отношении возбудителей кандидозов и дерматофитов, плесневых грибов), а также овоцидным действием (в отношении цист и ооцист, я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иц, онкосфер и личинок гельминтов, остриц). В качестве действующих веществ в составе средства содержится изопропиловый спирт ≥ 65 и ≤ 85 процент</w:t>
              <w:br/>
              <w:t xml:space="preserve">В качестве действующих веществ в составе средства содержится хлоргексидин биглюконат ≥ 0.4 и ≤ 1 процент</w:t>
              <w:br/>
              <w:t xml:space="preserve">В каче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стве действующих веществ в составе средства не содержится кислоты, активный кислород, четвертично-аммониевые соединения, амины, фенолы и их производные. </w:t>
              <w:br/>
              <w:t xml:space="preserve">Время экспозиции при гигиенической обработке рук медицинского персонала  ≥ 5 и ≤ 15 секунда</w:t>
              <w:br/>
              <w:t xml:space="preserve">Режимы дез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инфекции поверхностей дезинфицирующим средством  (вид инфекции- вирусная) ≥ 0 и ≤ 1 минута</w:t>
              <w:br/>
              <w:t xml:space="preserve">Антимикробное действие Средство обладает пролонгированным антимикробным действием  больше 5 часов </w:t>
              <w:br/>
              <w:t xml:space="preserve">Упаковка Полимерный флакон  с крышкой для настенных локтевых дозат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оров  Объём упаковки  -1 литр</w:t>
              <w:br/>
              <w:t xml:space="preserve">Остаточный срок годности не менее 75% от установленного производителем.                                                     Гарантийный срок производителя при невскрытой упаковке -  не менее 5 лет.</w:t>
              <w:br/>
              <w:t xml:space="preserve">РУ на медицинское изделие Да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20.20.14.000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шт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4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68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Средство дезинфицирующее «Ок"Септ салфетки»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85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Назначение: Для дезинфекции изделий медицинского назначения; Для дезинфекции поверхностей из различных материалов; Для обработки кожных покрововТип : Салфетки антисептические спиртовые влажные</w:t>
              <w:br/>
              <w:t xml:space="preserve">Тип средства В виде готовых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к применению влажных дезинфицирующих салфеток из нетканого материала, равномерно пропитанных дезинфицирующим раствором   ;                                                                                               Тип упаковки: пластиковая банка с герме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тичной крышкой;                                                                                                                                                         В качестве действующих веществ средство содержит изопропиловый спирт ≥ 56 и ≤ 65 процент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, В  качестве действующих веществ средство содержит пропиловый спирт  ≥ 5 и ≤ 14 процент</w:t>
              <w:br/>
              <w:t xml:space="preserve">В качестве действующих веществ средство не содержит  четвертичные аммониевые соединения, альдегиды, амины, производные фенола, этиловый спирт, производные гуанидина, г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ексидины </w:t>
              <w:br/>
              <w:t xml:space="preserve">Пролонгированное антимикробное действие  5 час</w:t>
              <w:br/>
              <w:t xml:space="preserve">Время обеззараживания различных поверхностей по бактериальному режиму  ≥ 0.1 и ≤ 1 процент</w:t>
              <w:br/>
              <w:t xml:space="preserve">Гигиеническая обработка рук ≥ 1 и ≤ 30 секунда</w:t>
              <w:br/>
              <w:t xml:space="preserve">Размер салфеток, мм  165х180</w:t>
              <w:br/>
              <w:t xml:space="preserve">Количество штук в упаковке: 200</w:t>
              <w:br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Остаточный срок годности не менее 75% от установленного производителем  .                                                                                Гарантийный срок производителя при невскрытой упаковке - не менее 5 лет.</w:t>
              <w:br/>
              <w:t xml:space="preserve">РУ на медицинское изделие Да</w:t>
              <w:br/>
              <w:br/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20.20.14.000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шт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5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68" w:type="dxa"/>
            <w:vAlign w:val="top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Профессиональный крем для ухода за кожей рук  «Манидерм» ,125г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85" w:type="dxa"/>
            <w:vAlign w:val="top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Тип : профессиональный</w:t>
              <w:br/>
              <w:t xml:space="preserve">Назначение: для ухода за кожей рук, повреждённой контактом с моющими, дезинфицирующими,антисептическими средствами, длительной работой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в перчатках,частым контактом с водой и антибактериальными мылами.,Увлажняет, питает и замедляет старение кожи.,Способствует сохранению гидробаланса и эластичности кожи,Обладает противовоспалительным и ранозаживляющим действием. В составе:пантенол, экстракт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 Алоэ Вера, экстракт календулы, витамин Е, Д-пантенол</w:t>
              <w:br/>
              <w:t xml:space="preserve">Форма выпуска: пластиковые тубы 125 мл.  Без запаха.     Гарантийный срок производителя при невскрытой упаковке - не менее 18 мес.</w:t>
              <w:br/>
              <w:t xml:space="preserve">Остаточный срок годности не менее 75% от установленного производителем.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20.42.15.141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шт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6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00" w:fill="ffff0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68" w:type="dxa"/>
            <w:vAlign w:val="top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Средство дезинфицирующее</w:t>
              <w:br/>
              <w:t xml:space="preserve">"Мистраль", 5 л</w:t>
              <w:br/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00" w:fill="ffff0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85" w:type="dxa"/>
            <w:vAlign w:val="top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Форма выпуска – жидкость.</w:t>
              <w:br/>
              <w:t xml:space="preserve">Тип средства – жидкое дезинфицирующее средство (концентрат).</w:t>
              <w:br/>
              <w:t xml:space="preserve">Средство предназначено для: Для дезинфекции медицинских отходов класса Б, Для дезинфекции медицинских отходов класса В, Для предс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терилизационной очистки, Для дезинфекции, совмещенной с предстерилизационной очисткой, Для проведения дезинфекции (профилактической, текущей, заключительной), Для дезинфекции поверхностей из различных материалов.Средство должно быть  предназначено для  дез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инфекции, в т.ч. совмещенной с ПСО, изделий медицинского назначения ручным и механизированным способом,  обеззараживание поверхностей, пораженных плесневыми грибами.Средство обладает  моющими  свойствами.Средство обладает антимикробной активностью в отноше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нии грамотрицательных и грамположительных бактерий (включая микобактерии туберкулеза, возбудителей особо опасных инфекций – чумы, холеры), вирусов (энтеровирусных инфекций - Коксаки, ЕСНО, полиомиелита; энтеральных и парентеральных гепатитов, ВИЧ, гриппа в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 т.ч. Н5N1, H1N1, аденовирусов и др. возбудителей ОРВИ, герпеса, цитомегалии), грибов рода Кандида, дерматофитов, плесневых</w:t>
              <w:br/>
              <w:t xml:space="preserve">грибов, а также моющими свойствами.</w:t>
              <w:br/>
              <w:t xml:space="preserve"> Показатель активности водородных ионов (рН) 1% - раствора средства составляет 10,6 ± 0,6.</w:t>
              <w:br/>
              <w:t xml:space="preserve">В кач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естве действующих веществ - третичный амин и/или соли амина, % - ≥ 7,5 и ≤ 22</w:t>
              <w:br/>
              <w:t xml:space="preserve">Концентрация рабочего раствора , для дезинфекции, совмещенной с предстерилизационной очисткой при вирусных, бактериальных (включая туберкулез) и грибковых (кандидозы) инфекциях)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ИМН 3% при времени экспозиции не более 30 минут.</w:t>
              <w:br/>
              <w:t xml:space="preserve">Срок эффективности рабочего раствора средства: ≥ 30 суток.</w:t>
              <w:br/>
              <w:t xml:space="preserve">Объем упаковки (полимерная канистра) : 5 литров</w:t>
              <w:br/>
              <w:t xml:space="preserve">Остаточный срок годности не менее 75% от установленного производителем.</w:t>
              <w:br/>
              <w:t xml:space="preserve">РУ на медицинское изделие Да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00" w:fill="ffff0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20.20.14.000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00" w:fill="ffff0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шт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00" w:fill="ffff0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17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4" w:type="dxa"/>
            <w:vAlign w:val="top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7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68" w:type="dxa"/>
            <w:vAlign w:val="top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Средство дезинфицирующее "Экобриз - спрей ",  0,75л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585" w:type="dxa"/>
            <w:vAlign w:val="top"/>
            <w:textDirection w:val="lrTb"/>
            <w:noWrap w:val="false"/>
          </w:tcPr>
          <w:p>
            <w:pPr>
              <w:jc w:val="left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Назначение средства де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зинфицирующего Для дезинфекции поверхностей из различных материалов, Для дезинфекции предметов ухода за больными, Для дезинфекции обуви из различных материалов;  Вид тары, упаковки Флакон </w:t>
              <w:br/>
              <w:t xml:space="preserve">Вид флакона C курковым распылителем </w:t>
              <w:br/>
              <w:t xml:space="preserve">Тип средства  Готовый раствор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br/>
              <w:t xml:space="preserve">Антимикробная активность в отношении грамотрицательных и грамположительных бактерий (включая ВБИ, туберкулеза – тестировано на М.terrae, M.tuberculosis), вирусов (включая возбудителей полиомиелита, парентеральных и энтеральных гепатитов, ВИЧ-инфекции, ост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рых респираторных вирусных инфекций, вирусов герпеса, аденовирусов и т.д.), патогенных грибов (в том числе возбудителей дерматофитий и кандидозов)</w:t>
              <w:br/>
              <w:t xml:space="preserve">В качестве действующих веществ не содержит гуанидинов, третичных аминов, фенолов, перекисных соединений, проп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анол-1, хлоргексидина биглюконат </w:t>
              <w:br/>
              <w:t xml:space="preserve">В качестве действующих веществ в составе средства содержится изопропиловый спирт (пропанол-2) ≥ 60 и ≤ 70 процент</w:t>
              <w:br/>
              <w:t xml:space="preserve">В качестве действующих веществ средство содержит ЧАС ≥ 0.025 и ≤ 0.5 процент</w:t>
              <w:br/>
              <w:t xml:space="preserve">Время экспозиции при дезинфекци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и небольшие по площади, а также труднодоступные для обработки поверхности в помещениях, предметы обстановки, приборы, медицинское оборудование т.д. при вирусных инфекиях ≥ 10 и ≤ 30 секунда</w:t>
              <w:br/>
              <w:t xml:space="preserve">Форма выпуска: полиэтиленовый флакон объемом 750 мл с 2 режимами р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аспыления (струйный и мелкодисперсный).</w:t>
              <w:br/>
              <w:t xml:space="preserve">Тип дозатора: спрей-распылитель</w:t>
              <w:br/>
              <w:t xml:space="preserve">Остаточный срок годности не менее 75% от установленного производителем.  Гарантийный срок хранения производителя при невскрытой упаковке -  не менее 5 лет.</w:t>
              <w:br/>
              <w:t xml:space="preserve">РУ на медицинское изделие Да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top"/>
            <w:textDirection w:val="lrTb"/>
            <w:noWrap w:val="false"/>
          </w:tcPr>
          <w:p>
            <w:pPr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20.20.14.000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7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шт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709" w:type="dxa"/>
            <w:vAlign w:val="top"/>
            <w:textDirection w:val="lrTb"/>
            <w:noWrap w:val="false"/>
          </w:tcPr>
          <w:p>
            <w:pPr>
              <w:jc w:val="center"/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  <w:t xml:space="preserve">30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sectPr>
      <w:headerReference w:type="default" r:id="rId9"/>
      <w:headerReference w:type="first" r:id="rId10"/>
      <w:footnotePr/>
      <w:endnotePr/>
      <w:type w:val="nextPage"/>
      <w:pgSz w:w="12240" w:h="15840" w:orient="portrait"/>
      <w:pgMar w:top="567" w:right="567" w:bottom="567" w:left="1134" w:header="397" w:footer="39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</w:font>
  <w:font w:name="SimSun">
    <w:panose1 w:val="02000604000000000000"/>
  </w:font>
  <w:font w:name="Wingdings">
    <w:panose1 w:val="05010000000000000000"/>
  </w:font>
  <w:font w:name="Symbol">
    <w:panose1 w:val="05050102000706020507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885397428"/>
      <w:docPartObj>
        <w:docPartGallery w:val="Page Numbers (Top of Page)"/>
        <w:docPartUnique w:val="true"/>
      </w:docPartObj>
      <w:rPr/>
    </w:sdtPr>
    <w:sdtContent>
      <w:p>
        <w:pPr>
          <w:pStyle w:val="930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</w:t>
        </w:r>
        <w:r>
          <w:fldChar w:fldCharType="end"/>
        </w:r>
        <w:r/>
      </w:p>
    </w:sdtContent>
  </w:sdt>
  <w:p>
    <w:pPr>
      <w:pStyle w:val="93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3"/>
      <w:numFmt w:val="decimal"/>
      <w:isLgl/>
      <w:suff w:val="tab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37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hint="default" w:ascii="Times New Roman" w:hAnsi="Times New Roman" w:cs="Times New Roman"/>
        <w:b w:val="0"/>
        <w:i w:val="0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77" w:hanging="360"/>
      </w:pPr>
      <w:rPr>
        <w:rFonts w:hint="default" w:ascii="Times New Roman" w:hAnsi="Times New Roman" w:cs="Times New Roman"/>
        <w:b w:val="0"/>
        <w:i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3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9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8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3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3"/>
  </w:num>
  <w:num w:numId="5">
    <w:abstractNumId w:val="12"/>
  </w:num>
  <w:num w:numId="6">
    <w:abstractNumId w:val="14"/>
  </w:num>
  <w:num w:numId="7">
    <w:abstractNumId w:val="20"/>
  </w:num>
  <w:num w:numId="8">
    <w:abstractNumId w:val="3"/>
  </w:num>
  <w:num w:numId="9">
    <w:abstractNumId w:val="5"/>
  </w:num>
  <w:num w:numId="10">
    <w:abstractNumId w:val="15"/>
  </w:num>
  <w:num w:numId="11">
    <w:abstractNumId w:val="10"/>
  </w:num>
  <w:num w:numId="12">
    <w:abstractNumId w:val="8"/>
  </w:num>
  <w:num w:numId="13">
    <w:abstractNumId w:val="4"/>
  </w:num>
  <w:num w:numId="14">
    <w:abstractNumId w:val="11"/>
  </w:num>
  <w:num w:numId="15">
    <w:abstractNumId w:val="18"/>
  </w:num>
  <w:num w:numId="16">
    <w:abstractNumId w:val="7"/>
  </w:num>
  <w:num w:numId="17">
    <w:abstractNumId w:val="21"/>
  </w:num>
  <w:num w:numId="18">
    <w:abstractNumId w:val="1"/>
  </w:num>
  <w:num w:numId="19">
    <w:abstractNumId w:val="19"/>
  </w:num>
  <w:num w:numId="20">
    <w:abstractNumId w:val="17"/>
  </w:num>
  <w:num w:numId="21">
    <w:abstractNumId w:val="16"/>
  </w:num>
  <w:num w:numId="22">
    <w:abstractNumId w:val="2"/>
  </w:num>
  <w:num w:numId="23">
    <w:abstractNumId w:val="22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>
    <w:name w:val="Heading 1"/>
    <w:basedOn w:val="925"/>
    <w:next w:val="925"/>
    <w:link w:val="7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5">
    <w:name w:val="Heading 1 Char"/>
    <w:basedOn w:val="926"/>
    <w:link w:val="754"/>
    <w:uiPriority w:val="9"/>
    <w:rPr>
      <w:rFonts w:ascii="Arial" w:hAnsi="Arial" w:eastAsia="Arial" w:cs="Arial"/>
      <w:sz w:val="40"/>
      <w:szCs w:val="40"/>
    </w:rPr>
  </w:style>
  <w:style w:type="paragraph" w:styleId="756">
    <w:name w:val="Heading 2"/>
    <w:basedOn w:val="925"/>
    <w:next w:val="925"/>
    <w:link w:val="7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7">
    <w:name w:val="Heading 2 Char"/>
    <w:basedOn w:val="926"/>
    <w:link w:val="756"/>
    <w:uiPriority w:val="9"/>
    <w:rPr>
      <w:rFonts w:ascii="Arial" w:hAnsi="Arial" w:eastAsia="Arial" w:cs="Arial"/>
      <w:sz w:val="34"/>
    </w:rPr>
  </w:style>
  <w:style w:type="paragraph" w:styleId="758">
    <w:name w:val="Heading 3"/>
    <w:basedOn w:val="925"/>
    <w:next w:val="925"/>
    <w:link w:val="7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9">
    <w:name w:val="Heading 3 Char"/>
    <w:basedOn w:val="926"/>
    <w:link w:val="758"/>
    <w:uiPriority w:val="9"/>
    <w:rPr>
      <w:rFonts w:ascii="Arial" w:hAnsi="Arial" w:eastAsia="Arial" w:cs="Arial"/>
      <w:sz w:val="30"/>
      <w:szCs w:val="30"/>
    </w:rPr>
  </w:style>
  <w:style w:type="paragraph" w:styleId="760">
    <w:name w:val="Heading 4"/>
    <w:basedOn w:val="925"/>
    <w:next w:val="925"/>
    <w:link w:val="7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1">
    <w:name w:val="Heading 4 Char"/>
    <w:basedOn w:val="926"/>
    <w:link w:val="760"/>
    <w:uiPriority w:val="9"/>
    <w:rPr>
      <w:rFonts w:ascii="Arial" w:hAnsi="Arial" w:eastAsia="Arial" w:cs="Arial"/>
      <w:b/>
      <w:bCs/>
      <w:sz w:val="26"/>
      <w:szCs w:val="26"/>
    </w:rPr>
  </w:style>
  <w:style w:type="paragraph" w:styleId="762">
    <w:name w:val="Heading 5"/>
    <w:basedOn w:val="925"/>
    <w:next w:val="925"/>
    <w:link w:val="7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3">
    <w:name w:val="Heading 5 Char"/>
    <w:basedOn w:val="926"/>
    <w:link w:val="762"/>
    <w:uiPriority w:val="9"/>
    <w:rPr>
      <w:rFonts w:ascii="Arial" w:hAnsi="Arial" w:eastAsia="Arial" w:cs="Arial"/>
      <w:b/>
      <w:bCs/>
      <w:sz w:val="24"/>
      <w:szCs w:val="24"/>
    </w:rPr>
  </w:style>
  <w:style w:type="paragraph" w:styleId="764">
    <w:name w:val="Heading 6"/>
    <w:basedOn w:val="925"/>
    <w:next w:val="925"/>
    <w:link w:val="7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5">
    <w:name w:val="Heading 6 Char"/>
    <w:basedOn w:val="926"/>
    <w:link w:val="764"/>
    <w:uiPriority w:val="9"/>
    <w:rPr>
      <w:rFonts w:ascii="Arial" w:hAnsi="Arial" w:eastAsia="Arial" w:cs="Arial"/>
      <w:b/>
      <w:bCs/>
      <w:sz w:val="22"/>
      <w:szCs w:val="22"/>
    </w:rPr>
  </w:style>
  <w:style w:type="paragraph" w:styleId="766">
    <w:name w:val="Heading 7"/>
    <w:basedOn w:val="925"/>
    <w:next w:val="925"/>
    <w:link w:val="7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7">
    <w:name w:val="Heading 7 Char"/>
    <w:basedOn w:val="926"/>
    <w:link w:val="7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8">
    <w:name w:val="Heading 8"/>
    <w:basedOn w:val="925"/>
    <w:next w:val="925"/>
    <w:link w:val="7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9">
    <w:name w:val="Heading 8 Char"/>
    <w:basedOn w:val="926"/>
    <w:link w:val="768"/>
    <w:uiPriority w:val="9"/>
    <w:rPr>
      <w:rFonts w:ascii="Arial" w:hAnsi="Arial" w:eastAsia="Arial" w:cs="Arial"/>
      <w:i/>
      <w:iCs/>
      <w:sz w:val="22"/>
      <w:szCs w:val="22"/>
    </w:rPr>
  </w:style>
  <w:style w:type="paragraph" w:styleId="770">
    <w:name w:val="Heading 9"/>
    <w:basedOn w:val="925"/>
    <w:next w:val="925"/>
    <w:link w:val="7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1">
    <w:name w:val="Heading 9 Char"/>
    <w:basedOn w:val="926"/>
    <w:link w:val="770"/>
    <w:uiPriority w:val="9"/>
    <w:rPr>
      <w:rFonts w:ascii="Arial" w:hAnsi="Arial" w:eastAsia="Arial" w:cs="Arial"/>
      <w:i/>
      <w:iCs/>
      <w:sz w:val="21"/>
      <w:szCs w:val="21"/>
    </w:rPr>
  </w:style>
  <w:style w:type="paragraph" w:styleId="772">
    <w:name w:val="No Spacing"/>
    <w:uiPriority w:val="1"/>
    <w:qFormat/>
    <w:pPr>
      <w:spacing w:before="0" w:after="0" w:line="240" w:lineRule="auto"/>
    </w:pPr>
  </w:style>
  <w:style w:type="paragraph" w:styleId="773">
    <w:name w:val="Title"/>
    <w:basedOn w:val="925"/>
    <w:next w:val="925"/>
    <w:link w:val="7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4">
    <w:name w:val="Title Char"/>
    <w:basedOn w:val="926"/>
    <w:link w:val="773"/>
    <w:uiPriority w:val="10"/>
    <w:rPr>
      <w:sz w:val="48"/>
      <w:szCs w:val="48"/>
    </w:rPr>
  </w:style>
  <w:style w:type="paragraph" w:styleId="775">
    <w:name w:val="Subtitle"/>
    <w:basedOn w:val="925"/>
    <w:next w:val="925"/>
    <w:link w:val="776"/>
    <w:uiPriority w:val="11"/>
    <w:qFormat/>
    <w:pPr>
      <w:spacing w:before="200" w:after="200"/>
    </w:pPr>
    <w:rPr>
      <w:sz w:val="24"/>
      <w:szCs w:val="24"/>
    </w:rPr>
  </w:style>
  <w:style w:type="character" w:styleId="776">
    <w:name w:val="Subtitle Char"/>
    <w:basedOn w:val="926"/>
    <w:link w:val="775"/>
    <w:uiPriority w:val="11"/>
    <w:rPr>
      <w:sz w:val="24"/>
      <w:szCs w:val="24"/>
    </w:rPr>
  </w:style>
  <w:style w:type="paragraph" w:styleId="777">
    <w:name w:val="Quote"/>
    <w:basedOn w:val="925"/>
    <w:next w:val="925"/>
    <w:link w:val="778"/>
    <w:uiPriority w:val="29"/>
    <w:qFormat/>
    <w:pPr>
      <w:ind w:left="720" w:right="720"/>
    </w:pPr>
    <w:rPr>
      <w:i/>
    </w:rPr>
  </w:style>
  <w:style w:type="character" w:styleId="778">
    <w:name w:val="Quote Char"/>
    <w:link w:val="777"/>
    <w:uiPriority w:val="29"/>
    <w:rPr>
      <w:i/>
    </w:rPr>
  </w:style>
  <w:style w:type="paragraph" w:styleId="779">
    <w:name w:val="Intense Quote"/>
    <w:basedOn w:val="925"/>
    <w:next w:val="925"/>
    <w:link w:val="7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0">
    <w:name w:val="Intense Quote Char"/>
    <w:link w:val="779"/>
    <w:uiPriority w:val="30"/>
    <w:rPr>
      <w:i/>
    </w:rPr>
  </w:style>
  <w:style w:type="character" w:styleId="781">
    <w:name w:val="Header Char"/>
    <w:basedOn w:val="926"/>
    <w:link w:val="930"/>
    <w:uiPriority w:val="99"/>
  </w:style>
  <w:style w:type="character" w:styleId="782">
    <w:name w:val="Footer Char"/>
    <w:basedOn w:val="926"/>
    <w:link w:val="932"/>
    <w:uiPriority w:val="99"/>
  </w:style>
  <w:style w:type="paragraph" w:styleId="783">
    <w:name w:val="Caption"/>
    <w:basedOn w:val="925"/>
    <w:next w:val="925"/>
    <w:link w:val="7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4">
    <w:name w:val="Caption Char"/>
    <w:basedOn w:val="926"/>
    <w:link w:val="783"/>
    <w:uiPriority w:val="35"/>
    <w:rPr>
      <w:b/>
      <w:bCs/>
      <w:color w:val="4f81bd" w:themeColor="accent1"/>
      <w:sz w:val="18"/>
      <w:szCs w:val="18"/>
    </w:rPr>
  </w:style>
  <w:style w:type="table" w:styleId="785">
    <w:name w:val="Table Grid Light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Plain Table 1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2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>
    <w:name w:val="Plain Table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Plain Table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>
    <w:name w:val="Grid Table 1 Light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4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>
    <w:name w:val="Grid Table 4 - Accent 1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4">
    <w:name w:val="Grid Table 4 - Accent 2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Grid Table 4 - Accent 3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6">
    <w:name w:val="Grid Table 4 - Accent 4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Grid Table 4 - Accent 5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8">
    <w:name w:val="Grid Table 4 - Accent 6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9">
    <w:name w:val="Grid Table 5 Dark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3">
    <w:name w:val="Grid Table 5 Dark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26">
    <w:name w:val="Grid Table 6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7">
    <w:name w:val="Grid Table 6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8">
    <w:name w:val="Grid Table 6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9">
    <w:name w:val="Grid Table 6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0">
    <w:name w:val="Grid Table 6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1">
    <w:name w:val="Grid Table 6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2">
    <w:name w:val="Grid Table 6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3">
    <w:name w:val="Grid Table 7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8">
    <w:name w:val="List Table 2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9">
    <w:name w:val="List Table 2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0">
    <w:name w:val="List Table 2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1">
    <w:name w:val="List Table 2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2">
    <w:name w:val="List Table 2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3">
    <w:name w:val="List Table 2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4">
    <w:name w:val="List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5 Dark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5 Dark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4">
    <w:name w:val="List Table 5 Dark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6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6">
    <w:name w:val="List Table 6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7">
    <w:name w:val="List Table 6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8">
    <w:name w:val="List Table 6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9">
    <w:name w:val="List Table 6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0">
    <w:name w:val="List Table 6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1">
    <w:name w:val="List Table 6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2">
    <w:name w:val="List Table 7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3">
    <w:name w:val="List Table 7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84">
    <w:name w:val="List Table 7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85">
    <w:name w:val="List Table 7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86">
    <w:name w:val="List Table 7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87">
    <w:name w:val="List Table 7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88">
    <w:name w:val="List Table 7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89">
    <w:name w:val="Lined - Accent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Lined - Accent 1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1">
    <w:name w:val="Lined - Accent 2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2">
    <w:name w:val="Lined - Accent 3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3">
    <w:name w:val="Lined - Accent 4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94">
    <w:name w:val="Lined - Accent 5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95">
    <w:name w:val="Lined - Accent 6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96">
    <w:name w:val="Bordered &amp; Lined - Accent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7">
    <w:name w:val="Bordered &amp; Lined - Accent 1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98">
    <w:name w:val="Bordered &amp; Lined - Accent 2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9">
    <w:name w:val="Bordered &amp; Lined - Accent 3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0">
    <w:name w:val="Bordered &amp; Lined - Accent 4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1">
    <w:name w:val="Bordered &amp; Lined - Accent 5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02">
    <w:name w:val="Bordered &amp; Lined - Accent 6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3">
    <w:name w:val="Bordered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4">
    <w:name w:val="Bordered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5">
    <w:name w:val="Bordered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6">
    <w:name w:val="Bordered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7">
    <w:name w:val="Bordered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8">
    <w:name w:val="Bordered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9">
    <w:name w:val="Bordered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0">
    <w:name w:val="Footnote Text Char"/>
    <w:link w:val="938"/>
    <w:uiPriority w:val="99"/>
    <w:rPr>
      <w:sz w:val="18"/>
    </w:rPr>
  </w:style>
  <w:style w:type="paragraph" w:styleId="911">
    <w:name w:val="endnote text"/>
    <w:basedOn w:val="925"/>
    <w:link w:val="912"/>
    <w:uiPriority w:val="99"/>
    <w:semiHidden/>
    <w:unhideWhenUsed/>
    <w:pPr>
      <w:spacing w:after="0" w:line="240" w:lineRule="auto"/>
    </w:pPr>
    <w:rPr>
      <w:sz w:val="20"/>
    </w:rPr>
  </w:style>
  <w:style w:type="character" w:styleId="912">
    <w:name w:val="Endnote Text Char"/>
    <w:link w:val="911"/>
    <w:uiPriority w:val="99"/>
    <w:rPr>
      <w:sz w:val="20"/>
    </w:rPr>
  </w:style>
  <w:style w:type="character" w:styleId="913">
    <w:name w:val="endnote reference"/>
    <w:basedOn w:val="926"/>
    <w:uiPriority w:val="99"/>
    <w:semiHidden/>
    <w:unhideWhenUsed/>
    <w:rPr>
      <w:vertAlign w:val="superscript"/>
    </w:rPr>
  </w:style>
  <w:style w:type="paragraph" w:styleId="914">
    <w:name w:val="toc 1"/>
    <w:basedOn w:val="925"/>
    <w:next w:val="925"/>
    <w:uiPriority w:val="39"/>
    <w:unhideWhenUsed/>
    <w:pPr>
      <w:ind w:left="0" w:right="0" w:firstLine="0"/>
      <w:spacing w:after="57"/>
    </w:pPr>
  </w:style>
  <w:style w:type="paragraph" w:styleId="915">
    <w:name w:val="toc 2"/>
    <w:basedOn w:val="925"/>
    <w:next w:val="925"/>
    <w:uiPriority w:val="39"/>
    <w:unhideWhenUsed/>
    <w:pPr>
      <w:ind w:left="283" w:right="0" w:firstLine="0"/>
      <w:spacing w:after="57"/>
    </w:pPr>
  </w:style>
  <w:style w:type="paragraph" w:styleId="916">
    <w:name w:val="toc 3"/>
    <w:basedOn w:val="925"/>
    <w:next w:val="925"/>
    <w:uiPriority w:val="39"/>
    <w:unhideWhenUsed/>
    <w:pPr>
      <w:ind w:left="567" w:right="0" w:firstLine="0"/>
      <w:spacing w:after="57"/>
    </w:pPr>
  </w:style>
  <w:style w:type="paragraph" w:styleId="917">
    <w:name w:val="toc 4"/>
    <w:basedOn w:val="925"/>
    <w:next w:val="925"/>
    <w:uiPriority w:val="39"/>
    <w:unhideWhenUsed/>
    <w:pPr>
      <w:ind w:left="850" w:right="0" w:firstLine="0"/>
      <w:spacing w:after="57"/>
    </w:pPr>
  </w:style>
  <w:style w:type="paragraph" w:styleId="918">
    <w:name w:val="toc 5"/>
    <w:basedOn w:val="925"/>
    <w:next w:val="925"/>
    <w:uiPriority w:val="39"/>
    <w:unhideWhenUsed/>
    <w:pPr>
      <w:ind w:left="1134" w:right="0" w:firstLine="0"/>
      <w:spacing w:after="57"/>
    </w:pPr>
  </w:style>
  <w:style w:type="paragraph" w:styleId="919">
    <w:name w:val="toc 6"/>
    <w:basedOn w:val="925"/>
    <w:next w:val="925"/>
    <w:uiPriority w:val="39"/>
    <w:unhideWhenUsed/>
    <w:pPr>
      <w:ind w:left="1417" w:right="0" w:firstLine="0"/>
      <w:spacing w:after="57"/>
    </w:pPr>
  </w:style>
  <w:style w:type="paragraph" w:styleId="920">
    <w:name w:val="toc 7"/>
    <w:basedOn w:val="925"/>
    <w:next w:val="925"/>
    <w:uiPriority w:val="39"/>
    <w:unhideWhenUsed/>
    <w:pPr>
      <w:ind w:left="1701" w:right="0" w:firstLine="0"/>
      <w:spacing w:after="57"/>
    </w:pPr>
  </w:style>
  <w:style w:type="paragraph" w:styleId="921">
    <w:name w:val="toc 8"/>
    <w:basedOn w:val="925"/>
    <w:next w:val="925"/>
    <w:uiPriority w:val="39"/>
    <w:unhideWhenUsed/>
    <w:pPr>
      <w:ind w:left="1984" w:right="0" w:firstLine="0"/>
      <w:spacing w:after="57"/>
    </w:pPr>
  </w:style>
  <w:style w:type="paragraph" w:styleId="922">
    <w:name w:val="toc 9"/>
    <w:basedOn w:val="925"/>
    <w:next w:val="925"/>
    <w:uiPriority w:val="39"/>
    <w:unhideWhenUsed/>
    <w:pPr>
      <w:ind w:left="2268" w:right="0" w:firstLine="0"/>
      <w:spacing w:after="57"/>
    </w:pPr>
  </w:style>
  <w:style w:type="paragraph" w:styleId="923">
    <w:name w:val="TOC Heading"/>
    <w:uiPriority w:val="39"/>
    <w:unhideWhenUsed/>
  </w:style>
  <w:style w:type="paragraph" w:styleId="924">
    <w:name w:val="table of figures"/>
    <w:basedOn w:val="925"/>
    <w:next w:val="925"/>
    <w:uiPriority w:val="99"/>
    <w:unhideWhenUsed/>
    <w:pPr>
      <w:spacing w:after="0" w:afterAutospacing="0"/>
    </w:pPr>
  </w:style>
  <w:style w:type="paragraph" w:styleId="925" w:default="1">
    <w:name w:val="Normal"/>
    <w:qFormat/>
  </w:style>
  <w:style w:type="character" w:styleId="926" w:default="1">
    <w:name w:val="Default Paragraph Font"/>
    <w:uiPriority w:val="1"/>
    <w:semiHidden/>
    <w:unhideWhenUsed/>
  </w:style>
  <w:style w:type="table" w:styleId="9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8" w:default="1">
    <w:name w:val="No List"/>
    <w:uiPriority w:val="99"/>
    <w:semiHidden/>
    <w:unhideWhenUsed/>
  </w:style>
  <w:style w:type="paragraph" w:styleId="929">
    <w:name w:val="List Paragraph"/>
    <w:basedOn w:val="925"/>
    <w:uiPriority w:val="34"/>
    <w:qFormat/>
    <w:pPr>
      <w:contextualSpacing/>
      <w:ind w:left="720"/>
    </w:pPr>
  </w:style>
  <w:style w:type="paragraph" w:styleId="930">
    <w:name w:val="Header"/>
    <w:basedOn w:val="925"/>
    <w:link w:val="93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1" w:customStyle="1">
    <w:name w:val="Верхний колонтитул Знак"/>
    <w:basedOn w:val="926"/>
    <w:link w:val="930"/>
    <w:uiPriority w:val="99"/>
  </w:style>
  <w:style w:type="paragraph" w:styleId="932">
    <w:name w:val="Footer"/>
    <w:basedOn w:val="925"/>
    <w:link w:val="93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3" w:customStyle="1">
    <w:name w:val="Нижний колонтитул Знак"/>
    <w:basedOn w:val="926"/>
    <w:link w:val="932"/>
    <w:uiPriority w:val="99"/>
  </w:style>
  <w:style w:type="character" w:styleId="934" w:customStyle="1">
    <w:name w:val="product-details-list__container_block_description"/>
    <w:basedOn w:val="926"/>
  </w:style>
  <w:style w:type="character" w:styleId="935">
    <w:name w:val="Hyperlink"/>
    <w:basedOn w:val="926"/>
    <w:uiPriority w:val="99"/>
    <w:unhideWhenUsed/>
    <w:rPr>
      <w:color w:val="0563c1" w:themeColor="hyperlink"/>
      <w:u w:val="single"/>
    </w:rPr>
  </w:style>
  <w:style w:type="character" w:styleId="936" w:customStyle="1">
    <w:name w:val="Неразрешенное упоминание1"/>
    <w:basedOn w:val="926"/>
    <w:uiPriority w:val="99"/>
    <w:semiHidden/>
    <w:unhideWhenUsed/>
    <w:rPr>
      <w:color w:val="605e5c"/>
      <w:shd w:val="clear" w:color="auto" w:fill="e1dfdd"/>
    </w:rPr>
  </w:style>
  <w:style w:type="table" w:styleId="937">
    <w:name w:val="Table Grid"/>
    <w:basedOn w:val="92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8">
    <w:name w:val="footnote text"/>
    <w:basedOn w:val="925"/>
    <w:link w:val="93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39" w:customStyle="1">
    <w:name w:val="Текст сноски Знак"/>
    <w:basedOn w:val="926"/>
    <w:link w:val="938"/>
    <w:uiPriority w:val="99"/>
    <w:semiHidden/>
    <w:rPr>
      <w:sz w:val="20"/>
      <w:szCs w:val="20"/>
    </w:rPr>
  </w:style>
  <w:style w:type="character" w:styleId="940">
    <w:name w:val="footnote reference"/>
    <w:basedOn w:val="926"/>
    <w:uiPriority w:val="99"/>
    <w:semiHidden/>
    <w:unhideWhenUsed/>
    <w:rPr>
      <w:vertAlign w:val="superscript"/>
    </w:rPr>
  </w:style>
  <w:style w:type="paragraph" w:styleId="941" w:customStyle="1">
    <w:name w:val="Table Paragraph"/>
    <w:basedOn w:val="925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  <w:style w:type="numbering" w:styleId="942" w:customStyle="1">
    <w:name w:val="Нет списка1"/>
    <w:next w:val="928"/>
    <w:uiPriority w:val="99"/>
    <w:semiHidden/>
    <w:unhideWhenUsed/>
  </w:style>
  <w:style w:type="table" w:styleId="943" w:customStyle="1">
    <w:name w:val="Сетка таблицы1"/>
    <w:basedOn w:val="927"/>
    <w:next w:val="93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44">
    <w:name w:val="FollowedHyperlink"/>
    <w:basedOn w:val="926"/>
    <w:uiPriority w:val="99"/>
    <w:semiHidden/>
    <w:unhideWhenUsed/>
    <w:rPr>
      <w:color w:val="954f72"/>
      <w:u w:val="single"/>
    </w:rPr>
  </w:style>
  <w:style w:type="paragraph" w:styleId="945" w:customStyle="1">
    <w:name w:val="msonormal"/>
    <w:basedOn w:val="92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6" w:customStyle="1">
    <w:name w:val="xl63"/>
    <w:basedOn w:val="925"/>
    <w:pPr>
      <w:jc w:val="center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7" w:customStyle="1">
    <w:name w:val="xl64"/>
    <w:basedOn w:val="925"/>
    <w:pPr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8" w:customStyle="1">
    <w:name w:val="xl65"/>
    <w:basedOn w:val="925"/>
    <w:pPr>
      <w:jc w:val="center"/>
      <w:spacing w:before="100" w:beforeAutospacing="1" w:after="100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9" w:customStyle="1">
    <w:name w:val="xl66"/>
    <w:basedOn w:val="925"/>
    <w:pPr>
      <w:jc w:val="center"/>
      <w:spacing w:before="100" w:beforeAutospacing="1" w:after="100" w:afterAutospacing="1" w:line="240" w:lineRule="auto"/>
      <w:shd w:val="clear" w:color="000000" w:fill="d9d9d9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950">
    <w:name w:val="annotation reference"/>
    <w:basedOn w:val="926"/>
    <w:uiPriority w:val="99"/>
    <w:semiHidden/>
    <w:unhideWhenUsed/>
    <w:rPr>
      <w:sz w:val="16"/>
      <w:szCs w:val="16"/>
    </w:rPr>
  </w:style>
  <w:style w:type="paragraph" w:styleId="951">
    <w:name w:val="annotation text"/>
    <w:basedOn w:val="925"/>
    <w:link w:val="952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52" w:customStyle="1">
    <w:name w:val="Текст примечания Знак"/>
    <w:basedOn w:val="926"/>
    <w:link w:val="951"/>
    <w:uiPriority w:val="99"/>
    <w:semiHidden/>
    <w:rPr>
      <w:sz w:val="20"/>
      <w:szCs w:val="20"/>
    </w:rPr>
  </w:style>
  <w:style w:type="paragraph" w:styleId="953">
    <w:name w:val="annotation subject"/>
    <w:basedOn w:val="951"/>
    <w:next w:val="951"/>
    <w:link w:val="954"/>
    <w:uiPriority w:val="99"/>
    <w:semiHidden/>
    <w:unhideWhenUsed/>
    <w:rPr>
      <w:b/>
      <w:bCs/>
    </w:rPr>
  </w:style>
  <w:style w:type="character" w:styleId="954" w:customStyle="1">
    <w:name w:val="Тема примечания Знак"/>
    <w:basedOn w:val="952"/>
    <w:link w:val="953"/>
    <w:uiPriority w:val="99"/>
    <w:semiHidden/>
    <w:rPr>
      <w:b/>
      <w:bCs/>
      <w:sz w:val="20"/>
      <w:szCs w:val="20"/>
    </w:rPr>
  </w:style>
  <w:style w:type="paragraph" w:styleId="955">
    <w:name w:val="Balloon Text"/>
    <w:basedOn w:val="925"/>
    <w:link w:val="95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6" w:customStyle="1">
    <w:name w:val="Текст выноски Знак"/>
    <w:basedOn w:val="926"/>
    <w:link w:val="955"/>
    <w:uiPriority w:val="99"/>
    <w:semiHidden/>
    <w:rPr>
      <w:rFonts w:ascii="Segoe UI" w:hAnsi="Segoe UI" w:cs="Segoe UI"/>
      <w:sz w:val="18"/>
      <w:szCs w:val="18"/>
    </w:rPr>
  </w:style>
  <w:style w:type="paragraph" w:styleId="957" w:customStyle="1">
    <w:name w:val="Normal (Web)"/>
    <w:basedOn w:val="878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58" w:customStyle="1">
    <w:name w:val="HTML Preformatted"/>
    <w:basedOn w:val="878"/>
    <w:link w:val="906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7F81-E19F-4393-8718-F0DBB7BF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Янушкевич</dc:creator>
  <cp:lastModifiedBy>oksana.bratchenko</cp:lastModifiedBy>
  <cp:revision>45</cp:revision>
  <dcterms:created xsi:type="dcterms:W3CDTF">2025-04-10T07:59:00Z</dcterms:created>
  <dcterms:modified xsi:type="dcterms:W3CDTF">2026-08-24T16:32:46Z</dcterms:modified>
</cp:coreProperties>
</file>