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A2B">
      <w:pPr>
        <w:keepNext/>
        <w:keepLines/>
        <w:widowControl w:val="0"/>
        <w:tabs>
          <w:tab w:val="left" w:pos="513"/>
        </w:tabs>
        <w:spacing w:after="0" w:line="240" w:lineRule="auto"/>
        <w:jc w:val="right"/>
        <w:outlineLvl w:val="3"/>
        <w:rPr>
          <w:rFonts w:ascii="Times New Roman" w:hAnsi="Times New Roman" w:eastAsia="Times New Roman"/>
          <w:bCs/>
          <w:sz w:val="24"/>
          <w:szCs w:val="24"/>
        </w:rPr>
      </w:pPr>
      <w:r>
        <w:rPr>
          <w:rFonts w:ascii="Times New Roman" w:hAnsi="Times New Roman" w:eastAsia="Times New Roman"/>
          <w:bCs/>
          <w:sz w:val="24"/>
          <w:szCs w:val="24"/>
        </w:rPr>
        <w:t xml:space="preserve">Приложение к Контракту </w:t>
      </w:r>
    </w:p>
    <w:p w14:paraId="2A06019C">
      <w:pPr>
        <w:keepNext/>
        <w:keepLines/>
        <w:widowControl w:val="0"/>
        <w:tabs>
          <w:tab w:val="left" w:pos="513"/>
        </w:tabs>
        <w:spacing w:after="0" w:line="240" w:lineRule="auto"/>
        <w:jc w:val="right"/>
        <w:outlineLvl w:val="3"/>
        <w:rPr>
          <w:rFonts w:ascii="Times New Roman" w:hAnsi="Times New Roman" w:eastAsia="Times New Roman"/>
          <w:bCs/>
          <w:sz w:val="24"/>
          <w:szCs w:val="24"/>
        </w:rPr>
      </w:pPr>
      <w:r>
        <w:rPr>
          <w:rFonts w:ascii="Times New Roman" w:hAnsi="Times New Roman" w:eastAsia="Times New Roman"/>
          <w:bCs/>
          <w:sz w:val="24"/>
          <w:szCs w:val="24"/>
        </w:rPr>
        <w:t>от «___» _____________ 202</w:t>
      </w:r>
      <w:r>
        <w:rPr>
          <w:rFonts w:hint="default" w:ascii="Times New Roman" w:hAnsi="Times New Roman" w:eastAsia="Times New Roman"/>
          <w:bCs/>
          <w:sz w:val="24"/>
          <w:szCs w:val="24"/>
          <w:lang w:val="en-US"/>
        </w:rPr>
        <w:t>6</w:t>
      </w:r>
      <w:r>
        <w:rPr>
          <w:rFonts w:ascii="Times New Roman" w:hAnsi="Times New Roman" w:eastAsia="Times New Roman"/>
          <w:bCs/>
          <w:sz w:val="24"/>
          <w:szCs w:val="24"/>
        </w:rPr>
        <w:t xml:space="preserve"> г. № ____</w:t>
      </w:r>
    </w:p>
    <w:p w14:paraId="049609B1">
      <w:pPr>
        <w:keepNext/>
        <w:keepLines/>
        <w:widowControl w:val="0"/>
        <w:tabs>
          <w:tab w:val="left" w:pos="513"/>
        </w:tabs>
        <w:spacing w:after="0" w:line="240" w:lineRule="auto"/>
        <w:jc w:val="right"/>
        <w:outlineLvl w:val="3"/>
        <w:rPr>
          <w:rFonts w:ascii="Times New Roman" w:hAnsi="Times New Roman" w:eastAsia="Times New Roman"/>
          <w:bCs/>
          <w:sz w:val="24"/>
          <w:szCs w:val="24"/>
        </w:rPr>
      </w:pPr>
    </w:p>
    <w:p w14:paraId="73C9AE92">
      <w:pPr>
        <w:keepNext/>
        <w:keepLines/>
        <w:widowControl w:val="0"/>
        <w:tabs>
          <w:tab w:val="left" w:pos="513"/>
        </w:tabs>
        <w:spacing w:after="0" w:line="240" w:lineRule="auto"/>
        <w:jc w:val="center"/>
        <w:outlineLvl w:val="3"/>
        <w:rPr>
          <w:rFonts w:ascii="Times New Roman" w:hAnsi="Times New Roman" w:eastAsia="Times New Roman"/>
          <w:b/>
          <w:bCs/>
          <w:sz w:val="24"/>
          <w:szCs w:val="24"/>
        </w:rPr>
      </w:pPr>
      <w:r>
        <w:rPr>
          <w:rFonts w:ascii="Times New Roman" w:hAnsi="Times New Roman" w:eastAsia="Times New Roman"/>
          <w:b/>
          <w:bCs/>
          <w:sz w:val="24"/>
          <w:szCs w:val="24"/>
        </w:rPr>
        <w:t>ОПИСАНИЕ ОБЪЕКТА ЗАКУПКИ</w:t>
      </w:r>
    </w:p>
    <w:p w14:paraId="62B5A0BE">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Общие положения</w:t>
      </w:r>
    </w:p>
    <w:p w14:paraId="21939FA4">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Стороны по Контракту: Заказчик - Управление Федеральной антимонопольной службы по Республике Бурятия (Бурятское УФАС России), Поставщик - _______________.</w:t>
      </w:r>
    </w:p>
    <w:p w14:paraId="7507CB8A">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Контракт заключен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DD90E5F">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Объектом закупки является поставка хозяйственных товаров в соответствии с требованиями пункта</w:t>
      </w:r>
      <w:r>
        <w:rPr>
          <w:rFonts w:hint="default" w:ascii="Times New Roman" w:hAnsi="Times New Roman"/>
          <w:sz w:val="24"/>
          <w:szCs w:val="24"/>
          <w:lang w:val="ru-RU"/>
        </w:rPr>
        <w:t xml:space="preserve"> 7</w:t>
      </w:r>
      <w:r>
        <w:rPr>
          <w:rFonts w:ascii="Times New Roman" w:hAnsi="Times New Roman"/>
          <w:sz w:val="24"/>
          <w:szCs w:val="24"/>
        </w:rPr>
        <w:t xml:space="preserve"> данного Приложения (далее – Товар).</w:t>
      </w:r>
    </w:p>
    <w:p w14:paraId="6121C724">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Идентификационный код закупки 2</w:t>
      </w:r>
      <w:r>
        <w:rPr>
          <w:rFonts w:hint="default" w:ascii="Times New Roman" w:hAnsi="Times New Roman"/>
          <w:sz w:val="24"/>
          <w:szCs w:val="24"/>
          <w:lang w:val="ru-RU"/>
        </w:rPr>
        <w:t>6</w:t>
      </w:r>
      <w:r>
        <w:rPr>
          <w:rFonts w:ascii="Times New Roman" w:hAnsi="Times New Roman"/>
          <w:sz w:val="24"/>
          <w:szCs w:val="24"/>
        </w:rPr>
        <w:t>10323057082032601001000</w:t>
      </w:r>
      <w:r>
        <w:rPr>
          <w:rFonts w:hint="default" w:ascii="Times New Roman" w:hAnsi="Times New Roman"/>
          <w:sz w:val="24"/>
          <w:szCs w:val="24"/>
          <w:lang w:val="ru-RU"/>
        </w:rPr>
        <w:t>3</w:t>
      </w:r>
      <w:r>
        <w:rPr>
          <w:rFonts w:ascii="Times New Roman" w:hAnsi="Times New Roman"/>
          <w:b/>
          <w:sz w:val="24"/>
          <w:szCs w:val="24"/>
        </w:rPr>
        <w:t>0</w:t>
      </w:r>
      <w:r>
        <w:rPr>
          <w:rFonts w:hint="default" w:ascii="Times New Roman" w:hAnsi="Times New Roman"/>
          <w:b/>
          <w:sz w:val="24"/>
          <w:szCs w:val="24"/>
          <w:lang w:val="ru-RU"/>
        </w:rPr>
        <w:t>34</w:t>
      </w:r>
      <w:r>
        <w:rPr>
          <w:rFonts w:ascii="Times New Roman" w:hAnsi="Times New Roman"/>
          <w:sz w:val="24"/>
          <w:szCs w:val="24"/>
        </w:rPr>
        <w:t>0000244.</w:t>
      </w:r>
    </w:p>
    <w:p w14:paraId="459A510F">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Цена контракта и порядок расчетов</w:t>
      </w:r>
    </w:p>
    <w:p w14:paraId="2B0C2C9A">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Цена Контракта составляет ______ (__________) руб. 00 коп.</w:t>
      </w:r>
    </w:p>
    <w:p w14:paraId="6A4665FA">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Цена Контракта является твердой и определяется на весь срок его исполнения.</w:t>
      </w:r>
    </w:p>
    <w:p w14:paraId="02949000">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В цену Контракта включены все расходы Поставщика, в том числе расходы на страхование, уплату налогов, сборов, других обязательных платежей,</w:t>
      </w:r>
      <w:r>
        <w:rPr>
          <w:rFonts w:ascii="Times New Roman" w:hAnsi="Times New Roman"/>
          <w:color w:val="000000"/>
          <w:sz w:val="24"/>
          <w:szCs w:val="24"/>
        </w:rPr>
        <w:t xml:space="preserve"> </w:t>
      </w:r>
      <w:r>
        <w:rPr>
          <w:rFonts w:ascii="Times New Roman" w:hAnsi="Times New Roman"/>
          <w:sz w:val="24"/>
          <w:szCs w:val="24"/>
        </w:rPr>
        <w:t>упаковку, погрузку, доставку, разгрузку, подъем на этаж, установку и крепление, иные расходы Поставщика, связанные с исполнением Контракта.</w:t>
      </w:r>
    </w:p>
    <w:p w14:paraId="017570C8">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Источник финансирования Контракта – федеральный бюджет. </w:t>
      </w:r>
    </w:p>
    <w:p w14:paraId="653C6CA8">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Выплата авансового платежа не предусмотрена.</w:t>
      </w:r>
    </w:p>
    <w:p w14:paraId="0ED5B70C">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Оплата по Контракту осуществляется в рублях Российской Федерации, в безналичной форме платежным поручением путем перечисления Заказчиком денежных средств на расчетный счет Поставщика, указанный в Контракте, на основании выставленного Поставщиком счета или счета-фактуры, в течение </w:t>
      </w:r>
      <w:r>
        <w:rPr>
          <w:rFonts w:hint="default" w:ascii="Times New Roman" w:hAnsi="Times New Roman"/>
          <w:sz w:val="24"/>
          <w:szCs w:val="24"/>
          <w:lang w:val="en-US"/>
        </w:rPr>
        <w:t>10</w:t>
      </w:r>
      <w:r>
        <w:rPr>
          <w:rFonts w:hint="default" w:ascii="Times New Roman" w:hAnsi="Times New Roman"/>
          <w:sz w:val="24"/>
          <w:szCs w:val="24"/>
          <w:lang w:val="ru-RU"/>
        </w:rPr>
        <w:t>-х</w:t>
      </w:r>
      <w:r>
        <w:rPr>
          <w:rFonts w:ascii="Times New Roman" w:hAnsi="Times New Roman"/>
          <w:sz w:val="24"/>
          <w:szCs w:val="24"/>
        </w:rPr>
        <w:t xml:space="preserve"> рабочих дней со дня подписания Сторонами документов, подтверждающих исполнение.</w:t>
      </w:r>
    </w:p>
    <w:p w14:paraId="1B4EA3BA">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Срок и место поставки</w:t>
      </w:r>
    </w:p>
    <w:p w14:paraId="68AC6931">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Поставка Товара осуществляется по адресу: Республика Бурятия, г. Улан-Удэ, ул. Ленина, 55, кабинет 106.</w:t>
      </w:r>
    </w:p>
    <w:p w14:paraId="46708732">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Срок поставки Товара: в течение </w:t>
      </w:r>
      <w:r>
        <w:rPr>
          <w:rFonts w:hint="default" w:ascii="Times New Roman" w:hAnsi="Times New Roman"/>
          <w:sz w:val="24"/>
          <w:szCs w:val="24"/>
          <w:lang w:val="ru-RU"/>
        </w:rPr>
        <w:t>5</w:t>
      </w:r>
      <w:r>
        <w:rPr>
          <w:rFonts w:ascii="Times New Roman" w:hAnsi="Times New Roman"/>
          <w:sz w:val="24"/>
          <w:szCs w:val="24"/>
        </w:rPr>
        <w:t xml:space="preserve"> </w:t>
      </w:r>
      <w:r>
        <w:rPr>
          <w:rFonts w:hint="default" w:ascii="Times New Roman" w:hAnsi="Times New Roman"/>
          <w:sz w:val="24"/>
          <w:szCs w:val="24"/>
          <w:lang w:val="ru-RU"/>
        </w:rPr>
        <w:t>(</w:t>
      </w:r>
      <w:r>
        <w:rPr>
          <w:rFonts w:ascii="Times New Roman" w:hAnsi="Times New Roman"/>
          <w:sz w:val="24"/>
          <w:szCs w:val="24"/>
          <w:lang w:val="ru-RU"/>
        </w:rPr>
        <w:t>пяти</w:t>
      </w:r>
      <w:r>
        <w:rPr>
          <w:rFonts w:ascii="Times New Roman" w:hAnsi="Times New Roman"/>
          <w:sz w:val="24"/>
          <w:szCs w:val="24"/>
        </w:rPr>
        <w:t>) рабочих дней с даты заключения договора.</w:t>
      </w:r>
    </w:p>
    <w:p w14:paraId="558E10CE">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Время поставки товара: в рабочие дни, согласовывается с заказчиком.</w:t>
      </w:r>
    </w:p>
    <w:p w14:paraId="4A5052A4">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 xml:space="preserve">Ответственность сторон </w:t>
      </w:r>
    </w:p>
    <w:p w14:paraId="25480442">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РФ.</w:t>
      </w:r>
    </w:p>
    <w:p w14:paraId="0B0083C3">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неустоек (штрафов, пени). </w:t>
      </w:r>
    </w:p>
    <w:p w14:paraId="3B1B93F4">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7AEABB72">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соответствии с Постановлением Правительства РФ от 30.08.2017 № 1042 в размере 1000 (одна тысяча) рублей.</w:t>
      </w:r>
    </w:p>
    <w:p w14:paraId="17016123">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 </w:t>
      </w:r>
    </w:p>
    <w:p w14:paraId="1E26D2E7">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41BE6CB">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Размер штрафа устанавливается в соответствии с Постановлением Правительства РФ от 30.08.2017 № 1042 и составляет 10% от цены Контракта.</w:t>
      </w:r>
    </w:p>
    <w:p w14:paraId="65639D08">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Ни одна из сторон Контракта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(форс-мажор).</w:t>
      </w:r>
    </w:p>
    <w:p w14:paraId="6B59816A">
      <w:pPr>
        <w:pStyle w:val="7"/>
        <w:widowControl w:val="0"/>
        <w:numPr>
          <w:ilvl w:val="1"/>
          <w:numId w:val="1"/>
        </w:numPr>
        <w:tabs>
          <w:tab w:val="left" w:pos="1134"/>
        </w:tabs>
        <w:ind w:left="0" w:firstLine="709"/>
        <w:jc w:val="both"/>
        <w:rPr>
          <w:rFonts w:ascii="Times New Roman" w:hAnsi="Times New Roman"/>
          <w:sz w:val="24"/>
          <w:szCs w:val="24"/>
        </w:rPr>
      </w:pPr>
      <w:r>
        <w:rPr>
          <w:rFonts w:ascii="Times New Roman" w:hAnsi="Times New Roman"/>
          <w:sz w:val="24"/>
          <w:szCs w:val="24"/>
        </w:rPr>
        <w:t>Все споры и разногласия между сторонами, возникшие в период действия Контракта, разрешаются сторонами путем переговоров.</w:t>
      </w:r>
    </w:p>
    <w:p w14:paraId="4A8FE8FC">
      <w:pPr>
        <w:pStyle w:val="7"/>
        <w:widowControl w:val="0"/>
        <w:numPr>
          <w:ilvl w:val="1"/>
          <w:numId w:val="1"/>
        </w:numPr>
        <w:tabs>
          <w:tab w:val="left" w:pos="1276"/>
        </w:tabs>
        <w:ind w:left="0" w:firstLine="709"/>
        <w:jc w:val="both"/>
        <w:rPr>
          <w:rFonts w:ascii="Times New Roman" w:hAnsi="Times New Roman"/>
          <w:sz w:val="24"/>
          <w:szCs w:val="24"/>
        </w:rPr>
      </w:pPr>
      <w:r>
        <w:rPr>
          <w:rFonts w:ascii="Times New Roman" w:hAnsi="Times New Roman"/>
          <w:sz w:val="24"/>
          <w:szCs w:val="24"/>
        </w:rPr>
        <w:t>В случае невозможности разрешения споров путем переговоров, споры разрешаются в Арбитражном суде Республики Бурятия, с соблюдением претензионного порядка урегулирования спора. Срок рассмотрения претензии стороной, в адрес которой она направлена, составляет 10 календарных дней с момента ее получения другой стороной.</w:t>
      </w:r>
    </w:p>
    <w:p w14:paraId="67E46D68">
      <w:pPr>
        <w:pStyle w:val="7"/>
        <w:widowControl w:val="0"/>
        <w:numPr>
          <w:ilvl w:val="1"/>
          <w:numId w:val="1"/>
        </w:numPr>
        <w:tabs>
          <w:tab w:val="left" w:pos="1276"/>
        </w:tabs>
        <w:ind w:left="0" w:firstLine="709"/>
        <w:jc w:val="both"/>
        <w:rPr>
          <w:rFonts w:ascii="Times New Roman" w:hAnsi="Times New Roman"/>
          <w:sz w:val="24"/>
          <w:szCs w:val="24"/>
        </w:rPr>
      </w:pPr>
      <w:r>
        <w:rPr>
          <w:rFonts w:ascii="Times New Roman" w:hAnsi="Times New Roman"/>
          <w:sz w:val="24"/>
          <w:szCs w:val="24"/>
        </w:rPr>
        <w:t>Общая сумма начисленной неустойки (штрафов, пени) за неисполнение или ненадлежащее исполнение Стороной обязательств, предусмотренных Контрактом, не может превышать цену Контракта.</w:t>
      </w:r>
    </w:p>
    <w:p w14:paraId="67D2E78C">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Применение штрафных санкций не освобождает Стороны от исполнения обязательств по Контракту.</w:t>
      </w:r>
    </w:p>
    <w:p w14:paraId="1C711C68">
      <w:pPr>
        <w:widowControl w:val="0"/>
        <w:numPr>
          <w:ilvl w:val="0"/>
          <w:numId w:val="1"/>
        </w:numPr>
        <w:spacing w:before="120" w:after="12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Порядок расторжения</w:t>
      </w:r>
    </w:p>
    <w:p w14:paraId="1C232584">
      <w:pPr>
        <w:widowControl w:val="0"/>
        <w:numPr>
          <w:ilvl w:val="1"/>
          <w:numId w:val="1"/>
        </w:numPr>
        <w:tabs>
          <w:tab w:val="left" w:pos="1134"/>
        </w:tabs>
        <w:spacing w:after="200" w:line="276" w:lineRule="auto"/>
        <w:ind w:left="0" w:firstLine="709"/>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Контракт может быть расторгнут по соглашению Сторон, по решению суда, либо в случае одностороннего отказа Стороны Контракта от исполнения Контракта в соответствии с гражданским законодательством.</w:t>
      </w:r>
    </w:p>
    <w:p w14:paraId="0CC140E5">
      <w:pPr>
        <w:widowControl w:val="0"/>
        <w:numPr>
          <w:ilvl w:val="1"/>
          <w:numId w:val="1"/>
        </w:numPr>
        <w:tabs>
          <w:tab w:val="left" w:pos="1134"/>
        </w:tabs>
        <w:spacing w:after="200" w:line="276" w:lineRule="auto"/>
        <w:ind w:left="0" w:firstLine="709"/>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Исполнитель вправе в одностороннем порядке отказаться от исполнения Контракта в случае неоднократного нарушения Заказчиком сроков оплаты Услуг. </w:t>
      </w:r>
    </w:p>
    <w:p w14:paraId="41E47B0D">
      <w:pPr>
        <w:widowControl w:val="0"/>
        <w:numPr>
          <w:ilvl w:val="1"/>
          <w:numId w:val="1"/>
        </w:numPr>
        <w:tabs>
          <w:tab w:val="left" w:pos="1134"/>
        </w:tabs>
        <w:spacing w:after="200" w:line="276" w:lineRule="auto"/>
        <w:ind w:left="0" w:firstLine="709"/>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Заказчик вправе в одностороннем порядке отказаться от исполнения Контракта в случае неоднократного нарушения Исполнителем сроков оказания Услуг, существенного нарушения Исполнителем требований к качеству оказываемых Услуг.</w:t>
      </w:r>
    </w:p>
    <w:p w14:paraId="36F2D0FD">
      <w:pPr>
        <w:widowControl w:val="0"/>
        <w:numPr>
          <w:ilvl w:val="1"/>
          <w:numId w:val="1"/>
        </w:numPr>
        <w:tabs>
          <w:tab w:val="left" w:pos="1134"/>
        </w:tabs>
        <w:spacing w:after="200" w:line="276" w:lineRule="auto"/>
        <w:ind w:left="0" w:firstLine="709"/>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Исполнитель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FA6EB57">
      <w:pPr>
        <w:widowControl w:val="0"/>
        <w:numPr>
          <w:ilvl w:val="1"/>
          <w:numId w:val="1"/>
        </w:numPr>
        <w:tabs>
          <w:tab w:val="left" w:pos="1276"/>
        </w:tabs>
        <w:spacing w:after="0" w:line="276"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объявлением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236774C4">
      <w:pPr>
        <w:widowControl w:val="0"/>
        <w:numPr>
          <w:ilvl w:val="1"/>
          <w:numId w:val="1"/>
        </w:numPr>
        <w:tabs>
          <w:tab w:val="left" w:pos="1276"/>
        </w:tabs>
        <w:spacing w:after="0" w:line="276"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(пять) рабочих дней с даты его получения.</w:t>
      </w:r>
    </w:p>
    <w:p w14:paraId="6E0B15A9">
      <w:pPr>
        <w:widowControl w:val="0"/>
        <w:numPr>
          <w:ilvl w:val="1"/>
          <w:numId w:val="1"/>
        </w:numPr>
        <w:tabs>
          <w:tab w:val="left" w:pos="1134"/>
        </w:tabs>
        <w:spacing w:after="200" w:line="276" w:lineRule="auto"/>
        <w:ind w:left="0" w:firstLine="709"/>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Расторжение Контракта по соглашению сторон производится путем подписания Сторонами соответствующего соглашения о расторжении.</w:t>
      </w:r>
    </w:p>
    <w:p w14:paraId="6BA36332">
      <w:pPr>
        <w:widowControl w:val="0"/>
        <w:numPr>
          <w:ilvl w:val="1"/>
          <w:numId w:val="1"/>
        </w:numPr>
        <w:tabs>
          <w:tab w:val="left" w:pos="1134"/>
        </w:tabs>
        <w:spacing w:after="200" w:line="276" w:lineRule="auto"/>
        <w:ind w:left="0" w:firstLine="709"/>
        <w:contextualSpacing/>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случае расторжения Контракта Стороны производят сверку расчетов, которой подтверждается объем услуг, оказанных Исполнителем.</w:t>
      </w:r>
    </w:p>
    <w:p w14:paraId="3015E253">
      <w:pPr>
        <w:widowControl w:val="0"/>
        <w:numPr>
          <w:ilvl w:val="1"/>
          <w:numId w:val="1"/>
        </w:numPr>
        <w:tabs>
          <w:tab w:val="left" w:pos="1276"/>
        </w:tabs>
        <w:spacing w:after="0" w:line="276" w:lineRule="auto"/>
        <w:ind w:hanging="83"/>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Расторжение Контракта в одностороннем порядке осуществляется</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с соблюдением требований частей 8 - 11, 13 - 19, 21 - 23 и 25 статьи 95 Закона № 44-ФЗ</w:t>
      </w:r>
    </w:p>
    <w:p w14:paraId="028CEC97">
      <w:pPr>
        <w:widowControl w:val="0"/>
        <w:numPr>
          <w:ilvl w:val="0"/>
          <w:numId w:val="1"/>
        </w:num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Технические и функциональные характеристики Товара, количество Товара по позициям:</w:t>
      </w:r>
    </w:p>
    <w:p w14:paraId="0704BEB0">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Поставляемый Товар должен соответствовать функциональным, техническим, качественным, эксплуатационным и гарантийным требованиям, а также другим обязательным условиям описания объекта закупки.</w:t>
      </w:r>
    </w:p>
    <w:p w14:paraId="6B897D6A">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F248094">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 xml:space="preserve">Поставляемый Товар должен быть официально предназначен для продажи в РФ и обеспечен гарантийными обязательствами производителя. </w:t>
      </w:r>
    </w:p>
    <w:p w14:paraId="48EA6DBA">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14:paraId="511ACD58">
      <w:pPr>
        <w:pStyle w:val="7"/>
        <w:widowControl w:val="0"/>
        <w:numPr>
          <w:ilvl w:val="1"/>
          <w:numId w:val="1"/>
        </w:numPr>
        <w:tabs>
          <w:tab w:val="left" w:pos="1276"/>
        </w:tabs>
        <w:spacing w:after="0"/>
        <w:ind w:left="0" w:firstLine="709"/>
        <w:jc w:val="both"/>
        <w:rPr>
          <w:rFonts w:ascii="Times New Roman" w:hAnsi="Times New Roman"/>
          <w:sz w:val="24"/>
          <w:szCs w:val="24"/>
        </w:rPr>
      </w:pPr>
      <w:r>
        <w:rPr>
          <w:rFonts w:ascii="Times New Roman" w:hAnsi="Times New Roman"/>
          <w:sz w:val="24"/>
          <w:szCs w:val="24"/>
        </w:rPr>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14:paraId="7FBBC645">
      <w:pPr>
        <w:pStyle w:val="7"/>
        <w:widowControl w:val="0"/>
        <w:numPr>
          <w:ilvl w:val="1"/>
          <w:numId w:val="1"/>
        </w:numPr>
        <w:tabs>
          <w:tab w:val="left" w:pos="1276"/>
        </w:tabs>
        <w:spacing w:after="0"/>
        <w:ind w:left="0" w:firstLine="709"/>
        <w:jc w:val="both"/>
        <w:rPr>
          <w:rFonts w:ascii="Times New Roman" w:hAnsi="Times New Roman" w:eastAsia="Calibri" w:cs="Times New Roman"/>
          <w:sz w:val="24"/>
          <w:szCs w:val="24"/>
        </w:rPr>
      </w:pPr>
      <w:r>
        <w:rPr>
          <w:rFonts w:ascii="Times New Roman" w:hAnsi="Times New Roman"/>
          <w:sz w:val="24"/>
          <w:szCs w:val="24"/>
        </w:rPr>
        <w:t>Поставщик несет ответственность за все потери и/или повреждения, вызванные неправильной упаковкой либо маркировкой поставляемого Товара.</w:t>
      </w:r>
    </w:p>
    <w:p w14:paraId="150FEEC2">
      <w:pPr>
        <w:widowControl w:val="0"/>
        <w:numPr>
          <w:ilvl w:val="0"/>
          <w:numId w:val="1"/>
        </w:numPr>
        <w:spacing w:before="120" w:after="120" w:line="240" w:lineRule="auto"/>
        <w:rPr>
          <w:rFonts w:ascii="Times New Roman" w:hAnsi="Times New Roman"/>
          <w:b/>
          <w:sz w:val="24"/>
          <w:szCs w:val="24"/>
        </w:rPr>
      </w:pPr>
      <w:r>
        <w:rPr>
          <w:rFonts w:ascii="Times New Roman" w:hAnsi="Times New Roman"/>
          <w:b/>
          <w:sz w:val="24"/>
          <w:szCs w:val="24"/>
        </w:rPr>
        <w:t>Технические и функциональные характеристики Товара, количество Товара по позициям:</w:t>
      </w:r>
    </w:p>
    <w:tbl>
      <w:tblPr>
        <w:tblStyle w:val="3"/>
        <w:tblW w:w="9918" w:type="dxa"/>
        <w:jc w:val="center"/>
        <w:tblLayout w:type="autofit"/>
        <w:tblCellMar>
          <w:top w:w="0" w:type="dxa"/>
          <w:left w:w="108" w:type="dxa"/>
          <w:bottom w:w="0" w:type="dxa"/>
          <w:right w:w="108" w:type="dxa"/>
        </w:tblCellMar>
      </w:tblPr>
      <w:tblGrid>
        <w:gridCol w:w="456"/>
        <w:gridCol w:w="2409"/>
        <w:gridCol w:w="4805"/>
        <w:gridCol w:w="1145"/>
        <w:gridCol w:w="1103"/>
      </w:tblGrid>
      <w:tr w14:paraId="57A56E25">
        <w:tblPrEx>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noWrap/>
          </w:tcPr>
          <w:p w14:paraId="7402BE5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c>
          <w:tcPr>
            <w:tcW w:w="2409" w:type="dxa"/>
            <w:tcBorders>
              <w:top w:val="single" w:color="auto" w:sz="4" w:space="0"/>
              <w:left w:val="nil"/>
              <w:bottom w:val="single" w:color="auto" w:sz="4" w:space="0"/>
              <w:right w:val="single" w:color="auto" w:sz="4" w:space="0"/>
            </w:tcBorders>
            <w:shd w:val="clear" w:color="auto" w:fill="auto"/>
            <w:noWrap/>
          </w:tcPr>
          <w:p w14:paraId="707782E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w:t>
            </w:r>
          </w:p>
        </w:tc>
        <w:tc>
          <w:tcPr>
            <w:tcW w:w="4805" w:type="dxa"/>
            <w:tcBorders>
              <w:top w:val="single" w:color="auto" w:sz="4" w:space="0"/>
              <w:left w:val="nil"/>
              <w:bottom w:val="single" w:color="auto" w:sz="4" w:space="0"/>
              <w:right w:val="single" w:color="auto" w:sz="4" w:space="0"/>
            </w:tcBorders>
            <w:shd w:val="clear" w:color="auto" w:fill="auto"/>
            <w:noWrap/>
          </w:tcPr>
          <w:p w14:paraId="4E325DF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sz w:val="24"/>
                <w:szCs w:val="24"/>
              </w:rPr>
              <w:t>Описание</w:t>
            </w:r>
          </w:p>
        </w:tc>
        <w:tc>
          <w:tcPr>
            <w:tcW w:w="1145" w:type="dxa"/>
            <w:tcBorders>
              <w:top w:val="single" w:color="auto" w:sz="4" w:space="0"/>
              <w:left w:val="nil"/>
              <w:bottom w:val="single" w:color="auto" w:sz="4" w:space="0"/>
              <w:right w:val="single" w:color="auto" w:sz="4" w:space="0"/>
            </w:tcBorders>
            <w:shd w:val="clear" w:color="auto" w:fill="auto"/>
            <w:noWrap/>
          </w:tcPr>
          <w:p w14:paraId="2399410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Ед. изм.</w:t>
            </w:r>
          </w:p>
        </w:tc>
        <w:tc>
          <w:tcPr>
            <w:tcW w:w="1103" w:type="dxa"/>
            <w:tcBorders>
              <w:top w:val="single" w:color="auto" w:sz="4" w:space="0"/>
              <w:left w:val="nil"/>
              <w:bottom w:val="single" w:color="auto" w:sz="4" w:space="0"/>
              <w:right w:val="single" w:color="auto" w:sz="4" w:space="0"/>
            </w:tcBorders>
          </w:tcPr>
          <w:p w14:paraId="66451630">
            <w:pPr>
              <w:spacing w:after="0" w:line="240" w:lineRule="auto"/>
              <w:ind w:right="12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Кол-во</w:t>
            </w:r>
          </w:p>
        </w:tc>
      </w:tr>
      <w:tr w14:paraId="5B2BAE1E">
        <w:tblPrEx>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6FE9EE">
            <w:pPr>
              <w:spacing w:after="0" w:line="240" w:lineRule="auto"/>
              <w:jc w:val="center"/>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1</w:t>
            </w:r>
          </w:p>
        </w:tc>
        <w:tc>
          <w:tcPr>
            <w:tcW w:w="2409" w:type="dxa"/>
            <w:tcBorders>
              <w:top w:val="single" w:color="auto" w:sz="4" w:space="0"/>
              <w:left w:val="nil"/>
              <w:bottom w:val="single" w:color="auto" w:sz="4" w:space="0"/>
              <w:right w:val="nil"/>
            </w:tcBorders>
            <w:shd w:val="clear" w:color="000000" w:fill="FFFFFF"/>
            <w:noWrap/>
            <w:vAlign w:val="center"/>
          </w:tcPr>
          <w:p w14:paraId="5DCEDD39">
            <w:pPr>
              <w:spacing w:after="0" w:line="240" w:lineRule="auto"/>
              <w:rPr>
                <w:rFonts w:hint="default" w:ascii="Times New Roman" w:hAnsi="Times New Roman" w:eastAsia="Times New Roman" w:cs="Times New Roman"/>
                <w:color w:val="000000"/>
                <w:sz w:val="24"/>
                <w:szCs w:val="24"/>
                <w:lang w:val="en-US" w:eastAsia="ru-RU" w:bidi="ar-SA"/>
              </w:rPr>
            </w:pPr>
            <w:r>
              <w:rPr>
                <w:rFonts w:ascii="Times New Roman" w:hAnsi="Times New Roman" w:eastAsia="Times New Roman" w:cs="Times New Roman"/>
                <w:color w:val="000000"/>
                <w:sz w:val="24"/>
                <w:szCs w:val="24"/>
                <w:lang w:eastAsia="ru-RU"/>
              </w:rPr>
              <w:t>Зарядное</w:t>
            </w:r>
            <w:r>
              <w:rPr>
                <w:rFonts w:hint="default" w:ascii="Times New Roman" w:hAnsi="Times New Roman" w:eastAsia="Times New Roman" w:cs="Times New Roman"/>
                <w:color w:val="000000"/>
                <w:sz w:val="24"/>
                <w:szCs w:val="24"/>
                <w:lang w:val="en-US" w:eastAsia="ru-RU"/>
              </w:rPr>
              <w:t xml:space="preserve"> устройство для ак</w:t>
            </w:r>
            <w:r>
              <w:rPr>
                <w:rFonts w:hint="default" w:ascii="Times New Roman" w:hAnsi="Times New Roman" w:eastAsia="Times New Roman" w:cs="Times New Roman"/>
                <w:color w:val="000000"/>
                <w:sz w:val="24"/>
                <w:szCs w:val="24"/>
                <w:lang w:val="ru-RU" w:eastAsia="ru-RU"/>
              </w:rPr>
              <w:t>к</w:t>
            </w:r>
            <w:r>
              <w:rPr>
                <w:rFonts w:hint="default" w:ascii="Times New Roman" w:hAnsi="Times New Roman" w:eastAsia="Times New Roman" w:cs="Times New Roman"/>
                <w:color w:val="000000"/>
                <w:sz w:val="24"/>
                <w:szCs w:val="24"/>
                <w:lang w:val="en-US" w:eastAsia="ru-RU"/>
              </w:rPr>
              <w:t>умуляторных батареек</w:t>
            </w:r>
          </w:p>
        </w:tc>
        <w:tc>
          <w:tcPr>
            <w:tcW w:w="48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D3AF04">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Размер блистера-не менее140*70*70мм;</w:t>
            </w:r>
          </w:p>
          <w:p w14:paraId="3CD67EB0">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Типоразмер заряжаемых аккумулятор - универсальный АА/ААА;</w:t>
            </w:r>
          </w:p>
          <w:p w14:paraId="0FBCEDB9">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ru-RU" w:eastAsia="ru-RU" w:bidi="ar-SA"/>
              </w:rPr>
              <w:t>Тип</w:t>
            </w:r>
            <w:r>
              <w:rPr>
                <w:rFonts w:hint="default" w:ascii="Times New Roman" w:hAnsi="Times New Roman" w:eastAsia="Times New Roman" w:cs="Times New Roman"/>
                <w:color w:val="000000"/>
                <w:sz w:val="24"/>
                <w:szCs w:val="24"/>
                <w:lang w:val="en-US" w:eastAsia="ru-RU" w:bidi="ar-SA"/>
              </w:rPr>
              <w:t xml:space="preserve"> заряжаемых аккумуляторов - Ni-Cd,</w:t>
            </w:r>
          </w:p>
          <w:p w14:paraId="545B6ADF">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 xml:space="preserve"> Ni-Mh;</w:t>
            </w:r>
          </w:p>
          <w:p w14:paraId="1F228447">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Количество каналов заряда(слотов) - не менее 2 шт;</w:t>
            </w:r>
          </w:p>
          <w:p w14:paraId="6B7F87D1">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Индикатор - светодиодный;</w:t>
            </w:r>
          </w:p>
          <w:p w14:paraId="2759FB65">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Питание от сети - не более 220В;</w:t>
            </w:r>
          </w:p>
          <w:p w14:paraId="413CDBB5">
            <w:pPr>
              <w:spacing w:after="0" w:line="240" w:lineRule="auto"/>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Ток заряда - не более 200mA/100mA/35mA.</w:t>
            </w:r>
          </w:p>
          <w:p w14:paraId="603DE1CE">
            <w:pPr>
              <w:spacing w:after="0" w:line="240" w:lineRule="auto"/>
              <w:rPr>
                <w:rFonts w:hint="default" w:ascii="Times New Roman" w:hAnsi="Times New Roman" w:eastAsia="Times New Roman" w:cs="Times New Roman"/>
                <w:color w:val="000000"/>
                <w:sz w:val="24"/>
                <w:szCs w:val="24"/>
                <w:lang w:val="en-US" w:eastAsia="ru-RU" w:bidi="ar-SA"/>
              </w:rPr>
            </w:pPr>
          </w:p>
        </w:tc>
        <w:tc>
          <w:tcPr>
            <w:tcW w:w="1145" w:type="dxa"/>
            <w:tcBorders>
              <w:top w:val="single" w:color="auto" w:sz="4" w:space="0"/>
              <w:left w:val="nil"/>
              <w:bottom w:val="single" w:color="auto" w:sz="4" w:space="0"/>
              <w:right w:val="single" w:color="auto" w:sz="4" w:space="0"/>
            </w:tcBorders>
            <w:shd w:val="clear" w:color="000000" w:fill="FFFFFF"/>
            <w:noWrap/>
            <w:vAlign w:val="center"/>
          </w:tcPr>
          <w:p w14:paraId="75305497">
            <w:pPr>
              <w:spacing w:after="0" w:line="240" w:lineRule="auto"/>
              <w:jc w:val="center"/>
              <w:rPr>
                <w:rFonts w:ascii="Times New Roman" w:hAnsi="Times New Roman" w:eastAsia="Times New Roman" w:cs="Times New Roman"/>
                <w:color w:val="000000"/>
                <w:sz w:val="24"/>
                <w:szCs w:val="24"/>
                <w:lang w:val="ru-RU" w:eastAsia="en-US" w:bidi="ar-SA"/>
              </w:rPr>
            </w:pPr>
            <w:r>
              <w:rPr>
                <w:rFonts w:ascii="Times New Roman" w:hAnsi="Times New Roman" w:eastAsia="Times New Roman" w:cs="Times New Roman"/>
                <w:color w:val="000000"/>
                <w:sz w:val="24"/>
                <w:szCs w:val="24"/>
                <w:lang w:eastAsia="ru-RU"/>
              </w:rPr>
              <w:t>шт</w:t>
            </w:r>
          </w:p>
        </w:tc>
        <w:tc>
          <w:tcPr>
            <w:tcW w:w="1103" w:type="dxa"/>
            <w:tcBorders>
              <w:top w:val="single" w:color="auto" w:sz="4" w:space="0"/>
              <w:left w:val="nil"/>
              <w:bottom w:val="single" w:color="auto" w:sz="4" w:space="0"/>
              <w:right w:val="single" w:color="auto" w:sz="4" w:space="0"/>
            </w:tcBorders>
            <w:shd w:val="clear" w:color="000000" w:fill="FFFFFF"/>
            <w:vAlign w:val="center"/>
          </w:tcPr>
          <w:p w14:paraId="426D6269">
            <w:pPr>
              <w:spacing w:after="0" w:line="240" w:lineRule="auto"/>
              <w:jc w:val="center"/>
              <w:rPr>
                <w:rFonts w:hint="default" w:ascii="Times New Roman" w:hAnsi="Times New Roman" w:eastAsia="Times New Roman" w:cs="Times New Roman"/>
                <w:color w:val="000000"/>
                <w:sz w:val="24"/>
                <w:szCs w:val="24"/>
                <w:lang w:val="ru-RU" w:eastAsia="en-US" w:bidi="ar-SA"/>
              </w:rPr>
            </w:pPr>
            <w:r>
              <w:rPr>
                <w:rFonts w:hint="default" w:ascii="Times New Roman" w:hAnsi="Times New Roman" w:eastAsia="Times New Roman" w:cs="Times New Roman"/>
                <w:color w:val="000000"/>
                <w:sz w:val="24"/>
                <w:szCs w:val="24"/>
                <w:lang w:val="en-US" w:eastAsia="ru-RU"/>
              </w:rPr>
              <w:t>1</w:t>
            </w:r>
          </w:p>
        </w:tc>
      </w:tr>
      <w:tr w14:paraId="45B803D2">
        <w:tblPrEx>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top"/>
          </w:tcPr>
          <w:p w14:paraId="6D96F953">
            <w:pPr>
              <w:spacing w:after="0" w:line="240" w:lineRule="auto"/>
              <w:jc w:val="center"/>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bidi="ar-SA"/>
              </w:rPr>
              <w:t>2</w:t>
            </w:r>
          </w:p>
        </w:tc>
        <w:tc>
          <w:tcPr>
            <w:tcW w:w="2409" w:type="dxa"/>
            <w:tcBorders>
              <w:top w:val="single" w:color="auto" w:sz="4" w:space="0"/>
              <w:left w:val="nil"/>
              <w:bottom w:val="single" w:color="auto" w:sz="4" w:space="0"/>
              <w:right w:val="nil"/>
            </w:tcBorders>
            <w:shd w:val="clear" w:color="auto" w:fill="auto"/>
            <w:noWrap/>
            <w:vAlign w:val="top"/>
          </w:tcPr>
          <w:p w14:paraId="25F9296E">
            <w:pPr>
              <w:spacing w:after="0" w:line="240" w:lineRule="auto"/>
              <w:rPr>
                <w:rFonts w:hint="default" w:ascii="Times New Roman" w:hAnsi="Times New Roman" w:eastAsia="Times New Roman" w:cs="Times New Roman"/>
                <w:sz w:val="24"/>
                <w:szCs w:val="24"/>
                <w:lang w:val="ru-RU" w:eastAsia="ru-RU" w:bidi="ar-SA"/>
              </w:rPr>
            </w:pPr>
            <w:r>
              <w:rPr>
                <w:rFonts w:ascii="Times New Roman" w:hAnsi="Times New Roman"/>
                <w:sz w:val="24"/>
                <w:szCs w:val="24"/>
              </w:rPr>
              <w:t>Аккумуляторные батаре</w:t>
            </w:r>
            <w:r>
              <w:rPr>
                <w:rFonts w:ascii="Times New Roman" w:hAnsi="Times New Roman"/>
                <w:sz w:val="24"/>
                <w:szCs w:val="24"/>
                <w:lang w:val="ru-RU"/>
              </w:rPr>
              <w:t>йки</w:t>
            </w:r>
            <w:bookmarkStart w:id="0" w:name="_GoBack"/>
            <w:bookmarkEnd w:id="0"/>
          </w:p>
        </w:tc>
        <w:tc>
          <w:tcPr>
            <w:tcW w:w="4805" w:type="dxa"/>
            <w:tcBorders>
              <w:top w:val="single" w:color="auto" w:sz="4" w:space="0"/>
              <w:left w:val="single" w:color="auto" w:sz="4" w:space="0"/>
              <w:bottom w:val="single" w:color="auto" w:sz="4" w:space="0"/>
              <w:right w:val="single" w:color="auto" w:sz="4" w:space="0"/>
            </w:tcBorders>
            <w:shd w:val="clear" w:color="auto" w:fill="auto"/>
            <w:noWrap/>
            <w:vAlign w:val="top"/>
          </w:tcPr>
          <w:p w14:paraId="31F43F0A">
            <w:pPr>
              <w:snapToGrid w:val="0"/>
              <w:spacing w:after="0" w:line="240" w:lineRule="auto"/>
              <w:rPr>
                <w:rFonts w:ascii="Times New Roman" w:hAnsi="Times New Roman" w:eastAsia="Times New Roman" w:cs="Times New Roman"/>
                <w:b/>
                <w:bCs/>
                <w:sz w:val="24"/>
                <w:szCs w:val="24"/>
                <w:lang w:val="ru-RU" w:eastAsia="ru-RU" w:bidi="ar-SA"/>
              </w:rPr>
            </w:pPr>
            <w:r>
              <w:rPr>
                <w:rFonts w:ascii="Times New Roman" w:hAnsi="Times New Roman" w:cs="Times New Roman"/>
              </w:rPr>
              <w:t>Форм-фактор ААА</w:t>
            </w:r>
            <w:r>
              <w:rPr>
                <w:rFonts w:hint="default" w:ascii="Times New Roman" w:hAnsi="Times New Roman" w:cs="Times New Roman"/>
                <w:sz w:val="22"/>
                <w:szCs w:val="22"/>
              </w:rPr>
              <w:t xml:space="preserve">, </w:t>
            </w:r>
            <w:r>
              <w:rPr>
                <w:rFonts w:hint="default" w:ascii="Times New Roman" w:hAnsi="Times New Roman" w:eastAsia="Arial" w:cs="Times New Roman"/>
                <w:i w:val="0"/>
                <w:iCs w:val="0"/>
                <w:caps w:val="0"/>
                <w:color w:val="222222"/>
                <w:spacing w:val="0"/>
                <w:sz w:val="22"/>
                <w:szCs w:val="22"/>
                <w:shd w:val="clear" w:fill="FFFFFF"/>
              </w:rPr>
              <w:t>перезаряжаемые</w:t>
            </w:r>
            <w:r>
              <w:rPr>
                <w:rFonts w:hint="default" w:ascii="Times New Roman" w:hAnsi="Times New Roman" w:eastAsia="Arial" w:cs="Times New Roman"/>
                <w:i w:val="0"/>
                <w:iCs w:val="0"/>
                <w:caps w:val="0"/>
                <w:color w:val="222222"/>
                <w:spacing w:val="0"/>
                <w:sz w:val="22"/>
                <w:szCs w:val="22"/>
                <w:shd w:val="clear" w:fill="FFFFFF"/>
                <w:lang w:val="ru-RU"/>
              </w:rPr>
              <w:t>,</w:t>
            </w:r>
            <w:r>
              <w:rPr>
                <w:rFonts w:hint="default" w:ascii="Arial" w:hAnsi="Arial" w:eastAsia="Arial" w:cs="Arial"/>
                <w:i w:val="0"/>
                <w:iCs w:val="0"/>
                <w:caps w:val="0"/>
                <w:color w:val="222222"/>
                <w:spacing w:val="0"/>
                <w:sz w:val="22"/>
                <w:szCs w:val="22"/>
                <w:shd w:val="clear" w:fill="FFFFFF"/>
                <w:lang w:val="ru-RU"/>
              </w:rPr>
              <w:t xml:space="preserve"> </w:t>
            </w:r>
            <w:r>
              <w:rPr>
                <w:rFonts w:ascii="Times New Roman" w:hAnsi="Times New Roman" w:cs="Times New Roman"/>
              </w:rPr>
              <w:t xml:space="preserve">номинальная емкость – не менее  1000 мА*ч, не менее 500 циклов перезарядки, вид – </w:t>
            </w:r>
            <w:r>
              <w:rPr>
                <w:rFonts w:ascii="Times New Roman" w:hAnsi="Times New Roman" w:cs="Times New Roman"/>
                <w:lang w:val="en-US"/>
              </w:rPr>
              <w:t>Ni</w:t>
            </w:r>
            <w:r>
              <w:rPr>
                <w:rFonts w:ascii="Times New Roman" w:hAnsi="Times New Roman" w:cs="Times New Roman"/>
              </w:rPr>
              <w:t>-</w:t>
            </w:r>
            <w:r>
              <w:rPr>
                <w:rFonts w:ascii="Times New Roman" w:hAnsi="Times New Roman" w:cs="Times New Roman"/>
                <w:lang w:val="en-US"/>
              </w:rPr>
              <w:t>MH</w:t>
            </w:r>
            <w:r>
              <w:rPr>
                <w:rFonts w:ascii="Times New Roman" w:hAnsi="Times New Roman" w:cs="Times New Roman"/>
              </w:rPr>
              <w:t xml:space="preserve"> , гарантия не менее 12 месяцев.</w:t>
            </w:r>
          </w:p>
        </w:tc>
        <w:tc>
          <w:tcPr>
            <w:tcW w:w="1145" w:type="dxa"/>
            <w:tcBorders>
              <w:top w:val="single" w:color="auto" w:sz="4" w:space="0"/>
              <w:left w:val="nil"/>
              <w:bottom w:val="single" w:color="auto" w:sz="4" w:space="0"/>
              <w:right w:val="single" w:color="auto" w:sz="4" w:space="0"/>
            </w:tcBorders>
            <w:shd w:val="clear" w:color="auto" w:fill="auto"/>
            <w:noWrap/>
            <w:vAlign w:val="top"/>
          </w:tcPr>
          <w:p w14:paraId="464D7D1F">
            <w:pPr>
              <w:spacing w:after="0" w:line="240" w:lineRule="auto"/>
              <w:jc w:val="center"/>
              <w:rPr>
                <w:rFonts w:ascii="Times New Roman" w:hAnsi="Times New Roman" w:eastAsia="Times New Roman" w:cs="Times New Roman"/>
                <w:color w:val="000000"/>
                <w:sz w:val="24"/>
                <w:szCs w:val="24"/>
                <w:lang w:val="ru-RU" w:eastAsia="ru-RU" w:bidi="ar-SA"/>
              </w:rPr>
            </w:pPr>
            <w:r>
              <w:rPr>
                <w:rFonts w:ascii="Times New Roman" w:hAnsi="Times New Roman" w:eastAsia="Times New Roman" w:cs="Times New Roman"/>
                <w:color w:val="000000"/>
                <w:sz w:val="24"/>
                <w:szCs w:val="24"/>
                <w:lang w:eastAsia="ru-RU"/>
              </w:rPr>
              <w:t>шт</w:t>
            </w:r>
          </w:p>
        </w:tc>
        <w:tc>
          <w:tcPr>
            <w:tcW w:w="1103" w:type="dxa"/>
            <w:tcBorders>
              <w:top w:val="single" w:color="auto" w:sz="4" w:space="0"/>
              <w:left w:val="nil"/>
              <w:bottom w:val="single" w:color="auto" w:sz="4" w:space="0"/>
              <w:right w:val="single" w:color="auto" w:sz="4" w:space="0"/>
            </w:tcBorders>
            <w:shd w:val="clear" w:color="auto" w:fill="auto"/>
            <w:vAlign w:val="top"/>
          </w:tcPr>
          <w:p w14:paraId="0785B011">
            <w:pPr>
              <w:spacing w:after="0" w:line="240" w:lineRule="auto"/>
              <w:jc w:val="center"/>
              <w:rPr>
                <w:rFonts w:hint="default" w:ascii="Times New Roman" w:hAnsi="Times New Roman" w:eastAsia="Times New Roman" w:cs="Times New Roman"/>
                <w:color w:val="000000"/>
                <w:sz w:val="24"/>
                <w:szCs w:val="24"/>
                <w:lang w:val="en-US" w:eastAsia="ru-RU" w:bidi="ar-SA"/>
              </w:rPr>
            </w:pPr>
            <w:r>
              <w:rPr>
                <w:rFonts w:hint="default" w:ascii="Times New Roman" w:hAnsi="Times New Roman" w:eastAsia="Times New Roman" w:cs="Times New Roman"/>
                <w:color w:val="000000"/>
                <w:sz w:val="24"/>
                <w:szCs w:val="24"/>
                <w:lang w:val="en-US" w:eastAsia="ru-RU"/>
              </w:rPr>
              <w:t>10</w:t>
            </w:r>
          </w:p>
        </w:tc>
      </w:tr>
    </w:tbl>
    <w:p w14:paraId="5AAC31DF">
      <w:pPr>
        <w:widowControl w:val="0"/>
        <w:tabs>
          <w:tab w:val="left" w:pos="1134"/>
        </w:tabs>
        <w:ind w:left="709"/>
        <w:jc w:val="both"/>
        <w:rPr>
          <w:rFonts w:ascii="Times New Roman" w:hAnsi="Times New Roman"/>
          <w:sz w:val="24"/>
          <w:szCs w:val="24"/>
        </w:rPr>
      </w:pPr>
    </w:p>
    <w:p w14:paraId="0314895E">
      <w:pPr>
        <w:widowControl w:val="0"/>
        <w:tabs>
          <w:tab w:val="left" w:pos="1134"/>
        </w:tabs>
        <w:ind w:left="709"/>
        <w:jc w:val="both"/>
        <w:rPr>
          <w:rFonts w:ascii="Times New Roman" w:hAnsi="Times New Roman"/>
          <w:sz w:val="24"/>
          <w:szCs w:val="24"/>
        </w:rPr>
      </w:pPr>
    </w:p>
    <w:p w14:paraId="78BE7883">
      <w:pPr>
        <w:widowControl w:val="0"/>
        <w:tabs>
          <w:tab w:val="left" w:pos="1134"/>
        </w:tabs>
        <w:ind w:left="709"/>
        <w:jc w:val="both"/>
        <w:rPr>
          <w:rFonts w:hint="default" w:ascii="Times New Roman" w:hAnsi="Times New Roman"/>
          <w:sz w:val="24"/>
          <w:szCs w:val="24"/>
          <w:lang w:val="ru-RU"/>
        </w:rPr>
      </w:pPr>
    </w:p>
    <w:tbl>
      <w:tblPr>
        <w:tblStyle w:val="3"/>
        <w:tblW w:w="10065" w:type="dxa"/>
        <w:tblInd w:w="-142" w:type="dxa"/>
        <w:tblLayout w:type="fixed"/>
        <w:tblCellMar>
          <w:top w:w="0" w:type="dxa"/>
          <w:left w:w="108" w:type="dxa"/>
          <w:bottom w:w="0" w:type="dxa"/>
          <w:right w:w="108" w:type="dxa"/>
        </w:tblCellMar>
      </w:tblPr>
      <w:tblGrid>
        <w:gridCol w:w="5070"/>
        <w:gridCol w:w="4995"/>
      </w:tblGrid>
      <w:tr w14:paraId="02FEA481">
        <w:tblPrEx>
          <w:tblCellMar>
            <w:top w:w="0" w:type="dxa"/>
            <w:left w:w="108" w:type="dxa"/>
            <w:bottom w:w="0" w:type="dxa"/>
            <w:right w:w="108" w:type="dxa"/>
          </w:tblCellMar>
        </w:tblPrEx>
        <w:tc>
          <w:tcPr>
            <w:tcW w:w="5070" w:type="dxa"/>
          </w:tcPr>
          <w:p w14:paraId="41B601A5">
            <w:pPr>
              <w:widowControl w:val="0"/>
              <w:autoSpaceDE w:val="0"/>
              <w:autoSpaceDN w:val="0"/>
              <w:adjustRightInd w:val="0"/>
              <w:jc w:val="center"/>
              <w:rPr>
                <w:rFonts w:ascii="Times New Roman" w:hAnsi="Times New Roman"/>
                <w:sz w:val="24"/>
                <w:szCs w:val="24"/>
              </w:rPr>
            </w:pPr>
            <w:r>
              <w:rPr>
                <w:rFonts w:ascii="Times New Roman" w:hAnsi="Times New Roman"/>
                <w:b/>
                <w:sz w:val="24"/>
                <w:szCs w:val="24"/>
              </w:rPr>
              <w:t>Исполнитель:</w:t>
            </w:r>
          </w:p>
        </w:tc>
        <w:tc>
          <w:tcPr>
            <w:tcW w:w="4995" w:type="dxa"/>
          </w:tcPr>
          <w:p w14:paraId="334A63EA">
            <w:pPr>
              <w:widowControl w:val="0"/>
              <w:autoSpaceDE w:val="0"/>
              <w:autoSpaceDN w:val="0"/>
              <w:adjustRightInd w:val="0"/>
              <w:jc w:val="center"/>
              <w:rPr>
                <w:rFonts w:ascii="Times New Roman" w:hAnsi="Times New Roman"/>
                <w:sz w:val="24"/>
                <w:szCs w:val="24"/>
              </w:rPr>
            </w:pPr>
            <w:r>
              <w:rPr>
                <w:rFonts w:ascii="Times New Roman" w:hAnsi="Times New Roman"/>
                <w:b/>
                <w:spacing w:val="-2"/>
                <w:sz w:val="24"/>
                <w:szCs w:val="24"/>
              </w:rPr>
              <w:t>Заказчик:</w:t>
            </w:r>
          </w:p>
        </w:tc>
      </w:tr>
      <w:tr w14:paraId="3178D5BD">
        <w:tblPrEx>
          <w:tblCellMar>
            <w:top w:w="0" w:type="dxa"/>
            <w:left w:w="108" w:type="dxa"/>
            <w:bottom w:w="0" w:type="dxa"/>
            <w:right w:w="108" w:type="dxa"/>
          </w:tblCellMar>
        </w:tblPrEx>
        <w:tc>
          <w:tcPr>
            <w:tcW w:w="5070" w:type="dxa"/>
          </w:tcPr>
          <w:p w14:paraId="5B2E2B3F">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Исполнитель: ___________ /____________ /</w:t>
            </w:r>
          </w:p>
          <w:p w14:paraId="7C04EEFE">
            <w:pPr>
              <w:pStyle w:val="7"/>
              <w:widowControl w:val="0"/>
              <w:ind w:left="35"/>
              <w:rPr>
                <w:rFonts w:ascii="Times New Roman" w:hAnsi="Times New Roman"/>
                <w:bCs/>
                <w:kern w:val="2"/>
                <w:sz w:val="24"/>
                <w:szCs w:val="24"/>
                <w:lang w:eastAsia="ar-SA"/>
              </w:rPr>
            </w:pPr>
          </w:p>
          <w:p w14:paraId="1D2A4AD5">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 xml:space="preserve">               М.П</w:t>
            </w:r>
          </w:p>
        </w:tc>
        <w:tc>
          <w:tcPr>
            <w:tcW w:w="4995" w:type="dxa"/>
          </w:tcPr>
          <w:p w14:paraId="0DB9D6E3">
            <w:pPr>
              <w:pStyle w:val="7"/>
              <w:widowControl w:val="0"/>
              <w:ind w:left="35"/>
              <w:rPr>
                <w:rFonts w:ascii="Times New Roman" w:hAnsi="Times New Roman"/>
                <w:bCs/>
                <w:kern w:val="2"/>
                <w:sz w:val="24"/>
                <w:szCs w:val="24"/>
                <w:lang w:eastAsia="ar-SA"/>
              </w:rPr>
            </w:pPr>
            <w:r>
              <w:rPr>
                <w:rFonts w:ascii="Times New Roman" w:hAnsi="Times New Roman"/>
                <w:bCs/>
                <w:kern w:val="2"/>
                <w:sz w:val="24"/>
                <w:szCs w:val="24"/>
                <w:lang w:eastAsia="ar-SA"/>
              </w:rPr>
              <w:t>Заказчик___________/ _____________/</w:t>
            </w:r>
          </w:p>
          <w:p w14:paraId="497102F6">
            <w:pPr>
              <w:pStyle w:val="7"/>
              <w:widowControl w:val="0"/>
              <w:ind w:left="35"/>
              <w:rPr>
                <w:rFonts w:ascii="Times New Roman" w:hAnsi="Times New Roman"/>
                <w:bCs/>
                <w:kern w:val="2"/>
                <w:sz w:val="24"/>
                <w:szCs w:val="24"/>
                <w:lang w:eastAsia="ar-SA"/>
              </w:rPr>
            </w:pPr>
          </w:p>
          <w:p w14:paraId="33B4BB2A">
            <w:pPr>
              <w:widowControl w:val="0"/>
              <w:autoSpaceDE w:val="0"/>
              <w:autoSpaceDN w:val="0"/>
              <w:adjustRightInd w:val="0"/>
              <w:rPr>
                <w:rFonts w:ascii="Times New Roman" w:hAnsi="Times New Roman"/>
                <w:sz w:val="24"/>
                <w:szCs w:val="24"/>
              </w:rPr>
            </w:pPr>
            <w:r>
              <w:rPr>
                <w:rFonts w:ascii="Times New Roman" w:hAnsi="Times New Roman"/>
                <w:bCs/>
                <w:kern w:val="2"/>
                <w:sz w:val="24"/>
                <w:szCs w:val="24"/>
                <w:lang w:eastAsia="ar-SA"/>
              </w:rPr>
              <w:t xml:space="preserve">            М.П.</w:t>
            </w:r>
          </w:p>
        </w:tc>
      </w:tr>
    </w:tbl>
    <w:p w14:paraId="21038CB8">
      <w:pPr>
        <w:spacing w:line="276" w:lineRule="auto"/>
        <w:rPr>
          <w:rFonts w:ascii="Times New Roman" w:hAnsi="Times New Roman"/>
          <w:color w:val="000000"/>
          <w:sz w:val="24"/>
          <w:szCs w:val="24"/>
        </w:rPr>
      </w:pP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01ABE"/>
    <w:multiLevelType w:val="multilevel"/>
    <w:tmpl w:val="5D501ABE"/>
    <w:lvl w:ilvl="0" w:tentative="0">
      <w:start w:val="1"/>
      <w:numFmt w:val="decimal"/>
      <w:lvlText w:val="%1."/>
      <w:lvlJc w:val="left"/>
      <w:pPr>
        <w:ind w:left="360" w:hanging="360"/>
      </w:pPr>
    </w:lvl>
    <w:lvl w:ilvl="1" w:tentative="0">
      <w:start w:val="1"/>
      <w:numFmt w:val="decimal"/>
      <w:lvlText w:val="%1.%2."/>
      <w:lvlJc w:val="left"/>
      <w:pPr>
        <w:ind w:left="792" w:hanging="432"/>
      </w:pPr>
      <w:rPr>
        <w:color w:val="auto"/>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9F"/>
    <w:rsid w:val="00012991"/>
    <w:rsid w:val="000309EE"/>
    <w:rsid w:val="000339C2"/>
    <w:rsid w:val="00033F51"/>
    <w:rsid w:val="00055C3B"/>
    <w:rsid w:val="000608FC"/>
    <w:rsid w:val="00065C12"/>
    <w:rsid w:val="000A20B6"/>
    <w:rsid w:val="000C60CF"/>
    <w:rsid w:val="000D5E9D"/>
    <w:rsid w:val="000D6D85"/>
    <w:rsid w:val="000F5053"/>
    <w:rsid w:val="000F7DC0"/>
    <w:rsid w:val="00105716"/>
    <w:rsid w:val="001152F6"/>
    <w:rsid w:val="001200B4"/>
    <w:rsid w:val="00142C45"/>
    <w:rsid w:val="00143993"/>
    <w:rsid w:val="001773A2"/>
    <w:rsid w:val="00192A55"/>
    <w:rsid w:val="001943EE"/>
    <w:rsid w:val="001A5FFF"/>
    <w:rsid w:val="001B1565"/>
    <w:rsid w:val="001C099D"/>
    <w:rsid w:val="001E09AB"/>
    <w:rsid w:val="002003C9"/>
    <w:rsid w:val="00200B0B"/>
    <w:rsid w:val="0020454E"/>
    <w:rsid w:val="00211484"/>
    <w:rsid w:val="00237BF4"/>
    <w:rsid w:val="00237E10"/>
    <w:rsid w:val="00257A50"/>
    <w:rsid w:val="0027375B"/>
    <w:rsid w:val="00287813"/>
    <w:rsid w:val="002953FA"/>
    <w:rsid w:val="002A4956"/>
    <w:rsid w:val="002A5181"/>
    <w:rsid w:val="002B1002"/>
    <w:rsid w:val="002B607B"/>
    <w:rsid w:val="002C5028"/>
    <w:rsid w:val="002C6AB5"/>
    <w:rsid w:val="002D2A0A"/>
    <w:rsid w:val="002D5D2D"/>
    <w:rsid w:val="002E38CC"/>
    <w:rsid w:val="002F261B"/>
    <w:rsid w:val="00317787"/>
    <w:rsid w:val="00327CB0"/>
    <w:rsid w:val="00331FFA"/>
    <w:rsid w:val="003521A7"/>
    <w:rsid w:val="00357C7F"/>
    <w:rsid w:val="003739D2"/>
    <w:rsid w:val="00382A50"/>
    <w:rsid w:val="00382DBE"/>
    <w:rsid w:val="003B3A1E"/>
    <w:rsid w:val="003C236D"/>
    <w:rsid w:val="003C5897"/>
    <w:rsid w:val="003D19B9"/>
    <w:rsid w:val="003D3470"/>
    <w:rsid w:val="003D5478"/>
    <w:rsid w:val="003E290D"/>
    <w:rsid w:val="003E4EEA"/>
    <w:rsid w:val="003E7049"/>
    <w:rsid w:val="003F32E4"/>
    <w:rsid w:val="00402172"/>
    <w:rsid w:val="00405173"/>
    <w:rsid w:val="00406505"/>
    <w:rsid w:val="00411C71"/>
    <w:rsid w:val="00411E3A"/>
    <w:rsid w:val="004448BA"/>
    <w:rsid w:val="00455E06"/>
    <w:rsid w:val="00484505"/>
    <w:rsid w:val="004B571D"/>
    <w:rsid w:val="004B7F26"/>
    <w:rsid w:val="004D1004"/>
    <w:rsid w:val="004D51E5"/>
    <w:rsid w:val="004D7879"/>
    <w:rsid w:val="004E5955"/>
    <w:rsid w:val="004F36E8"/>
    <w:rsid w:val="005039E9"/>
    <w:rsid w:val="00512C37"/>
    <w:rsid w:val="00526D28"/>
    <w:rsid w:val="005337EE"/>
    <w:rsid w:val="0053409B"/>
    <w:rsid w:val="0053500A"/>
    <w:rsid w:val="0056570A"/>
    <w:rsid w:val="006018A8"/>
    <w:rsid w:val="00607315"/>
    <w:rsid w:val="006129C3"/>
    <w:rsid w:val="006138F1"/>
    <w:rsid w:val="00614136"/>
    <w:rsid w:val="006143CF"/>
    <w:rsid w:val="006154F6"/>
    <w:rsid w:val="0063215D"/>
    <w:rsid w:val="00644794"/>
    <w:rsid w:val="00654C26"/>
    <w:rsid w:val="0065570D"/>
    <w:rsid w:val="00662208"/>
    <w:rsid w:val="006B31E6"/>
    <w:rsid w:val="006B4B06"/>
    <w:rsid w:val="006C32E9"/>
    <w:rsid w:val="006E4980"/>
    <w:rsid w:val="00703C8D"/>
    <w:rsid w:val="00723E3A"/>
    <w:rsid w:val="0074159C"/>
    <w:rsid w:val="00746014"/>
    <w:rsid w:val="00761D7E"/>
    <w:rsid w:val="00775AEB"/>
    <w:rsid w:val="00776A08"/>
    <w:rsid w:val="007813EC"/>
    <w:rsid w:val="00796287"/>
    <w:rsid w:val="007A26B3"/>
    <w:rsid w:val="007B40AC"/>
    <w:rsid w:val="007B601B"/>
    <w:rsid w:val="007D1006"/>
    <w:rsid w:val="007E28A1"/>
    <w:rsid w:val="007F14A3"/>
    <w:rsid w:val="007F3154"/>
    <w:rsid w:val="00805DA1"/>
    <w:rsid w:val="00807683"/>
    <w:rsid w:val="008114E6"/>
    <w:rsid w:val="008305FE"/>
    <w:rsid w:val="0083684F"/>
    <w:rsid w:val="00841ECB"/>
    <w:rsid w:val="00844C10"/>
    <w:rsid w:val="00882D1A"/>
    <w:rsid w:val="0088372B"/>
    <w:rsid w:val="0088396C"/>
    <w:rsid w:val="008949E6"/>
    <w:rsid w:val="008A1598"/>
    <w:rsid w:val="008A193D"/>
    <w:rsid w:val="008A2B40"/>
    <w:rsid w:val="008C0D84"/>
    <w:rsid w:val="009069A6"/>
    <w:rsid w:val="009279DC"/>
    <w:rsid w:val="00940ADB"/>
    <w:rsid w:val="00945BE0"/>
    <w:rsid w:val="00987D50"/>
    <w:rsid w:val="00996689"/>
    <w:rsid w:val="009B44F1"/>
    <w:rsid w:val="009D1573"/>
    <w:rsid w:val="00A018F4"/>
    <w:rsid w:val="00A1359F"/>
    <w:rsid w:val="00A378B6"/>
    <w:rsid w:val="00A42D77"/>
    <w:rsid w:val="00A62883"/>
    <w:rsid w:val="00A71D7A"/>
    <w:rsid w:val="00A72F22"/>
    <w:rsid w:val="00A82364"/>
    <w:rsid w:val="00A9396D"/>
    <w:rsid w:val="00AC7DBA"/>
    <w:rsid w:val="00AD5AE4"/>
    <w:rsid w:val="00B0571E"/>
    <w:rsid w:val="00B12B13"/>
    <w:rsid w:val="00B1402B"/>
    <w:rsid w:val="00B24BA3"/>
    <w:rsid w:val="00B43688"/>
    <w:rsid w:val="00B65E50"/>
    <w:rsid w:val="00B67CCA"/>
    <w:rsid w:val="00B82C17"/>
    <w:rsid w:val="00B95949"/>
    <w:rsid w:val="00BA1A49"/>
    <w:rsid w:val="00BB3B47"/>
    <w:rsid w:val="00BB3BC1"/>
    <w:rsid w:val="00C02542"/>
    <w:rsid w:val="00C06CD6"/>
    <w:rsid w:val="00C4257B"/>
    <w:rsid w:val="00C451A6"/>
    <w:rsid w:val="00C70440"/>
    <w:rsid w:val="00C74F0D"/>
    <w:rsid w:val="00CA4F61"/>
    <w:rsid w:val="00CB4490"/>
    <w:rsid w:val="00CD3E88"/>
    <w:rsid w:val="00CD634F"/>
    <w:rsid w:val="00CE170E"/>
    <w:rsid w:val="00CE4196"/>
    <w:rsid w:val="00CF4884"/>
    <w:rsid w:val="00D23B42"/>
    <w:rsid w:val="00D4152D"/>
    <w:rsid w:val="00D53AC3"/>
    <w:rsid w:val="00D55500"/>
    <w:rsid w:val="00D66DF7"/>
    <w:rsid w:val="00D754CD"/>
    <w:rsid w:val="00D76C37"/>
    <w:rsid w:val="00DD0117"/>
    <w:rsid w:val="00E019F2"/>
    <w:rsid w:val="00E06C2E"/>
    <w:rsid w:val="00E40982"/>
    <w:rsid w:val="00E55728"/>
    <w:rsid w:val="00E80328"/>
    <w:rsid w:val="00E81510"/>
    <w:rsid w:val="00E96761"/>
    <w:rsid w:val="00EC1F8C"/>
    <w:rsid w:val="00EC30BE"/>
    <w:rsid w:val="00EC38BF"/>
    <w:rsid w:val="00F231E4"/>
    <w:rsid w:val="00F56230"/>
    <w:rsid w:val="00F67C63"/>
    <w:rsid w:val="00F7058F"/>
    <w:rsid w:val="00F91052"/>
    <w:rsid w:val="00FA2292"/>
    <w:rsid w:val="00FC442F"/>
    <w:rsid w:val="070B1CDA"/>
    <w:rsid w:val="0783190E"/>
    <w:rsid w:val="0D927B4C"/>
    <w:rsid w:val="10142A22"/>
    <w:rsid w:val="17BD4F38"/>
    <w:rsid w:val="22502157"/>
    <w:rsid w:val="22C01511"/>
    <w:rsid w:val="28982FA0"/>
    <w:rsid w:val="2CD24BC3"/>
    <w:rsid w:val="322C60A7"/>
    <w:rsid w:val="34924AD7"/>
    <w:rsid w:val="375A4B52"/>
    <w:rsid w:val="39522AEC"/>
    <w:rsid w:val="3A5D1CE2"/>
    <w:rsid w:val="3A783C9B"/>
    <w:rsid w:val="3CBE53B5"/>
    <w:rsid w:val="3D72044D"/>
    <w:rsid w:val="3D943F6E"/>
    <w:rsid w:val="3FD53EB4"/>
    <w:rsid w:val="47CB415D"/>
    <w:rsid w:val="4B412286"/>
    <w:rsid w:val="52443688"/>
    <w:rsid w:val="52C92848"/>
    <w:rsid w:val="5346672E"/>
    <w:rsid w:val="53B65ACC"/>
    <w:rsid w:val="55F23D8E"/>
    <w:rsid w:val="5AFA4AD0"/>
    <w:rsid w:val="69863E30"/>
    <w:rsid w:val="69F7051B"/>
    <w:rsid w:val="6B8934C3"/>
    <w:rsid w:val="6F0A0EEE"/>
    <w:rsid w:val="757203DB"/>
    <w:rsid w:val="75793D94"/>
    <w:rsid w:val="7668549F"/>
    <w:rsid w:val="7FCC1B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Segoe UI" w:hAnsi="Segoe UI" w:cs="Segoe UI"/>
      <w:sz w:val="18"/>
      <w:szCs w:val="18"/>
    </w:rPr>
  </w:style>
  <w:style w:type="character" w:customStyle="1" w:styleId="5">
    <w:name w:val="name-link"/>
    <w:basedOn w:val="2"/>
    <w:qFormat/>
    <w:uiPriority w:val="0"/>
  </w:style>
  <w:style w:type="character" w:customStyle="1" w:styleId="6">
    <w:name w:val="Текст выноски Знак"/>
    <w:basedOn w:val="2"/>
    <w:link w:val="4"/>
    <w:semiHidden/>
    <w:qFormat/>
    <w:uiPriority w:val="99"/>
    <w:rPr>
      <w:rFonts w:ascii="Segoe UI" w:hAnsi="Segoe UI" w:cs="Segoe UI"/>
      <w:sz w:val="18"/>
      <w:szCs w:val="18"/>
    </w:rPr>
  </w:style>
  <w:style w:type="paragraph" w:styleId="7">
    <w:name w:val="List Paragraph"/>
    <w:basedOn w:val="1"/>
    <w:link w:val="8"/>
    <w:qFormat/>
    <w:uiPriority w:val="34"/>
    <w:pPr>
      <w:spacing w:after="200" w:line="276" w:lineRule="auto"/>
      <w:ind w:left="720"/>
      <w:contextualSpacing/>
    </w:pPr>
    <w:rPr>
      <w:rFonts w:ascii="Calibri" w:hAnsi="Calibri" w:eastAsia="Calibri" w:cs="Times New Roman"/>
    </w:rPr>
  </w:style>
  <w:style w:type="character" w:customStyle="1" w:styleId="8">
    <w:name w:val="Абзац списка Знак"/>
    <w:link w:val="7"/>
    <w:qFormat/>
    <w:locked/>
    <w:uiPriority w:val="34"/>
    <w:rPr>
      <w:rFonts w:ascii="Calibri" w:hAnsi="Calibri" w:eastAsia="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1065</Words>
  <Characters>7689</Characters>
  <Lines>55</Lines>
  <Paragraphs>15</Paragraphs>
  <TotalTime>82</TotalTime>
  <ScaleCrop>false</ScaleCrop>
  <LinksUpToDate>false</LinksUpToDate>
  <CharactersWithSpaces>8712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2019-07-15T08:46:00Z</dcterms:created>
  <dc:creator>Хаптаева Юлия Алексеевна</dc:creator>
  <cp:lastModifiedBy>to03-pirmaeva</cp:lastModifiedBy>
  <cp:lastPrinted>2026-02-03T06:27:00Z</cp:lastPrinted>
  <dcterms:modified xsi:type="dcterms:W3CDTF">2026-07-02T03:30:37Z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7871AD700C1841A7B7F407D137CFF395_12</vt:lpwstr>
  </property>
  <property fmtid="{D5CDD505-2E9C-101B-9397-08002B2CF9AE}" pid="4" name="KSOTemplateDocerSaveRecord">
    <vt:lpwstr>eyJoZGlkIjoiNTVlZTZjZTI5MDJkOTA5N2RhZmZmOWUzNmIwYjUyZmEifQ==</vt:lpwstr>
  </property>
</Properties>
</file>