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0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</w:t>
      </w:r>
      <w:r>
        <w:rPr>
          <w:rtl w:val="0"/>
        </w:rPr>
        <w:t xml:space="preserve">4162514</w:t>
      </w:r>
      <w:r>
        <w:br/>
      </w:r>
      <w:r>
        <w:rPr>
          <w:rtl w:val="0"/>
        </w:rPr>
        <w:t xml:space="preserve">на поставку материалов для печати и реставрации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Проректора по экономическому развитию и информатизации Малюкова Юрия Алексеевича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</w:rPr>
        <w:t xml:space="preserve">60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</w:t>
      </w:r>
      <w:r>
        <w:rPr>
          <w:rFonts w:eastAsia="Arial Unicode MS" w:cs="Arial Unicode MS"/>
          <w:rtl w:val="0"/>
          <w:lang w:val="en-US"/>
        </w:rPr>
        <w:t xml:space="preserve">017184af-2658-46b2-81ee-07d99dd4eacd) </w:t>
      </w:r>
      <w:r>
        <w:rPr>
          <w:rFonts w:hint="default" w:eastAsia="Arial Unicode MS" w:cs="Arial Unicode MS"/>
          <w:rtl w:val="0"/>
        </w:rPr>
        <w:t xml:space="preserve">от </w:t>
      </w:r>
      <w:r>
        <w:rPr>
          <w:rFonts w:eastAsia="Arial Unicode MS" w:cs="Arial Unicode MS"/>
          <w:rtl w:val="0"/>
        </w:rPr>
        <w:t xml:space="preserve">01.04.2026,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организационно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правовая форма организации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</w:t>
      </w:r>
      <w:r>
        <w:rPr>
          <w:rFonts w:eastAsia="Arial Unicode MS" w:cs="Arial Unicode MS"/>
          <w:rtl w:val="0"/>
        </w:rPr>
        <w:t xml:space="preserve">.4 </w:t>
      </w:r>
      <w:r>
        <w:rPr>
          <w:rFonts w:hint="default" w:eastAsia="Arial Unicode MS" w:cs="Arial Unicode MS"/>
          <w:rtl w:val="0"/>
        </w:rPr>
        <w:t xml:space="preserve">ч</w:t>
      </w:r>
      <w:r>
        <w:rPr>
          <w:rFonts w:eastAsia="Arial Unicode MS" w:cs="Arial Unicode MS"/>
          <w:rtl w:val="0"/>
          <w:lang w:val="ru-RU"/>
        </w:rPr>
        <w:t xml:space="preserve">.1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93 </w:t>
      </w:r>
      <w:r>
        <w:rPr>
          <w:rFonts w:hint="default" w:eastAsia="Arial Unicode MS" w:cs="Arial Unicode MS"/>
          <w:rtl w:val="0"/>
          <w:lang w:val="ru-RU"/>
        </w:rPr>
        <w:t xml:space="preserve">Федерального закона от </w:t>
      </w:r>
      <w:r>
        <w:rPr>
          <w:rFonts w:eastAsia="Arial Unicode MS" w:cs="Arial Unicode MS"/>
          <w:rtl w:val="0"/>
        </w:rPr>
        <w:t xml:space="preserve">05.04.2013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 «О Договорной системе в сфере закупок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для обеспечения государственных и муниципальных нужд»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ИКЗ </w:t>
      </w:r>
      <w:r>
        <w:rPr>
          <w:rFonts w:eastAsia="Arial Unicode MS" w:cs="Arial Unicode MS"/>
          <w:rtl w:val="0"/>
        </w:rPr>
        <w:t xml:space="preserve">261770500102077050100100030000000244)</w:t>
      </w:r>
      <w:r>
        <w:rPr>
          <w:rFonts w:hint="default" w:eastAsia="Arial Unicode MS" w:cs="Arial Unicode MS"/>
          <w:rtl w:val="0"/>
          <w:lang w:val="ru-RU"/>
        </w:rPr>
        <w:t xml:space="preserve"> 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олучения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от Поставщика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счёта на оплату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  <w:lang w:val="ru-RU"/>
        </w:rPr>
        <w:t xml:space="preserve">счёта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бумажном носителе или получения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Подписания Сторонами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является твёрдой и определяется на весь срок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законодательством Российской Федерации и настоящим Договором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может быть снижена по соглашению Сторон без изменения количества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качества поставляемого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оказываемых Услуг выполняемых Работ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иных предусмотренных Договором условий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благоустройству территории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hint="default" w:eastAsia="Arial Unicode MS" w:cs="Arial Unicode MS"/>
          <w:rtl w:val="0"/>
          <w:lang w:val="ru-RU"/>
        </w:rPr>
        <w:t xml:space="preserve"> направлять </w:t>
      </w:r>
      <w:r>
        <w:rPr>
          <w:rFonts w:hint="default" w:eastAsia="Arial Unicode MS" w:cs="Arial Unicode MS"/>
          <w:rtl w:val="0"/>
          <w:lang w:val="ru-RU"/>
        </w:rPr>
        <w:t xml:space="preserve">указанные</w:t>
      </w:r>
      <w:r>
        <w:rPr>
          <w:rFonts w:hint="default" w:eastAsia="Arial Unicode MS" w:cs="Arial Unicode MS"/>
          <w:rtl w:val="0"/>
          <w:lang w:val="ru-RU"/>
        </w:rPr>
        <w:t xml:space="preserve"> документы не позднее </w:t>
      </w:r>
      <w:r>
        <w:rPr>
          <w:rFonts w:eastAsia="Arial Unicode MS" w:cs="Arial Unicode MS"/>
          <w:rtl w:val="0"/>
          <w:lang w:val="ru-RU"/>
        </w:rPr>
        <w:t xml:space="preserve">5 (</w:t>
      </w:r>
      <w:r>
        <w:rPr>
          <w:rFonts w:hint="default" w:eastAsia="Arial Unicode MS" w:cs="Arial Unicode MS"/>
          <w:rtl w:val="0"/>
          <w:lang w:val="ru-RU"/>
        </w:rPr>
        <w:t xml:space="preserve">пяти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обязательств по настоящему Договору Стороны несут ответственность согласно постановлению Правительства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</w:rPr>
        <w:t xml:space="preserve">Федеральному закону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  <w:lang w:val="ru-RU"/>
        </w:rPr>
        <w:t xml:space="preserve">ФЗ и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цены Договора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пунктом </w:t>
      </w:r>
      <w:r>
        <w:rPr>
          <w:rFonts w:eastAsia="Arial Unicode MS" w:cs="Arial Unicode MS"/>
          <w:rtl w:val="0"/>
        </w:rPr>
        <w:t xml:space="preserve">6.2.2 </w:t>
      </w:r>
      <w:r>
        <w:rPr>
          <w:rFonts w:hint="default" w:eastAsia="Arial Unicode MS" w:cs="Arial Unicode MS"/>
          <w:rtl w:val="0"/>
        </w:rPr>
        <w:t xml:space="preserve">Договора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Договоре таких обязательств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Поставщиком обязательств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гарантийного обязательства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Заказчик направляет Поставщику требование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каждый день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 устанавливается Договором в размере одной трехсотой действующей на дату уплаты пени ключевой ставки Центрального банка Российской Федерации от цены Договора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отдельного этапа исполнения Договора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уменьшенной на сумму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пропорциональную объему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соответствующим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отдельным </w:t>
      </w:r>
      <w:r>
        <w:rPr>
          <w:rFonts w:hint="default" w:eastAsia="Arial Unicode MS" w:cs="Arial Unicode MS"/>
          <w:rtl w:val="0"/>
          <w:lang w:val="ru-RU"/>
        </w:rPr>
        <w:t xml:space="preserve">этап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исполнения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фактически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начисленных штрафов за неисполнение или ненадлежащее исполнение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каждый факт неисполнения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вправе потребовать уплаты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каждый день просрочки исполнения 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 в размере одной трехсотой действующей на дату уплаты пени ключевой ставки Центрального банка Российской Федерации от не уплаченной в срок суммы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</w:t>
      </w:r>
      <w:r>
        <w:rPr>
          <w:rFonts w:hint="default" w:eastAsia="Arial Unicode MS" w:cs="Arial Unicode MS"/>
          <w:rtl w:val="0"/>
          <w:lang w:val="ru-RU"/>
        </w:rPr>
        <w:t xml:space="preserve">ых штрафов</w:t>
      </w:r>
      <w:r>
        <w:rPr>
          <w:rFonts w:hint="default" w:eastAsia="Arial Unicode MS" w:cs="Arial Unicode MS"/>
          <w:rtl w:val="0"/>
          <w:lang w:val="ru-RU"/>
        </w:rPr>
        <w:t xml:space="preserve"> за ненадлежащее исполнение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в том числе рассчитывается как процент цены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Договором предусмотрены этапы исполнения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как процент этапа исполнения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штрафа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пени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пени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31.12.2026,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благоустройству территории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согласованию с Заказчиком осуществляется поставка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качество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технические и функциональные характеристики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потребительские свойства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котор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явля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улучшенными по сравнению с качеством и соответствующими техническими и функциональными характеристиками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указанными в Договоре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возникновении необходимости у Поставщика поручения обязательств по настоящему Договору третьей стороне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субподряд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обязан согласовать с Заказчиком представителя третьей стороны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субподрядчика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59610)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8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727</w:t>
      </w:r>
      <w:r/>
    </w:p>
    <w:p>
      <w:pPr>
        <w:pStyle w:val="711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4162514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20"/>
        <w:pBdr/>
        <w:bidi w:val="false"/>
        <w:spacing/>
        <w:ind/>
        <w:rPr/>
      </w:pPr>
      <w:r>
        <w:rPr>
          <w:rtl w:val="0"/>
        </w:rPr>
        <w:t xml:space="preserve">Техническое задание </w:t>
        <w:br/>
      </w:r>
      <w:r>
        <w:rPr>
          <w:rtl w:val="0"/>
        </w:rPr>
        <w:t xml:space="preserve">на поставку материалов для печати и реставрации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8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724</w:t>
      </w:r>
      <w:r/>
    </w:p>
    <w:p>
      <w:pPr>
        <w:pStyle w:val="714"/>
        <w:numPr>
          <w:ilvl w:val="0"/>
          <w:numId w:val="4"/>
        </w:numPr>
        <w:pBdr/>
        <w:bidi w:val="false"/>
        <w:spacing/>
        <w:ind/>
        <w:rPr/>
      </w:pPr>
      <w:r>
        <w:rPr>
          <w:rtl w:val="0"/>
        </w:rPr>
        <w:t xml:space="preserve">Объект закупки</w:t>
      </w:r>
      <w:r>
        <w:rPr>
          <w:rtl w:val="0"/>
        </w:rPr>
        <w:t xml:space="preserve">: </w:t>
      </w:r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материалов для печати и реставрации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Срок </w:t>
      </w:r>
      <w:r>
        <w:rPr>
          <w:rtl w:val="0"/>
          <w:lang w:val="ru-RU"/>
        </w:rPr>
        <w:t xml:space="preserve">исполнения обязательств Поставщиком </w:t>
      </w:r>
      <w:r>
        <w:rPr>
          <w:rtl w:val="0"/>
          <w:lang w:val="ru-RU"/>
        </w:rPr>
        <w:t xml:space="preserve">(</w:t>
      </w:r>
      <w:r>
        <w:rPr>
          <w:rtl w:val="0"/>
          <w:lang w:val="ru-RU"/>
        </w:rPr>
        <w:t xml:space="preserve">подрядчиком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Исполнителем</w:t>
      </w:r>
      <w:r>
        <w:rPr>
          <w:rtl w:val="0"/>
          <w:lang w:val="ru-RU"/>
        </w:rPr>
        <w:t xml:space="preserve">)</w:t>
      </w:r>
      <w:r>
        <w:rPr>
          <w:rtl w:val="0"/>
        </w:rPr>
        <w:t xml:space="preserve">:</w:t>
      </w:r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Контракта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Настоящим Техническим заданием установлен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исполнения</w:t>
      </w:r>
      <w:r>
        <w:rPr>
          <w:rFonts w:hint="default" w:eastAsia="Arial Unicode MS" w:cs="Arial Unicode MS"/>
          <w:rtl w:val="0"/>
          <w:lang w:val="ru-RU"/>
        </w:rPr>
        <w:t xml:space="preserve">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hint="default" w:eastAsia="Arial Unicode MS" w:cs="Arial Unicode MS"/>
          <w:rtl w:val="0"/>
        </w:rPr>
        <w:t xml:space="preserve">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услуг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по</w:t>
      </w:r>
      <w:r>
        <w:rPr>
          <w:rFonts w:hint="default" w:eastAsia="Arial Unicode MS" w:cs="Arial Unicode MS"/>
          <w:rtl w:val="0"/>
        </w:rPr>
        <w:t xml:space="preserve"> Контракт</w:t>
      </w:r>
      <w:r>
        <w:rPr>
          <w:rFonts w:hint="default" w:eastAsia="Arial Unicode MS" w:cs="Arial Unicode MS"/>
          <w:rtl w:val="0"/>
          <w:lang w:val="ru-RU"/>
        </w:rPr>
        <w:t xml:space="preserve">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hint="default" w:eastAsia="Arial Unicode MS" w:cs="Arial Unicode MS"/>
          <w:rtl w:val="0"/>
          <w:lang w:val="ru-RU"/>
        </w:rPr>
        <w:t xml:space="preserve"> его действия</w:t>
      </w:r>
      <w:r>
        <w:rPr>
          <w:rFonts w:hint="default" w:eastAsia="Arial Unicode MS" w:cs="Arial Unicode MS"/>
          <w:rtl w:val="0"/>
          <w:lang w:val="ru-RU"/>
        </w:rPr>
        <w:t xml:space="preserve"> и 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  <w:lang w:val="ru-RU"/>
        </w:rPr>
        <w:t xml:space="preserve"> Технического задания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Адрес исполнения обязательств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(</w:t>
      </w:r>
      <w:r>
        <w:rPr>
          <w:rtl w:val="0"/>
        </w:rPr>
        <w:t xml:space="preserve">поставки товара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выполнения работ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оказания услуг</w:t>
      </w:r>
      <w:r>
        <w:rPr>
          <w:rtl w:val="0"/>
        </w:rPr>
        <w:t xml:space="preserve">):</w:t>
      </w:r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порядку поставки товара</w:t>
      </w:r>
      <w:r>
        <w:rPr>
          <w:rtl w:val="0"/>
        </w:rPr>
        <w:t xml:space="preserve">: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передачи Товара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Поставщик обязан направлять указанные документы не позднее </w:t>
      </w:r>
      <w:r>
        <w:rPr>
          <w:rFonts w:eastAsia="Arial Unicode MS" w:cs="Arial Unicode MS"/>
          <w:rtl w:val="0"/>
        </w:rPr>
        <w:t xml:space="preserve">5 (</w:t>
      </w:r>
      <w:r>
        <w:rPr>
          <w:rFonts w:hint="default" w:eastAsia="Arial Unicode MS" w:cs="Arial Unicode MS"/>
          <w:rtl w:val="0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нему документы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</w:rPr>
        <w:t xml:space="preserve">):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качеству товара и гарантийным обязательствам</w:t>
      </w:r>
      <w:r>
        <w:rPr>
          <w:rtl w:val="0"/>
        </w:rPr>
        <w:t xml:space="preserve">: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Сопутствующие услуги</w:t>
      </w:r>
      <w:r>
        <w:rPr>
          <w:rFonts w:eastAsia="Arial Unicode MS" w:cs="Arial Unicode MS"/>
          <w:rtl w:val="0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требования к их</w:t>
      </w:r>
      <w:r>
        <w:rPr>
          <w:rFonts w:hint="default" w:eastAsia="Arial Unicode MS" w:cs="Arial Unicode MS"/>
          <w:rtl w:val="0"/>
          <w:lang w:val="ru-RU"/>
        </w:rPr>
        <w:t xml:space="preserve"> оказанию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выполнению</w:t>
      </w:r>
      <w:r>
        <w:rPr>
          <w:rFonts w:eastAsia="Arial Unicode MS" w:cs="Arial Unicode MS"/>
          <w:rtl w:val="0"/>
        </w:rPr>
        <w:t xml:space="preserve">: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следующие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поставкой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упаковка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маркировка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погрузка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разгрузка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доставка Товара к месту поставки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подъём Товара на этаж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расположении места поставки выше первого этажа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вывоз упаковочного материала</w:t>
      </w:r>
      <w:r>
        <w:rPr>
          <w:rFonts w:eastAsia="Arial Unicode MS" w:cs="Arial Unicode MS"/>
          <w:rtl w:val="0"/>
        </w:rPr>
        <w:t xml:space="preserve">. 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Технические характеристики и количество поставляемого товара</w:t>
      </w:r>
      <w:r>
        <w:rPr>
          <w:rtl w:val="0"/>
        </w:rPr>
        <w:t xml:space="preserve">: </w:t>
      </w:r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2146"/>
        <w:gridCol w:w="4702"/>
        <w:gridCol w:w="1383"/>
        <w:gridCol w:w="1383"/>
      </w:tblGrid>
      <w:tr>
        <w:trPr>
          <w:trHeight w:val="0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Технические характеристики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Фотоэмульсия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Рассматривается Фотоэмульсия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Azocol Z133, 900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эквивалент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подходить для трафаретной печати тончайшего растра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надписей и рисунков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Должна легко удаляться с трафаретной сетки после завершения работы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Сенсибилизация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эмульсии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Диазо №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23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Коэффициент вязкости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эмульсии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): 6800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Разрешение эмульсии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высокое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Совместимые печатные краски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 отверждаемые краски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сольвентные краски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пластизолевые краски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 до сенсибилизации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фиолетовый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 после сенсибилизации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коричневый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Сетка трафаретная белая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1500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Рассматривается Сетка трафаретная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LM-PRINT PES 61/64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эквивалент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1500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белый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нитей на 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61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Диаметр нитей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64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мкм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Открытая поверхность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38%;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открытой ячейки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104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мкм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Толщина ткани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95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мкм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Теоретический объем краски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36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Максимальное рекомендуемое натяжение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[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35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].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Микалентная бумага реставрационная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погонный метр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82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Толщина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30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мкм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Белый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Состав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85%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тутовое волокно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12% -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хлопок 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3% -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проклейка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22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Бумага фильтровальная лабораторная ФС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-III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-3)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 листах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520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600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ГОСТ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12026-76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Должна поставляться в листах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 листа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520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Высота листа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600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Плотность бумаги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75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Сопротивление продавливанию во влажном состоянии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[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 менее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кПа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];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Фильтрующая способность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[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 более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35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];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Должна быть предусмотрена разделительная способность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задерживает осадки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Массовая доля железа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[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 более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0,002%];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Массовая доля золы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[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 более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0,1%];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Сорность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число соринок на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площадью св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0,5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2): [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не более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80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.];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Влажность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5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Микалентная реставрационная бумага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127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для упаковочных работ и реставрации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 рулоне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Длина намотки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Толщина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30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Длина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20000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127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Толщина плёнки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30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мкм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0.4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кг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бумага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Материал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бумага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 выпуска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рулон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22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4162514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0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97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Фотоэмульсия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49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Сетка трафаретная белая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1500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73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Микалентная бумага реставрационная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погонный метр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97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Бумага фильтровальная лабораторная ФС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-III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-3)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 листах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520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600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ГОСТ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12026-76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ROUND(D5*F5,2)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121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Микалентная реставрационная бумага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127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для упаковочных работ и реставрации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 рулоне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ROUND(D6*F6,2)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ROUND(D7*F7,2)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ROUND(D8*F8,2)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ROUND(D9*F9,2)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ROUND(D10*F10,2)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ROUND(D11*F11,2)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72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5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5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SUM(H2:H11)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left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tab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umStyleLink w:val="715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styleLink w:val="715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715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1.%2.%3.%4.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1.%2.%3.%4.%5)%6)"/>
      <w:numFmt w:val="decimal"/>
      <w:pPr>
        <w:pBdr/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6">
      <w:isLgl w:val="false"/>
      <w:lvlJc w:val="left"/>
      <w:lvlText w:val="%1.%2.%3.%4.%5)%6)%7)"/>
      <w:numFmt w:val="decimal"/>
      <w:pPr>
        <w:pBdr/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7">
      <w:isLgl w:val="false"/>
      <w:lvlJc w:val="left"/>
      <w:lvlText w:val="%1.%2.%3.%4.%5)%6)%7)%8)"/>
      <w:numFmt w:val="decimal"/>
      <w:pPr>
        <w:pBdr/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8">
      <w:isLgl w:val="false"/>
      <w:lvlJc w:val="left"/>
      <w:lvlText w:val="%1.%2.%3.%4.%5)%6)%7)%8)%9)"/>
      <w:numFmt w:val="decimal"/>
      <w:pPr>
        <w:pBdr/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4"/>
    <w:next w:val="70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4"/>
    <w:next w:val="70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4"/>
    <w:next w:val="70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4"/>
    <w:next w:val="70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4"/>
    <w:next w:val="70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4"/>
    <w:next w:val="70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4"/>
    <w:next w:val="70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4"/>
    <w:next w:val="70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4"/>
    <w:next w:val="70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4"/>
    <w:next w:val="70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4"/>
    <w:next w:val="70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4"/>
    <w:next w:val="70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4"/>
    <w:next w:val="70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5"/>
    <w:link w:val="176"/>
    <w:uiPriority w:val="99"/>
    <w:pPr>
      <w:pBdr/>
      <w:spacing/>
      <w:ind/>
    </w:pPr>
  </w:style>
  <w:style w:type="paragraph" w:styleId="178">
    <w:name w:val="Footer"/>
    <w:basedOn w:val="70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5"/>
    <w:link w:val="178"/>
    <w:uiPriority w:val="99"/>
    <w:pPr>
      <w:pBdr/>
      <w:spacing/>
      <w:ind/>
    </w:pPr>
  </w:style>
  <w:style w:type="paragraph" w:styleId="180">
    <w:name w:val="Caption"/>
    <w:basedOn w:val="704"/>
    <w:next w:val="7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190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191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192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193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194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195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196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197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4"/>
    <w:next w:val="704"/>
    <w:uiPriority w:val="99"/>
    <w:unhideWhenUsed/>
    <w:pPr>
      <w:pBdr/>
      <w:spacing w:after="0" w:afterAutospacing="0"/>
      <w:ind/>
    </w:pPr>
  </w:style>
  <w:style w:type="paragraph" w:styleId="704" w:default="1">
    <w:name w:val="Normal"/>
    <w:next w:val="704"/>
    <w:pPr>
      <w:pBdr/>
      <w:spacing/>
      <w:ind/>
    </w:pPr>
    <w:rPr>
      <w:sz w:val="24"/>
      <w:szCs w:val="24"/>
      <w:lang w:val="en-US" w:eastAsia="en-US" w:bidi="ar-SA"/>
    </w:rPr>
  </w:style>
  <w:style w:type="character" w:styleId="705" w:default="1">
    <w:name w:val="Default Paragraph Font"/>
    <w:next w:val="705"/>
    <w:pPr>
      <w:pBdr/>
      <w:spacing/>
      <w:ind/>
    </w:pPr>
  </w:style>
  <w:style w:type="character" w:styleId="706">
    <w:name w:val="Hyperlink"/>
    <w:pPr>
      <w:pBdr/>
      <w:spacing/>
      <w:ind/>
    </w:pPr>
    <w:rPr>
      <w:u w:val="single"/>
    </w:rPr>
  </w:style>
  <w:style w:type="table" w:styleId="707">
    <w:name w:val="Table Normal"/>
    <w:next w:val="707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next w:val="708"/>
    <w:pPr>
      <w:pBdr/>
      <w:spacing/>
      <w:ind/>
    </w:pPr>
  </w:style>
  <w:style w:type="paragraph" w:styleId="709">
    <w:name w:val="Колонтитулы"/>
    <w:next w:val="709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710">
    <w:name w:val="Заголовок содержания"/>
    <w:next w:val="71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711">
    <w:name w:val="Текст"/>
    <w:next w:val="71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2">
    <w:name w:val="Текст таблицы слева 12"/>
    <w:next w:val="71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3">
    <w:name w:val="Текст таблицы справа 12"/>
    <w:next w:val="71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4">
    <w:name w:val="Подзаголовок нумерации"/>
    <w:next w:val="71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715">
    <w:name w:val="С числами - многоуровневая нумерация"/>
    <w:pPr>
      <w:numPr>
        <w:numId w:val="1"/>
      </w:numPr>
      <w:pBdr/>
      <w:spacing/>
      <w:ind/>
    </w:pPr>
  </w:style>
  <w:style w:type="paragraph" w:styleId="716">
    <w:name w:val="Заголовок таблицы 11"/>
    <w:next w:val="71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7">
    <w:name w:val="Текст таблицы слева 11"/>
    <w:next w:val="71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8">
    <w:name w:val="Текст маркировки"/>
    <w:next w:val="71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FFFFFF"/>
        </w14:solidFill>
      </w14:textFill>
    </w:rPr>
  </w:style>
  <w:style w:type="paragraph" w:styleId="719">
    <w:name w:val="Текст с выравниванием справа"/>
    <w:next w:val="71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0">
    <w:name w:val="Заголовок"/>
    <w:next w:val="72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721">
    <w:name w:val="Текст таблицы по центру 11"/>
    <w:next w:val="72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2">
    <w:name w:val="Текст с выравниванием слева"/>
    <w:next w:val="72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3">
    <w:name w:val="Заголовок таблицы 12"/>
    <w:next w:val="72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4">
    <w:name w:val="Текст таблицы по центру 12"/>
    <w:next w:val="72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5">
    <w:name w:val="Текст строки итогов таблицы 11"/>
    <w:next w:val="72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2026-08-26T11:45:07Z</dcterms:modified>
</cp:coreProperties>
</file>