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ДОГОВОР № ЕП-18/2026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7"/>
        <w:jc w:val="center"/>
        <w:shd w:val="clear" w:color="auto" w:fill="ffffff"/>
        <w:rPr>
          <w:b/>
          <w:sz w:val="24"/>
        </w:rPr>
      </w:pPr>
      <w:r>
        <w:rPr>
          <w:b/>
          <w:bCs/>
          <w:iCs/>
          <w:color w:val="000000"/>
          <w:sz w:val="24"/>
        </w:rPr>
        <w:t xml:space="preserve">на оказание услуг по обследованию и экспертизе компьютерных систем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97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ИКЗ </w:t>
      </w:r>
      <w:r>
        <w:rPr>
          <w:b/>
          <w:color w:val="000000"/>
          <w:sz w:val="24"/>
          <w:szCs w:val="24"/>
          <w:highlight w:val="white"/>
        </w:rPr>
        <w:t xml:space="preserve">261254010604425400100100170029000242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97"/>
        <w:ind w:firstLine="0"/>
        <w:jc w:val="center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ind w:firstLine="0"/>
        <w:spacing w:line="240" w:lineRule="auto"/>
        <w:tabs>
          <w:tab w:val="left" w:pos="450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ind w:firstLine="0"/>
        <w:tabs>
          <w:tab w:val="left" w:pos="6804" w:leader="none"/>
          <w:tab w:val="left" w:pos="7797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г. </w:t>
      </w:r>
      <w:r>
        <w:rPr>
          <w:sz w:val="24"/>
          <w:szCs w:val="24"/>
          <w:lang w:eastAsia="ru-RU"/>
        </w:rPr>
        <w:t xml:space="preserve">Южно-Сахалинск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«____»</w:t>
        <w:tab/>
        <w:t xml:space="preserve">________</w:t>
        <w:tab/>
        <w:t xml:space="preserve">2026 г.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ind w:firstLine="567"/>
        <w:jc w:val="both"/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</w:t>
      </w:r>
      <w:r>
        <w:rPr>
          <w:color w:val="000000"/>
          <w:sz w:val="24"/>
          <w:szCs w:val="24"/>
        </w:rPr>
        <w:t xml:space="preserve">, в лице </w:t>
      </w:r>
      <w:r>
        <w:rPr>
          <w:color w:val="000000"/>
          <w:sz w:val="24"/>
          <w:szCs w:val="24"/>
        </w:rPr>
        <w:t xml:space="preserve">_________________________________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eastAsia="ru-RU"/>
        </w:rPr>
        <w:t xml:space="preserve">., именуемое в дальнейшем Исполнитель, с одной стороны, и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Дальневосточное межрегиональное управление Федеральной службы по надзору в сфере природопользования</w:t>
      </w:r>
      <w:r>
        <w:rPr>
          <w:color w:val="000000"/>
          <w:sz w:val="24"/>
          <w:szCs w:val="24"/>
        </w:rPr>
        <w:t xml:space="preserve">, в лице руководителя Савичева Дениса Анатольевича, действующего на основании </w:t>
      </w:r>
      <w:r>
        <w:rPr>
          <w:sz w:val="24"/>
          <w:szCs w:val="24"/>
          <w:lang w:bidi="ru-RU"/>
        </w:rPr>
        <w:t xml:space="preserve">Положения о Дальневосточном межрегиональном управлении Федеральной службы по надзору в сфере природопользования, </w:t>
      </w:r>
      <w:r>
        <w:rPr>
          <w:sz w:val="24"/>
          <w:szCs w:val="24"/>
        </w:rPr>
        <w:t xml:space="preserve">утвержденного приказом Федеральной службы по надзору в сфере природопользования от 16.02.2022№91, приказа Министерства природных ресурсов и экологии Российской Федерации от 29.12.2025 №960-лс «О назначении Савичева Д.А.»</w:t>
      </w:r>
      <w:r>
        <w:rPr>
          <w:color w:val="000000"/>
          <w:sz w:val="24"/>
          <w:szCs w:val="24"/>
          <w:highlight w:val="white"/>
        </w:rPr>
        <w:t xml:space="preserve">, именуемое в дальнейшем Заказчик,</w:t>
      </w:r>
      <w:r>
        <w:rPr>
          <w:color w:val="000000"/>
          <w:sz w:val="24"/>
          <w:szCs w:val="24"/>
        </w:rPr>
        <w:t xml:space="preserve"> с другой стороны (далее по тексту совместн</w:t>
      </w:r>
      <w:r>
        <w:rPr>
          <w:color w:val="000000"/>
          <w:sz w:val="24"/>
          <w:szCs w:val="24"/>
        </w:rPr>
        <w:t xml:space="preserve">о именуемые – Стороны), 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6"/>
        <w:numPr>
          <w:ilvl w:val="0"/>
          <w:numId w:val="3"/>
        </w:numPr>
        <w:ind w:left="958" w:hanging="357"/>
        <w:spacing w:before="120" w:after="120"/>
      </w:pPr>
      <w:r>
        <w:t xml:space="preserve">Предмет договора</w:t>
      </w:r>
      <w:r/>
    </w:p>
    <w:p>
      <w:pPr>
        <w:pStyle w:val="897"/>
        <w:ind w:firstLine="601"/>
        <w:jc w:val="both"/>
        <w:spacing w:line="240" w:lineRule="auto"/>
        <w:shd w:val="clear" w:color="auto" w:fill="ffffff"/>
        <w:rPr>
          <w:b/>
          <w:sz w:val="24"/>
        </w:rPr>
      </w:pPr>
      <w:r>
        <w:rPr>
          <w:color w:val="000000"/>
          <w:sz w:val="24"/>
          <w:szCs w:val="24"/>
        </w:rPr>
        <w:t xml:space="preserve">Заказчик, на основании письменной заявки, поручает, а Исполнитель принимает на себя обязательство проводить </w:t>
      </w:r>
      <w:r>
        <w:rPr>
          <w:b/>
          <w:bCs/>
          <w:iCs/>
          <w:color w:val="000000"/>
          <w:sz w:val="24"/>
        </w:rPr>
        <w:t xml:space="preserve">оказание услуг по обследованию и экспертизе компьютерных систем</w:t>
      </w:r>
      <w:r>
        <w:rPr>
          <w:b/>
          <w:color w:val="000000"/>
          <w:sz w:val="24"/>
          <w:szCs w:val="24"/>
        </w:rPr>
        <w:t xml:space="preserve"> (далее по тексту – оборудование).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35"/>
        <w:numPr>
          <w:ilvl w:val="1"/>
          <w:numId w:val="3"/>
        </w:numPr>
        <w:ind w:left="0" w:firstLine="600"/>
        <w:jc w:val="both"/>
        <w:tabs>
          <w:tab w:val="clear" w:pos="1080" w:leader="none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Цена договора составляет _____________ (_____________________________) рублей 00 коп., в том числе НДС </w:t>
      </w:r>
      <w:r>
        <w:rPr>
          <w:color w:val="000000"/>
        </w:rPr>
        <w:t xml:space="preserve">_____</w:t>
      </w:r>
      <w:r>
        <w:rPr>
          <w:color w:val="000000"/>
        </w:rPr>
        <w:t xml:space="preserve"> -  _____________ (_____________________________) рублей 00 коп.</w:t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numPr>
          <w:ilvl w:val="1"/>
          <w:numId w:val="3"/>
        </w:numPr>
        <w:ind w:left="0" w:firstLine="600"/>
        <w:jc w:val="both"/>
        <w:spacing w:line="240" w:lineRule="auto"/>
        <w:widowControl/>
        <w:tabs>
          <w:tab w:val="clear" w:pos="1080" w:leader="none"/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Целью заключения настоящего Договора является исполнение Сторонами своих прямых обязательств, указанных в предмете Договора. Настоящий Договор не предусматривает: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left" w:pos="567" w:leader="none"/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1.3.1. использование в коммерческих целях, в качестве субподряда, а также в качестве гаранта для прохождения Заказчиком процедуры получения любых разрешительных и/или нормативных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left" w:pos="567" w:leader="none"/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1.3.2. предоставление настоящего Договора проверяющим органам, что может служить прикрытием для Заказчика, а не являться договором, по которому будет производиться передача Отходов Исполнителю;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num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1.3.3.</w:t>
      </w:r>
      <w:r>
        <w:rPr>
          <w:sz w:val="24"/>
          <w:szCs w:val="24"/>
        </w:rPr>
        <w:t xml:space="preserve"> представление настоящего Договора для участия в конкурсах, электронных аукционах и т.д., где в конкурсной документации указано требование предоставление договора с организацией, имеющей лицензию и специализированный экологический объект для передачи отход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numPr>
          <w:ilvl w:val="0"/>
          <w:numId w:val="3"/>
        </w:numPr>
        <w:ind w:left="958" w:hanging="357"/>
        <w:spacing w:before="120" w:after="120"/>
      </w:pPr>
      <w:r>
        <w:t xml:space="preserve">Порядок и условия оплаты</w:t>
      </w:r>
      <w:r/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Заказчик осуществляет оплату за работы, указанные в счете и в подписанном обеими Сторонами Универсальном передаточном документе (далее по тексту - УПД), по ценам согласно Спецификации (Приложение №1).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Оплата работ по настоящему Договору осуществляется путем безналичного перечисления денежных средств Заказчика на расчетный счет Исполнителя в теч</w:t>
      </w:r>
      <w:r>
        <w:rPr>
          <w:sz w:val="24"/>
          <w:szCs w:val="24"/>
        </w:rPr>
        <w:t xml:space="preserve">ение 5 (пяти) рабочих дней с момента получения и подписания УПД обеими Сторонами и получением от Заказчика Счета на оплату. Обязательства по оплате работ считаются исполненными с момента поступления денежных средств Заказчика на расчетный счет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изменения цен на работы по настоящему Договору, Исполнитель письменно</w:t>
      </w:r>
      <w:r>
        <w:rPr>
          <w:color w:val="000000"/>
          <w:sz w:val="24"/>
          <w:szCs w:val="24"/>
        </w:rPr>
        <w:t xml:space="preserve"> уведомляет Заказчика о новых ценах, не позднее, чем за 10 (десять) дней, до введения их в действие. В случае несогласия Заказчика с новыми ценами, он обязан письменно известить об этом Исполнителя, в течени</w:t>
      </w:r>
      <w:r>
        <w:rPr>
          <w:color w:val="000000"/>
          <w:sz w:val="24"/>
          <w:szCs w:val="24"/>
        </w:rPr>
        <w:t xml:space="preserve">е 10 (десяти) рабочих дней, с момента получения уведомления от Исполнителя. После получения Исполнителем уведомления от Заказчика, настоящий Договор считается расторгнутым по соглашению Сторон, с момента введения в действие новых цен на работы Исполнителя.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6"/>
        <w:numPr>
          <w:ilvl w:val="0"/>
          <w:numId w:val="3"/>
        </w:numPr>
        <w:ind w:left="958" w:hanging="357"/>
        <w:spacing w:before="120" w:after="120"/>
      </w:pPr>
      <w:r>
        <w:t xml:space="preserve">Обязательства сторон</w:t>
      </w:r>
      <w:r/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Заказчик обязуется: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2"/>
          <w:numId w:val="3"/>
        </w:numPr>
        <w:ind w:left="0" w:firstLine="851"/>
        <w:jc w:val="both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предоставлять Исполнителю необходимую </w:t>
      </w:r>
      <w:r>
        <w:rPr>
          <w:color w:val="000000"/>
          <w:sz w:val="24"/>
          <w:szCs w:val="24"/>
        </w:rPr>
        <w:t xml:space="preserve">исходную информацию (а именно: серийный номер, инвентарный номер, модель и марку производителя оборудования) о партии оборудования указанной в письменной заявке Заказчика, а также оборудования, для проведения работ, указанных в п. 1.1. настоящего Договора;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284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оплачивать выполненные Исполнителем </w:t>
      </w:r>
      <w:r>
        <w:rPr>
          <w:sz w:val="24"/>
          <w:szCs w:val="24"/>
        </w:rPr>
        <w:t xml:space="preserve">работы в соответствии с условиями настоящего Договора;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284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результатам работ подписывать полученный УПД (два экземпляра) в течение 5 (пяти) рабочих дней, с момента получения, и направлять один экземпляр Исполнителю, в течение 5 (пяти) рабочих дней, с момента подписания, либо направлять</w:t>
      </w:r>
      <w:r>
        <w:rPr>
          <w:color w:val="000000"/>
          <w:sz w:val="24"/>
          <w:szCs w:val="24"/>
        </w:rPr>
        <w:t xml:space="preserve"> Исполнителю письменный мотивированный отказ.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Если </w:t>
      </w:r>
      <w:r>
        <w:rPr>
          <w:sz w:val="24"/>
          <w:szCs w:val="24"/>
        </w:rPr>
        <w:t xml:space="preserve">в установленный срок Заказчик не направит Исполнителю подписанные обеими Сторонами УПД или письменный мотивированный отказ, то работы считаются выполненными в полном объеме и в срок, а УПД - подписанными.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письменного мотивированного отказа Заказчика, Стороны в течение 3 (трех) рабочих дней с моме</w:t>
      </w:r>
      <w:r>
        <w:rPr>
          <w:sz w:val="24"/>
          <w:szCs w:val="24"/>
        </w:rPr>
        <w:t xml:space="preserve">нта получения Исполнителем письменного мотивированного отказа от Заказчика, составляют двусторонний Акт с перечнем необходимых доработок и сроков их выполнения. На период устранения разногласий между Сторонами срок оформления и подписание УПД продлевается.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567" w:leader="none"/>
          <w:tab w:val="clear" w:pos="132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срок не более 10 (десяти) рабочих дней, с даты подачи Заказчиком письменной</w:t>
      </w:r>
      <w:r>
        <w:rPr>
          <w:color w:val="000000"/>
          <w:sz w:val="24"/>
          <w:szCs w:val="24"/>
        </w:rPr>
        <w:t xml:space="preserve"> заявки, производить своими силами и средствами работы, указанные в п.1.1. настоящего Договора;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2"/>
          <w:numId w:val="3"/>
        </w:numPr>
        <w:ind w:left="0" w:firstLine="851"/>
        <w:jc w:val="both"/>
        <w:spacing w:line="240" w:lineRule="auto"/>
        <w:tabs>
          <w:tab w:val="num" w:pos="284" w:leader="none"/>
          <w:tab w:val="num" w:pos="567" w:leader="none"/>
          <w:tab w:val="clear" w:pos="132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предоставлять Заказчику, по результатам проведения работ, указанных в п.1.1. настоящего Договора, Акты технического состояния оборудования.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6"/>
        <w:numPr>
          <w:ilvl w:val="0"/>
          <w:numId w:val="3"/>
        </w:numPr>
        <w:ind w:left="958" w:hanging="357"/>
        <w:spacing w:before="120" w:after="120"/>
        <w:rPr>
          <w:lang w:val="ru-RU"/>
        </w:rPr>
      </w:pPr>
      <w:r>
        <w:t xml:space="preserve">Ответственность сторон</w:t>
      </w:r>
      <w:r>
        <w:rPr>
          <w:lang w:val="ru-RU"/>
        </w:rPr>
      </w:r>
      <w:r>
        <w:rPr>
          <w:lang w:val="ru-RU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нарушении сроков выполнения работ, предусмотренных настоящим Договором, Исполнитель уплачивает Заказчику пени в размере 0,1% от суммы не выполненных работ за каждый день просрочки, начиная со дня, следующего после дня истечения срока выполнения работ.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нарушении сроков платежей, предусмотренных настоящим Договором, Заказчик уплачивает Исполнителю пени в размере 0,1% от суммы не оплаченных платежей, за каждый день просрочки, начиная со дня, следующего после дня истечения срока платежа.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Уплата неустойки не освобождает Стороны от исполнения обязательств или устранения недостатков по настоящему Договору.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6"/>
        <w:numPr>
          <w:ilvl w:val="0"/>
          <w:numId w:val="3"/>
        </w:numPr>
        <w:ind w:left="958" w:hanging="357"/>
        <w:spacing w:before="120" w:after="120"/>
      </w:pPr>
      <w:r>
        <w:t xml:space="preserve">Действия обстоятельств непреодолимой силы</w:t>
      </w:r>
      <w:r/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одна из Сторон не несет ответственность перед другой Стороной за неисполнение своих обязательств по настоящему Договору, обусловленное действием неп</w:t>
      </w:r>
      <w:r>
        <w:rPr>
          <w:color w:val="000000"/>
          <w:sz w:val="24"/>
          <w:szCs w:val="24"/>
        </w:rPr>
        <w:t xml:space="preserve">реодолимой силы, т.е. чрезвычайных и непредвиденных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Сторона, которая не исполнит обязательства по настоящему Договору вследствие действия непреодолимой силы, должна в трёхдневный срок известить другую Сторону о таких обстоятельствах и их влиянии на исполнение обязательств по Договору.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об</w:t>
      </w:r>
      <w:r>
        <w:rPr>
          <w:color w:val="000000"/>
          <w:sz w:val="24"/>
          <w:szCs w:val="24"/>
        </w:rPr>
        <w:t xml:space="preserve">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 с проведением взаиморасчетов по согласованию Сторон.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6"/>
        <w:numPr>
          <w:ilvl w:val="0"/>
          <w:numId w:val="3"/>
        </w:numPr>
        <w:ind w:left="958" w:hanging="357"/>
        <w:spacing w:before="120" w:after="120"/>
      </w:pPr>
      <w:r>
        <w:t xml:space="preserve">Порядок разрешения споров</w:t>
      </w:r>
      <w:r/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споры и разногласия, возникающие между Сторонами по настоящему Договору или в связи с ним, Стороны будут стремиться разрешить путем переговоров.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7"/>
        <w:numPr>
          <w:ilvl w:val="1"/>
          <w:numId w:val="3"/>
        </w:numPr>
        <w:ind w:left="0" w:firstLine="567"/>
        <w:jc w:val="both"/>
        <w:spacing w:line="240" w:lineRule="auto"/>
        <w:tabs>
          <w:tab w:val="num" w:pos="284" w:leader="none"/>
          <w:tab w:val="clear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невозможности решения споров и разногласий путем переговоров между Сторонами, споры и разногласия подлежат рассмотрению в Арбитражном суде Камчатского края согласно порядку, установленному в законодательстве Российской Федерации.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6"/>
        <w:numPr>
          <w:ilvl w:val="0"/>
          <w:numId w:val="12"/>
        </w:numPr>
        <w:ind w:left="357" w:hanging="357"/>
        <w:spacing w:before="120" w:after="120"/>
        <w:rPr>
          <w:lang w:val="ru-RU"/>
        </w:rPr>
      </w:pPr>
      <w:r>
        <w:t xml:space="preserve">Прочие условия</w:t>
      </w:r>
      <w:r>
        <w:rPr>
          <w:lang w:val="ru-RU"/>
        </w:rPr>
      </w:r>
      <w:r>
        <w:rPr>
          <w:lang w:val="ru-RU"/>
        </w:rPr>
      </w:r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Договор вступает в силу с момента подписания обеими Сторонами и действует до 31.12.2026 г.</w:t>
      </w:r>
      <w:r/>
    </w:p>
    <w:p>
      <w:pPr>
        <w:pStyle w:val="897"/>
        <w:numPr>
          <w:ilvl w:val="1"/>
          <w:numId w:val="12"/>
        </w:numPr>
        <w:ind w:left="0" w:firstLine="567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Любая из Сторон вправе расторгнуть настоящий Договор в одностороннем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2"/>
          <w:numId w:val="12"/>
        </w:numPr>
        <w:ind w:left="0" w:firstLine="851"/>
        <w:jc w:val="both"/>
        <w:spacing w:line="240" w:lineRule="auto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инициативе Исполнителя: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невозможности исполнения своих обязательств по настоящему Договору по техническим причинам;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издания акта государственного органа, в результате которого исполнение</w:t>
      </w:r>
      <w:r>
        <w:rPr>
          <w:sz w:val="24"/>
          <w:szCs w:val="24"/>
        </w:rPr>
        <w:t xml:space="preserve"> обязательств по настоящему Договору становится невозможным полностью или частично;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если Заказчик совершил неоднократное нарушение своих обязательств по исполнению настоящего Договора, указанных в п/п 2.2.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2"/>
          <w:numId w:val="12"/>
        </w:numPr>
        <w:ind w:left="0" w:firstLine="851"/>
        <w:jc w:val="both"/>
        <w:spacing w:line="240" w:lineRule="auto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инициативе Заказчика: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ind w:firstLine="851"/>
        <w:jc w:val="both"/>
        <w:spacing w:line="240" w:lineRule="auto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любое время (без судебной процедуры, без объяснения причин) с предварительным письменным уведомлением об этом Исполнителя в срок за 30 (тридцать) календа</w:t>
      </w:r>
      <w:r>
        <w:rPr>
          <w:sz w:val="24"/>
          <w:szCs w:val="24"/>
        </w:rPr>
        <w:t xml:space="preserve">рных дней до даты такого расторжения, при условии оплаты Исполнителю фактически выполненных работ на момент отказа от Договора, а также возмещении фактически понесенных Исполнителем расходов, связанных с подготовкой к выполнению основных работ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2"/>
          <w:numId w:val="12"/>
        </w:numPr>
        <w:ind w:left="0" w:firstLine="851"/>
        <w:jc w:val="both"/>
        <w:spacing w:line="240" w:lineRule="auto"/>
        <w:widowControl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для какой-либо Стороны в результате какого-либо изменения действующего законодательства Российской Федерации или в иных аналогичных обстоятельствах исполнение обязательств по настоящему Договору становится невозможным или незаконным.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numPr>
          <w:ilvl w:val="1"/>
          <w:numId w:val="12"/>
        </w:numPr>
        <w:ind w:left="0" w:firstLine="567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Все уведомления должны быть сделаны в письменной форме с доказательством вручения.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В случае изменения у одной из Сторон юридического</w:t>
      </w:r>
      <w:r>
        <w:t xml:space="preserve"> статуса, адресов и реквизитов, указанных в разделе 9. настоящего Договора, данная Сторона обязана известить о таких изменениях другую Сторону не позднее 10 (десяти) рабочих дней с момента вступления этих изменений в силу посредством письменного извещения.</w:t>
      </w:r>
      <w:r/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Стороны должны своевременно информировать друг друга о всех изменениях, имеющих существенное значение для полного и своевременного исполнения договорных обязательств по настоящему Договору.</w:t>
      </w:r>
      <w:r/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Изменения и дополнения к настоящему Договору действительны, при условии, если они оформлены дополнительным соглашением, подписанным обеими Сторонами, за исключением изменений, указанных в п.7.4.</w:t>
      </w:r>
      <w:r/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Настоящий Договор составлен в двух подлинных экземплярах, имеющих одинаковую юридическую силу, один для Заказчика, другой для Исполнителя.</w:t>
      </w:r>
      <w:r/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В случае реоргани</w:t>
      </w:r>
      <w:r>
        <w:t xml:space="preserve">зации одной из сторон в форме преобразования, присоединения, слияния, выделения, разделения, а также изменения наименования, все права и обязанности по данному Договору полностью приходят к юридическому лицу, созданному путем реорганизации одной из сторон.</w:t>
      </w:r>
      <w:r/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Стороны гарантируют, что на момент подписания настоящего Договора в отношении них арбитражным судом не принято заявление о признании должника банкротом, что они не являются неплатежеспособными или вскоре станут неплатежеспособными.</w:t>
      </w:r>
      <w:r/>
    </w:p>
    <w:p>
      <w:pPr>
        <w:pStyle w:val="935"/>
        <w:numPr>
          <w:ilvl w:val="1"/>
          <w:numId w:val="12"/>
        </w:numPr>
        <w:ind w:left="0" w:firstLine="567"/>
        <w:jc w:val="both"/>
        <w:tabs>
          <w:tab w:val="left" w:pos="284" w:leader="none"/>
        </w:tabs>
      </w:pPr>
      <w:r>
        <w:t xml:space="preserve">Лица, подписывающие Договор, гарантируют наличие у них соответствующих полномочий и отсутствие каких-либо ограничений, установленных уставом или иными основаниями, на заключение Договора.</w:t>
      </w:r>
      <w:r/>
    </w:p>
    <w:p>
      <w:pPr>
        <w:pStyle w:val="926"/>
        <w:numPr>
          <w:ilvl w:val="0"/>
          <w:numId w:val="12"/>
        </w:numPr>
        <w:ind w:left="357" w:hanging="357"/>
        <w:spacing w:before="120" w:after="120"/>
        <w:rPr>
          <w:lang w:val="ru-RU"/>
        </w:rPr>
      </w:pPr>
      <w:r>
        <w:t xml:space="preserve">Приложения</w:t>
      </w:r>
      <w:r>
        <w:rPr>
          <w:lang w:val="ru-RU"/>
        </w:rPr>
      </w:r>
      <w:r>
        <w:rPr>
          <w:lang w:val="ru-RU"/>
        </w:rPr>
      </w:r>
    </w:p>
    <w:p>
      <w:pPr>
        <w:pStyle w:val="935"/>
        <w:numPr>
          <w:ilvl w:val="1"/>
          <w:numId w:val="12"/>
        </w:numPr>
        <w:ind w:firstLine="207"/>
        <w:jc w:val="both"/>
        <w:tabs>
          <w:tab w:val="left" w:pos="284" w:leader="none"/>
        </w:tabs>
      </w:pPr>
      <w:r>
        <w:t xml:space="preserve">Следующие приложения являются неотъемлемой частью настоящего Договора:</w:t>
      </w:r>
      <w:r/>
    </w:p>
    <w:p>
      <w:pPr>
        <w:pStyle w:val="935"/>
        <w:numPr>
          <w:ilvl w:val="2"/>
          <w:numId w:val="12"/>
        </w:numPr>
        <w:ind w:left="0" w:firstLine="851"/>
        <w:jc w:val="both"/>
        <w:tabs>
          <w:tab w:val="left" w:pos="284" w:leader="none"/>
        </w:tabs>
      </w:pPr>
      <w:r>
        <w:t xml:space="preserve">Спецификация на выполнение работ по диагностике электрического оборудования, приборов, устройств и их частей - (Приложение №1).</w:t>
      </w:r>
      <w:r/>
    </w:p>
    <w:p>
      <w:pPr>
        <w:pStyle w:val="935"/>
        <w:ind w:left="851"/>
        <w:jc w:val="both"/>
        <w:tabs>
          <w:tab w:val="left" w:pos="284" w:leader="none"/>
        </w:tabs>
      </w:pPr>
      <w:r/>
      <w:r/>
    </w:p>
    <w:p>
      <w:pPr>
        <w:pStyle w:val="897"/>
        <w:numPr>
          <w:ilvl w:val="0"/>
          <w:numId w:val="12"/>
        </w:numPr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Иные требования к оказываемым услугам.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pStyle w:val="897"/>
        <w:numPr>
          <w:ilvl w:val="1"/>
          <w:numId w:val="21"/>
        </w:numPr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По завершению оказания услуг оформляются: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7"/>
        <w:ind w:firstLine="0"/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- Акт технического заключения;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7"/>
        <w:ind w:firstLine="0"/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- Акт оказанных услуг (акт выполненных работ);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97"/>
        <w:ind w:firstLine="0"/>
        <w:jc w:val="both"/>
        <w:keepNext/>
        <w:rPr>
          <w:sz w:val="24"/>
          <w:szCs w:val="24"/>
          <w:lang w:eastAsia="en-US"/>
        </w:rPr>
        <w:suppressLineNumbers/>
      </w:pPr>
      <w:r>
        <w:rPr>
          <w:sz w:val="24"/>
          <w:szCs w:val="24"/>
          <w:lang w:eastAsia="en-US"/>
        </w:rPr>
        <w:t xml:space="preserve">- Счет.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35"/>
        <w:ind w:left="851"/>
        <w:jc w:val="both"/>
        <w:tabs>
          <w:tab w:val="left" w:pos="284" w:leader="none"/>
        </w:tabs>
      </w:pPr>
      <w:r/>
      <w:r/>
    </w:p>
    <w:p>
      <w:pPr>
        <w:pStyle w:val="926"/>
        <w:numPr>
          <w:ilvl w:val="0"/>
          <w:numId w:val="21"/>
        </w:numPr>
        <w:spacing w:before="120" w:after="120"/>
        <w:rPr>
          <w:lang w:val="ru-RU"/>
        </w:rPr>
      </w:pPr>
      <w:r>
        <w:t xml:space="preserve">Реквизиты сторон</w:t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>
        <w:tblPrEx/>
        <w:trPr>
          <w:trHeight w:val="31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center"/>
            <w:textDirection w:val="lrTb"/>
            <w:noWrap w:val="false"/>
          </w:tcPr>
          <w:p>
            <w:pPr>
              <w:pStyle w:val="897"/>
              <w:ind w:firstLine="601"/>
              <w:jc w:val="center"/>
              <w:spacing w:before="120" w:after="12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center"/>
            <w:textDirection w:val="lrTb"/>
            <w:noWrap w:val="false"/>
          </w:tcPr>
          <w:p>
            <w:pPr>
              <w:pStyle w:val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Cs w:val="0"/>
                <w:sz w:val="24"/>
                <w:szCs w:val="24"/>
                <w:lang w:val="ru-RU" w:eastAsia="ru-RU"/>
              </w:rPr>
              <w:t xml:space="preserve">Дальневосточное межрегиональное управление Федеральной службы по надзору в сфере природопользования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Ю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р. адрес: 690091, г. Владивосток,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Океанский пр-т, 29.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Фактический (почтовый) адрес: 690091,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г. Владивосток, Океанский пр-т, 29.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ИНН 2540106044 КПП 254001001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р/сч 03211643000000012000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ОКЦ №1 ДГУ Банка России // УФК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по Приморскому краю г. Владивостока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л/с 03201780980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в УФК по Приморскому краю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к/сч 40102810545370000012 БИК 010507002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контактный тел. 8 (423) 240-78-08 (25204)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: 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rpn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25@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rpn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gov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/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97"/>
              <w:ind w:firstLine="1026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м.п.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15"/>
              <w:ind w:left="0" w:firstLine="1090"/>
              <w:jc w:val="left"/>
              <w:tabs>
                <w:tab w:val="num" w:pos="0" w:leader="none"/>
              </w:tabs>
              <w:rPr>
                <w:bCs w:val="0"/>
                <w:sz w:val="24"/>
                <w:szCs w:val="24"/>
                <w:lang w:val="ru-RU" w:eastAsia="ru-RU"/>
              </w:rPr>
            </w:pPr>
            <w:r>
              <w:rPr>
                <w:bCs w:val="0"/>
                <w:sz w:val="24"/>
                <w:szCs w:val="24"/>
                <w:lang w:val="ru-RU" w:eastAsia="ru-RU"/>
              </w:rPr>
            </w:r>
            <w:r>
              <w:rPr>
                <w:bCs w:val="0"/>
                <w:sz w:val="24"/>
                <w:szCs w:val="24"/>
                <w:lang w:val="ru-RU" w:eastAsia="ru-RU"/>
              </w:rPr>
            </w:r>
            <w:r>
              <w:rPr>
                <w:bCs w:val="0"/>
                <w:sz w:val="24"/>
                <w:szCs w:val="24"/>
                <w:lang w:val="ru-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Руководитель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______________________/Д.А. Савичев/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915"/>
              <w:ind w:left="0" w:firstLine="1090"/>
              <w:jc w:val="left"/>
              <w:tabs>
                <w:tab w:val="num" w:pos="0" w:leader="none"/>
              </w:tabs>
              <w:rPr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м.п.</w:t>
            </w:r>
            <w:r>
              <w:rPr>
                <w:bCs w:val="0"/>
                <w:sz w:val="24"/>
                <w:szCs w:val="24"/>
                <w:lang w:val="ru-RU" w:eastAsia="ru-RU"/>
              </w:rPr>
            </w:r>
            <w:r>
              <w:rPr>
                <w:bCs w:val="0"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color w:val="000000"/>
          <w:spacing w:val="-4"/>
          <w:szCs w:val="22"/>
        </w:rPr>
      </w:pP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  <w:r>
        <w:rPr>
          <w:color w:val="000000"/>
          <w:spacing w:val="-4"/>
          <w:szCs w:val="22"/>
        </w:rPr>
      </w:r>
    </w:p>
    <w:p>
      <w:pPr>
        <w:pStyle w:val="897"/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jc w:val="right"/>
        <w:tabs>
          <w:tab w:val="left" w:pos="54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договору № </w:t>
      </w:r>
      <w:r>
        <w:rPr>
          <w:sz w:val="24"/>
          <w:szCs w:val="24"/>
        </w:rPr>
        <w:t xml:space="preserve">ЕП-18/2026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«___» ____________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7"/>
        <w:ind w:firstLine="0"/>
        <w:jc w:val="right"/>
        <w:rPr>
          <w:b/>
          <w:color w:val="000000"/>
          <w:spacing w:val="18"/>
          <w:sz w:val="24"/>
          <w:szCs w:val="24"/>
          <w:shd w:val="clear" w:color="auto" w:fill="ffff00"/>
        </w:rPr>
      </w:pP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</w:p>
    <w:p>
      <w:pPr>
        <w:pStyle w:val="897"/>
        <w:ind w:firstLine="0"/>
        <w:jc w:val="right"/>
        <w:rPr>
          <w:b/>
          <w:color w:val="000000"/>
          <w:spacing w:val="18"/>
          <w:sz w:val="24"/>
          <w:szCs w:val="24"/>
          <w:shd w:val="clear" w:color="auto" w:fill="ffff00"/>
        </w:rPr>
      </w:pP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  <w:r>
        <w:rPr>
          <w:b/>
          <w:color w:val="000000"/>
          <w:spacing w:val="18"/>
          <w:sz w:val="24"/>
          <w:szCs w:val="24"/>
          <w:shd w:val="clear" w:color="auto" w:fill="ffff00"/>
        </w:rPr>
      </w:r>
    </w:p>
    <w:p>
      <w:pPr>
        <w:pStyle w:val="8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7"/>
        <w:ind w:firstLine="0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Оказание услуг по обследованию и экспертизе компьютерных систем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pStyle w:val="897"/>
        <w:ind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(ОКПД 62.02.20.120)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897"/>
        <w:numPr>
          <w:ilvl w:val="0"/>
          <w:numId w:val="22"/>
        </w:numPr>
        <w:ind w:left="0" w:firstLine="567"/>
        <w:jc w:val="both"/>
        <w:spacing w:line="240" w:lineRule="auto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2"/>
          <w:szCs w:val="22"/>
        </w:rPr>
        <w:t xml:space="preserve">Предмет закупки: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4"/>
          <w:szCs w:val="24"/>
        </w:rPr>
        <w:t xml:space="preserve">Оказание услуг по обследованию и экспертизе компьютерных систем </w:t>
      </w:r>
      <w:r>
        <w:rPr>
          <w:bCs/>
          <w:iCs/>
          <w:color w:val="000000"/>
          <w:sz w:val="22"/>
          <w:szCs w:val="22"/>
        </w:rPr>
        <w:t xml:space="preserve">(далее по тексту – </w:t>
      </w:r>
      <w:r>
        <w:rPr>
          <w:b/>
          <w:color w:val="000000"/>
          <w:sz w:val="24"/>
          <w:szCs w:val="24"/>
        </w:rPr>
        <w:t xml:space="preserve">оборудование</w:t>
      </w:r>
      <w:r>
        <w:rPr>
          <w:bCs/>
          <w:iCs/>
          <w:color w:val="000000"/>
          <w:sz w:val="22"/>
          <w:szCs w:val="22"/>
        </w:rPr>
        <w:t xml:space="preserve">).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pStyle w:val="897"/>
        <w:numPr>
          <w:ilvl w:val="0"/>
          <w:numId w:val="22"/>
        </w:numPr>
        <w:ind w:left="0" w:firstLine="567"/>
        <w:jc w:val="both"/>
        <w:spacing w:line="240" w:lineRule="auto"/>
        <w:widowControl/>
        <w:rPr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Место оказания услуг</w:t>
      </w:r>
      <w:r>
        <w:rPr>
          <w:sz w:val="22"/>
          <w:szCs w:val="22"/>
        </w:rPr>
        <w:t xml:space="preserve">: </w:t>
      </w:r>
      <w:r>
        <w:rPr>
          <w:bCs/>
          <w:iCs/>
          <w:color w:val="000000"/>
          <w:sz w:val="22"/>
          <w:szCs w:val="22"/>
        </w:rPr>
        <w:t xml:space="preserve">Сахалинская область</w:t>
      </w:r>
      <w:r>
        <w:rPr>
          <w:bCs/>
          <w:iCs/>
          <w:color w:val="000000"/>
          <w:sz w:val="22"/>
          <w:szCs w:val="22"/>
        </w:rPr>
        <w:t xml:space="preserve">, </w:t>
      </w:r>
      <w:r>
        <w:rPr>
          <w:iCs/>
          <w:color w:val="000000"/>
          <w:sz w:val="22"/>
          <w:szCs w:val="22"/>
        </w:rPr>
        <w:t xml:space="preserve">г. </w:t>
      </w:r>
      <w:r>
        <w:rPr>
          <w:iCs/>
          <w:color w:val="000000"/>
          <w:sz w:val="22"/>
          <w:szCs w:val="22"/>
        </w:rPr>
        <w:t xml:space="preserve">Южно-Сахалинск</w:t>
      </w:r>
      <w:r>
        <w:rPr>
          <w:iCs/>
          <w:color w:val="000000"/>
          <w:sz w:val="22"/>
          <w:szCs w:val="22"/>
        </w:rPr>
        <w:t xml:space="preserve">, </w:t>
      </w:r>
      <w:r>
        <w:rPr>
          <w:iCs/>
          <w:color w:val="000000"/>
          <w:sz w:val="22"/>
          <w:szCs w:val="22"/>
        </w:rPr>
        <w:t xml:space="preserve">Коммунистический проспект, 49</w:t>
      </w: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</w:p>
    <w:p>
      <w:pPr>
        <w:pStyle w:val="897"/>
        <w:numPr>
          <w:ilvl w:val="0"/>
          <w:numId w:val="22"/>
        </w:numPr>
        <w:ind w:left="0" w:firstLine="567"/>
        <w:jc w:val="both"/>
        <w:spacing w:line="240" w:lineRule="auto"/>
        <w:widowControl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Сроки оказания услуг: </w:t>
      </w:r>
      <w:r>
        <w:rPr>
          <w:sz w:val="22"/>
          <w:szCs w:val="22"/>
        </w:rPr>
        <w:t xml:space="preserve">в течение 5 (пяти) рабочих дней с даты заключения Договора.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897"/>
        <w:numPr>
          <w:ilvl w:val="0"/>
          <w:numId w:val="22"/>
        </w:numPr>
        <w:ind w:left="0" w:firstLine="567"/>
        <w:jc w:val="both"/>
        <w:spacing w:line="240" w:lineRule="auto"/>
        <w:widowControl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Наименование услуги:</w:t>
      </w:r>
      <w:r>
        <w:rPr>
          <w:b/>
          <w:bCs/>
          <w:iCs/>
          <w:color w:val="000000"/>
          <w:sz w:val="22"/>
          <w:szCs w:val="22"/>
        </w:rPr>
      </w:r>
      <w:r>
        <w:rPr>
          <w:b/>
          <w:bCs/>
          <w:iCs/>
          <w:color w:val="000000"/>
          <w:sz w:val="22"/>
          <w:szCs w:val="22"/>
        </w:rPr>
      </w:r>
    </w:p>
    <w:p>
      <w:pPr>
        <w:pStyle w:val="92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4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851"/>
        <w:gridCol w:w="141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Инв.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шт.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 за шт., руб.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всего, руб.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4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5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6</w:t>
            </w:r>
            <w:r>
              <w:rPr>
                <w:b/>
                <w:i/>
                <w:sz w:val="24"/>
                <w:szCs w:val="24"/>
                <w:lang w:val="en-US"/>
              </w:rPr>
            </w:r>
            <w:r>
              <w:rPr>
                <w:b/>
                <w:i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Факс PANASONIC KX-FT932RU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М000001118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Сканер HP ScanJet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М000001232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Ноутбук Acer Extensa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М000001265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Ноутбук Acer Aspire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М000001103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Ноутбук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М000001048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Лазерный принтер Kyocera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М000001228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Принтер /Копир/Сканер/Факс  МФУ Brother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М000001517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Принтер /Копир/Сканер/Факс  МФУ Brother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М000001516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Копировальный аппарат XEROX WCP 428DC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М000001698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МФУ /HP/LJ Pro M1536 dnfA4 принтер/скан/копир/факс/1200x1200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A0121209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Ноутбук 15,6 HP Cjmpag Presario CQ57 (2 в к-те Сумка/Мышь оптич./Преобразователь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  <w:lang w:val="en-US"/>
              </w:rPr>
              <w:t xml:space="preserve">/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Копировальный аппарат Xerox CopyCentre c118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  <w:lang w:val="en-US"/>
              </w:rPr>
              <w:t xml:space="preserve">/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Копир-принтер XEROX 4118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  <w:lang w:val="en-US"/>
              </w:rPr>
              <w:t xml:space="preserve">/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Телефакс Panasonic KX FL403 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101041000075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Системный блок на базе Intelcore I3-7100 + Монитор Philips 21.5 " 223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А0121343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Системный блок QFT 2/1207+мониторBenQ G2250 21 5*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Системный блок DEPO + Монитор LG 19*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101042338841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Системный блок Core i3 7100/4Gb/HDD + Монитор PILIPS LCD 21*5 ( 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А0121331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Принтер HP/LJ Pro P 1102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101042388449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  <w:lang w:val="en-US"/>
              </w:rPr>
              <w:outlineLvl w:val="4"/>
            </w:pPr>
            <w:r>
              <w:rPr>
                <w:sz w:val="22"/>
                <w:szCs w:val="22"/>
              </w:rPr>
              <w:t xml:space="preserve">Принтер</w:t>
            </w:r>
            <w:r>
              <w:rPr>
                <w:sz w:val="22"/>
                <w:szCs w:val="22"/>
                <w:lang w:val="en-US"/>
              </w:rPr>
              <w:t xml:space="preserve"> HP Laser Jet 1320 n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101042388435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Принтер Brother HL L2300DR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МФУ лазерный  Panasonic KX-MB2137RUB (KX-MB2137RUB) А4 Duplex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МФУ  Kyocera M2035 DN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  <w:lang w:val="en-US"/>
              </w:rPr>
              <w:outlineLvl w:val="4"/>
            </w:pPr>
            <w:r>
              <w:rPr>
                <w:sz w:val="22"/>
                <w:szCs w:val="22"/>
                <w:lang w:val="en-US"/>
              </w:rPr>
              <w:t xml:space="preserve">15,6" </w:t>
            </w:r>
            <w:r>
              <w:rPr>
                <w:sz w:val="22"/>
                <w:szCs w:val="22"/>
              </w:rPr>
              <w:t xml:space="preserve">Ноутбук</w:t>
            </w:r>
            <w:r>
              <w:rPr>
                <w:sz w:val="22"/>
                <w:szCs w:val="22"/>
                <w:lang w:val="en-US"/>
              </w:rPr>
              <w:t xml:space="preserve"> Asus (X53By/K53By)(HD) AMD E350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15,6" Ноутбук Asus (X53U/)(K53U)(HD) ADM E350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А0121164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  <w:lang w:val="en-US"/>
              </w:rPr>
              <w:outlineLvl w:val="4"/>
            </w:pPr>
            <w:r>
              <w:rPr>
                <w:sz w:val="22"/>
                <w:szCs w:val="22"/>
                <w:lang w:val="en-US"/>
              </w:rPr>
              <w:t xml:space="preserve">15.6"</w:t>
            </w:r>
            <w:r>
              <w:rPr>
                <w:sz w:val="22"/>
                <w:szCs w:val="22"/>
              </w:rPr>
              <w:t xml:space="preserve">Ноутбук</w:t>
            </w:r>
            <w:r>
              <w:rPr>
                <w:sz w:val="22"/>
                <w:szCs w:val="22"/>
                <w:lang w:val="en-US"/>
              </w:rPr>
              <w:t xml:space="preserve"> Asus (A54H)(HD) Celeron B800(1.5)/2048/320 Intel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left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А0121162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ATX GMC H-60 c Монитором Samsung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  <w:lang w:val="en-US"/>
              </w:rPr>
              <w:t xml:space="preserve">/</w:t>
            </w:r>
            <w:r>
              <w:rPr>
                <w:sz w:val="22"/>
                <w:szCs w:val="22"/>
              </w:rPr>
              <w:t xml:space="preserve">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ATX GMC H-60 с Монитором Samsung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  <w:lang w:val="en-US"/>
              </w:rPr>
              <w:t xml:space="preserve">/</w:t>
            </w:r>
            <w:r>
              <w:rPr>
                <w:sz w:val="22"/>
                <w:szCs w:val="22"/>
              </w:rPr>
              <w:t xml:space="preserve">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ATX GMC H-60 с Монитором Samsung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  <w:lang w:val="en-US"/>
              </w:rPr>
              <w:t xml:space="preserve">/</w:t>
            </w:r>
            <w:r>
              <w:rPr>
                <w:sz w:val="22"/>
                <w:szCs w:val="22"/>
              </w:rPr>
              <w:t xml:space="preserve">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ATX GMC H-60 с Монотором Samsung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101041000826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Core i3 3 3 MHz O3У 4  Gb+Монитор AOC 21.5*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Core i3 3 3 MHz O3У 4  Gb+Монитор AOC 21.5* (комплект)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комплекте(Системный блок P-E5200 +МониторLG LCD-17+Принтер+ИБС)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101041000825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Компьютер в сборе КС36 + Монитор 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101041000000003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Флеш диск Verbatim 8Gb DRACON USB 2.0 Белый пластиковый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Флеш диск Verbatim 8 Gb DRACON USB 2.0белый пластиковый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А0121295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Факс Панасоник КХ-FT988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М000001631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Телефон LG GS -472H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101041000058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Телефон LG GS -472H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101041000059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Телефон LG GS -472H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jc w:val="center"/>
              <w:spacing w:line="240" w:lineRule="auto"/>
              <w:rPr>
                <w:sz w:val="22"/>
                <w:szCs w:val="22"/>
              </w:rPr>
              <w:outlineLvl w:val="4"/>
            </w:pPr>
            <w:r>
              <w:rPr>
                <w:sz w:val="22"/>
                <w:szCs w:val="22"/>
              </w:rPr>
              <w:t xml:space="preserve">101041000060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МФУ</w:t>
            </w: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 xml:space="preserve"> Panasonic KX-MB2061 RUB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А0121350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Системный блок 2/1207 (Core i-3220 3.30GHz S1155 3MB+Монитор BenQ GW2260M21/5) 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А0121203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Системный блок Core i3 7100/4Gb/HDD +Монитор PHILIPS LCD 21*5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А0121324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Телефон PANASONIC KX-TS2362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101041000061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Телефакс Panasonic KX FL403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101041000074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Brother MFC-L5700DN A4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CANONi-SENSYS MF3010 A4 лазерный черный (5252b004)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HP Laser Jet Pro M1132 USB (CE847A) (принтер/копир/сканер) А4(БЕЛОВ)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HP Laser Jet Pro M1536 dnf MFP (CE538A) (принтер/копир/сканер/факсADF/дуплек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А0121195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Kyocera Ecokys M2035DN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Kyocera Ecosys M2035 DN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Kyocera M2035 DN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Panasonic KX-MB2061RUB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PANASONIC KX-MB2130RUW A4 лазерный белый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PANASONIC KX-MB2170RUW A4. лазерный белый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Panasonik KX-MS2020RUB/принтер/сканер/копир/факс/телефон А4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б/н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лазерный HP LaserJet  Pro  M 426fdn RU (F6W17A) A4 Duplex белый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А0121419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 лазерный HP LaserJet Ultra M134a ( принтер/копир/сканер) белый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МФУ/НР/LJ ProM1214nfh/принт/скан/коп/факс/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А0121173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Brother HL L2300DR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А0121255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BROTHER HL-1112R лазерный, черный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BROTHER HL-1112R, лазерный, цвет черный ( hl1112rt)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BROTHER HL-1112R. лазерный черный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Brother HL-2140R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101041000000001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HP/LJ Pro P 1102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101042388450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HP/LJ Pro P 1102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101042388447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лазерный HP Laser JET Pro M104a RU (G3Q36A0 A4)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лазерный HP LaserJet P1005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101042388445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лазерный HP LaserJet Pro M104a RU (G3Q36A)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МФУ HP Lazar Jet 3050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101042000048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Принтер МФУ HP Lazar Jet 3050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101041000049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+ Монитор ЖК PHILIPS 223V5L (10/62) 21*5. черный (комплек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+ Монитор ЖК PHILIPS 223V5L 21/5.черный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+ Монитор ЖК PHILIPS 223V5L SB (10/62) 21*5 черный (компл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7100/4G/HDD + Монитор PHILIPS LCD 21*5 ( 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7100/4Gb/HDD + Монитор AOC LCD 23.8 ( 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7100/4Gb/HDD + Монитор PHILIPS LCD 21*5 ( 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7100/4Gb/HDD +Монитор PHILIPS LCD 21*5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7100/4Gb/HDD +Монитор PHILIPS LCD 21*5( 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Core i3 7100/4GT/HDD + Монитор PHILIPS LCD 21*5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Телефакс Panasonic KX FL403 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101041000076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Телефонная станция Мини АТС КХ-Т-206 с Panasonic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101042300039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pStyle w:val="940"/>
              <w:ind w:firstLine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Компьютер DNS Office (0155795) Core i3-3220 (3/3GHz)2GB/DVD +Монитор Envision 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А0121192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на базе Intelcore I3-7100 + Монитор Philips 21.5 " 223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на базе Intelcore I3-7100 + Монитор Philips 21.5 " 223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на базе Intelcore I3-7100 + Монитор Philips 21.5 " 223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на базе Intelcore I3-7100 + Монитор Philips 21.5 " 223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на базе Intelcore I3-7100 + Монитор Philips 21.5 " 223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9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Системный блок на базе Intelcore I3-7100 + Монитор Philips 21.5 " 223 (комплект)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А0121375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9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97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том числе НДС: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94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97"/>
        <w:spacing w:line="240" w:lineRule="auto"/>
        <w:tabs>
          <w:tab w:val="left" w:pos="658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>
        <w:tblPrEx/>
        <w:trPr>
          <w:trHeight w:val="4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897"/>
              <w:ind w:firstLine="601"/>
              <w:jc w:val="center"/>
              <w:spacing w:before="120" w:after="12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897"/>
              <w:ind w:firstLine="601"/>
              <w:jc w:val="center"/>
              <w:spacing w:before="120" w:after="12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97"/>
              <w:ind w:firstLine="1026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м.п.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97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7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8"/>
              <w:jc w:val="left"/>
              <w:rPr>
                <w:bCs/>
              </w:rPr>
            </w:pPr>
            <w:r>
              <w:t xml:space="preserve">______________________/</w:t>
            </w:r>
            <w:r>
              <w:rPr>
                <w:lang w:val="ru-RU"/>
              </w:rPr>
              <w:t xml:space="preserve">Д.А. Савичев</w:t>
            </w:r>
            <w:r>
              <w:t xml:space="preserve">/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8"/>
              <w:rPr>
                <w:b/>
                <w:bCs/>
              </w:rPr>
            </w:pPr>
            <w:r>
              <w:t xml:space="preserve">м.п.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sectPr>
      <w:footerReference w:type="default" r:id="rId9"/>
      <w:footnotePr/>
      <w:endnotePr/>
      <w:type w:val="nextPage"/>
      <w:pgSz w:w="11906" w:h="16820" w:orient="portrait"/>
      <w:pgMar w:top="426" w:right="566" w:bottom="284" w:left="1134" w:header="720" w:footer="4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  <w:t xml:space="preserve">      стр.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1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922"/>
      <w:ind w:firstLine="0"/>
      <w:jc w:val="both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89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8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  <w:tabs>
          <w:tab w:val="num" w:pos="1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  <w:tabs>
          <w:tab w:val="num" w:pos="16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  <w:tabs>
          <w:tab w:val="num" w:pos="2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  <w:tabs>
          <w:tab w:val="num" w:pos="2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  <w:tabs>
          <w:tab w:val="num" w:pos="240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950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6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66" w:hanging="144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1065"/>
      </w:pPr>
      <w:rPr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0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6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6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2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8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8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45" w:hanging="180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8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  <w:tabs>
          <w:tab w:val="num" w:pos="1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  <w:tabs>
          <w:tab w:val="num" w:pos="16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  <w:tabs>
          <w:tab w:val="num" w:pos="2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  <w:tabs>
          <w:tab w:val="num" w:pos="2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  <w:tabs>
          <w:tab w:val="num" w:pos="240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8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  <w:tabs>
          <w:tab w:val="num" w:pos="1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  <w:tabs>
          <w:tab w:val="num" w:pos="16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  <w:tabs>
          <w:tab w:val="num" w:pos="2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  <w:tabs>
          <w:tab w:val="num" w:pos="2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  <w:tabs>
          <w:tab w:val="num" w:pos="2400" w:leader="none"/>
        </w:tabs>
      </w:pPr>
    </w:lvl>
  </w:abstractNum>
  <w:abstractNum w:abstractNumId="18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8"/>
  </w:num>
  <w:num w:numId="7">
    <w:abstractNumId w:val="14"/>
  </w:num>
  <w:num w:numId="8">
    <w:abstractNumId w:val="1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0"/>
  </w:num>
  <w:num w:numId="16">
    <w:abstractNumId w:val="16"/>
  </w:num>
  <w:num w:numId="17">
    <w:abstractNumId w:val="9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pPr>
      <w:ind w:firstLine="600"/>
      <w:spacing w:line="319" w:lineRule="auto"/>
      <w:widowControl w:val="off"/>
    </w:pPr>
    <w:rPr>
      <w:sz w:val="18"/>
      <w:szCs w:val="18"/>
      <w:lang w:val="ru-RU" w:eastAsia="ar-SA" w:bidi="ar-SA"/>
    </w:rPr>
  </w:style>
  <w:style w:type="paragraph" w:styleId="898">
    <w:name w:val="Заголовок 1,1"/>
    <w:basedOn w:val="897"/>
    <w:next w:val="897"/>
    <w:link w:val="933"/>
    <w:qFormat/>
    <w:pPr>
      <w:ind w:firstLine="0"/>
      <w:jc w:val="center"/>
      <w:keepNext/>
      <w:spacing w:line="240" w:lineRule="auto"/>
      <w:widowControl/>
      <w:outlineLvl w:val="0"/>
    </w:pPr>
    <w:rPr>
      <w:sz w:val="22"/>
      <w:szCs w:val="22"/>
      <w:lang w:val="en-US"/>
    </w:rPr>
  </w:style>
  <w:style w:type="paragraph" w:styleId="899">
    <w:name w:val="Заголовок 2,2"/>
    <w:basedOn w:val="897"/>
    <w:next w:val="897"/>
    <w:link w:val="936"/>
    <w:pPr>
      <w:numPr>
        <w:ilvl w:val="1"/>
        <w:numId w:val="1"/>
      </w:numPr>
      <w:keepNext/>
      <w:spacing w:line="240" w:lineRule="auto"/>
      <w:widowControl/>
      <w:outlineLvl w:val="1"/>
    </w:pPr>
    <w:rPr>
      <w:b/>
      <w:sz w:val="22"/>
      <w:szCs w:val="20"/>
      <w:lang w:val="en-US"/>
    </w:rPr>
  </w:style>
  <w:style w:type="character" w:styleId="900">
    <w:name w:val="Основной шрифт абзаца"/>
    <w:next w:val="900"/>
    <w:link w:val="897"/>
  </w:style>
  <w:style w:type="table" w:styleId="901">
    <w:name w:val="Обычная таблица"/>
    <w:next w:val="901"/>
    <w:link w:val="897"/>
    <w:semiHidden/>
    <w:tblPr/>
  </w:style>
  <w:style w:type="numbering" w:styleId="902">
    <w:name w:val="Нет списка"/>
    <w:next w:val="902"/>
    <w:link w:val="897"/>
    <w:semiHidden/>
  </w:style>
  <w:style w:type="character" w:styleId="903">
    <w:name w:val="Основной шрифт абзаца1"/>
    <w:next w:val="903"/>
    <w:link w:val="897"/>
  </w:style>
  <w:style w:type="character" w:styleId="904">
    <w:name w:val="Заголовок 1 Знак"/>
    <w:next w:val="904"/>
    <w:link w:val="897"/>
    <w:rPr>
      <w:rFonts w:eastAsia="Times New Roman"/>
      <w:b/>
    </w:rPr>
  </w:style>
  <w:style w:type="character" w:styleId="905">
    <w:name w:val="Заголовок 2 Знак"/>
    <w:next w:val="905"/>
    <w:link w:val="897"/>
    <w:rPr>
      <w:rFonts w:eastAsia="Times New Roman"/>
      <w:b/>
      <w:color w:val="808080"/>
      <w:sz w:val="27"/>
    </w:rPr>
  </w:style>
  <w:style w:type="character" w:styleId="906">
    <w:name w:val="Верхний колонтитул Знак"/>
    <w:next w:val="906"/>
    <w:link w:val="897"/>
    <w:rPr>
      <w:rFonts w:eastAsia="Times New Roman"/>
    </w:rPr>
  </w:style>
  <w:style w:type="character" w:styleId="907">
    <w:name w:val="Основной текст 2 Знак"/>
    <w:next w:val="907"/>
    <w:link w:val="897"/>
    <w:rPr>
      <w:rFonts w:eastAsia="Times New Roman"/>
      <w:sz w:val="18"/>
      <w:szCs w:val="18"/>
    </w:rPr>
  </w:style>
  <w:style w:type="character" w:styleId="908">
    <w:name w:val="Нижний колонтитул Знак"/>
    <w:next w:val="908"/>
    <w:link w:val="897"/>
    <w:uiPriority w:val="99"/>
    <w:rPr>
      <w:rFonts w:eastAsia="Times New Roman"/>
      <w:sz w:val="18"/>
      <w:szCs w:val="18"/>
    </w:rPr>
  </w:style>
  <w:style w:type="character" w:styleId="909">
    <w:name w:val="Основной текст Знак"/>
    <w:next w:val="909"/>
    <w:link w:val="897"/>
    <w:rPr>
      <w:rFonts w:eastAsia="Times New Roman"/>
      <w:sz w:val="18"/>
      <w:szCs w:val="18"/>
    </w:rPr>
  </w:style>
  <w:style w:type="paragraph" w:styleId="910">
    <w:name w:val="Основной текст"/>
    <w:basedOn w:val="897"/>
    <w:next w:val="910"/>
    <w:link w:val="897"/>
    <w:pPr>
      <w:spacing w:before="0" w:after="120"/>
    </w:pPr>
  </w:style>
  <w:style w:type="paragraph" w:styleId="911">
    <w:name w:val="Список"/>
    <w:basedOn w:val="910"/>
    <w:next w:val="911"/>
    <w:link w:val="897"/>
    <w:rPr>
      <w:rFonts w:cs="Tahoma"/>
    </w:rPr>
  </w:style>
  <w:style w:type="paragraph" w:styleId="912">
    <w:name w:val="Название1"/>
    <w:basedOn w:val="897"/>
    <w:next w:val="912"/>
    <w:link w:val="897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913">
    <w:name w:val="Указатель1"/>
    <w:basedOn w:val="897"/>
    <w:next w:val="913"/>
    <w:link w:val="897"/>
    <w:pPr>
      <w:suppressLineNumbers/>
    </w:pPr>
    <w:rPr>
      <w:rFonts w:cs="Tahoma"/>
    </w:rPr>
  </w:style>
  <w:style w:type="paragraph" w:styleId="914">
    <w:name w:val="FR1"/>
    <w:next w:val="914"/>
    <w:link w:val="897"/>
    <w:pPr>
      <w:ind w:left="1680" w:right="200"/>
      <w:widowControl w:val="off"/>
    </w:pPr>
    <w:rPr>
      <w:rFonts w:ascii="Arial" w:hAnsi="Arial" w:cs="Arial"/>
      <w:i/>
      <w:iCs/>
      <w:lang w:val="ru-RU" w:eastAsia="ar-SA" w:bidi="ar-SA"/>
    </w:rPr>
  </w:style>
  <w:style w:type="paragraph" w:styleId="915">
    <w:name w:val="Основной текст с отступом"/>
    <w:basedOn w:val="897"/>
    <w:next w:val="915"/>
    <w:link w:val="928"/>
    <w:pPr>
      <w:ind w:left="880" w:right="0" w:firstLine="0"/>
      <w:jc w:val="center"/>
      <w:spacing w:line="240" w:lineRule="auto"/>
    </w:pPr>
    <w:rPr>
      <w:b/>
      <w:bCs/>
      <w:lang w:val="en-US"/>
    </w:rPr>
  </w:style>
  <w:style w:type="paragraph" w:styleId="916">
    <w:name w:val="Основной текст с отступом 21"/>
    <w:basedOn w:val="897"/>
    <w:next w:val="916"/>
    <w:link w:val="897"/>
    <w:pPr>
      <w:ind w:left="520" w:right="0" w:firstLine="0"/>
      <w:spacing w:line="240" w:lineRule="auto"/>
    </w:pPr>
  </w:style>
  <w:style w:type="paragraph" w:styleId="917">
    <w:name w:val="Схема документа1"/>
    <w:basedOn w:val="897"/>
    <w:next w:val="917"/>
    <w:link w:val="897"/>
    <w:pPr>
      <w:shd w:val="clear" w:color="auto" w:fill="000080"/>
    </w:pPr>
    <w:rPr>
      <w:rFonts w:ascii="Tahoma" w:hAnsi="Tahoma" w:cs="Tahoma"/>
    </w:rPr>
  </w:style>
  <w:style w:type="paragraph" w:styleId="918">
    <w:name w:val="Текст выноски"/>
    <w:basedOn w:val="897"/>
    <w:next w:val="918"/>
    <w:link w:val="897"/>
    <w:rPr>
      <w:rFonts w:ascii="Tahoma" w:hAnsi="Tahoma" w:cs="Tahoma"/>
      <w:sz w:val="16"/>
      <w:szCs w:val="16"/>
    </w:rPr>
  </w:style>
  <w:style w:type="paragraph" w:styleId="919">
    <w:name w:val="Верхний колонтитул"/>
    <w:basedOn w:val="897"/>
    <w:next w:val="919"/>
    <w:link w:val="897"/>
    <w:pPr>
      <w:ind w:left="0" w:right="0" w:firstLine="0"/>
      <w:spacing w:line="240" w:lineRule="auto"/>
      <w:widowControl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20">
    <w:name w:val="Основной текст 21"/>
    <w:basedOn w:val="897"/>
    <w:next w:val="920"/>
    <w:link w:val="897"/>
    <w:pPr>
      <w:spacing w:before="0" w:after="120" w:line="480" w:lineRule="auto"/>
    </w:pPr>
  </w:style>
  <w:style w:type="paragraph" w:styleId="921">
    <w:name w:val="Heading"/>
    <w:next w:val="921"/>
    <w:link w:val="897"/>
    <w:rPr>
      <w:rFonts w:ascii="Arial" w:hAnsi="Arial"/>
      <w:b/>
      <w:sz w:val="22"/>
      <w:lang w:val="ru-RU" w:eastAsia="ar-SA" w:bidi="ar-SA"/>
    </w:rPr>
  </w:style>
  <w:style w:type="paragraph" w:styleId="922">
    <w:name w:val="Нижний колонтитул"/>
    <w:basedOn w:val="897"/>
    <w:next w:val="922"/>
    <w:link w:val="897"/>
    <w:uiPriority w:val="99"/>
    <w:pPr>
      <w:tabs>
        <w:tab w:val="center" w:pos="4677" w:leader="none"/>
        <w:tab w:val="right" w:pos="9355" w:leader="none"/>
      </w:tabs>
    </w:pPr>
  </w:style>
  <w:style w:type="paragraph" w:styleId="923">
    <w:name w:val="Содержимое врезки"/>
    <w:basedOn w:val="910"/>
    <w:next w:val="923"/>
    <w:link w:val="897"/>
  </w:style>
  <w:style w:type="paragraph" w:styleId="924">
    <w:name w:val="Содержимое таблицы"/>
    <w:basedOn w:val="897"/>
    <w:next w:val="924"/>
    <w:link w:val="897"/>
    <w:pPr>
      <w:suppressLineNumbers/>
    </w:pPr>
  </w:style>
  <w:style w:type="paragraph" w:styleId="925">
    <w:name w:val="Заголовок таблицы"/>
    <w:basedOn w:val="924"/>
    <w:next w:val="925"/>
    <w:link w:val="897"/>
    <w:pPr>
      <w:jc w:val="center"/>
      <w:suppressLineNumbers/>
    </w:pPr>
    <w:rPr>
      <w:b/>
      <w:bCs/>
    </w:rPr>
  </w:style>
  <w:style w:type="paragraph" w:styleId="926">
    <w:name w:val="Название"/>
    <w:basedOn w:val="897"/>
    <w:next w:val="926"/>
    <w:link w:val="927"/>
    <w:qFormat/>
    <w:pPr>
      <w:ind w:firstLine="0"/>
      <w:jc w:val="center"/>
      <w:spacing w:line="240" w:lineRule="auto"/>
      <w:widowControl/>
      <w:tabs>
        <w:tab w:val="left" w:pos="540" w:leader="none"/>
      </w:tabs>
    </w:pPr>
    <w:rPr>
      <w:b/>
      <w:bCs/>
      <w:sz w:val="24"/>
      <w:szCs w:val="24"/>
      <w:lang w:val="en-US" w:eastAsia="en-US"/>
    </w:rPr>
  </w:style>
  <w:style w:type="character" w:styleId="927">
    <w:name w:val="Название Знак"/>
    <w:next w:val="927"/>
    <w:link w:val="926"/>
    <w:rPr>
      <w:b/>
      <w:bCs/>
      <w:sz w:val="24"/>
      <w:szCs w:val="24"/>
    </w:rPr>
  </w:style>
  <w:style w:type="character" w:styleId="928">
    <w:name w:val="Основной текст с отступом Знак"/>
    <w:next w:val="928"/>
    <w:link w:val="915"/>
    <w:rPr>
      <w:b/>
      <w:bCs/>
      <w:sz w:val="18"/>
      <w:szCs w:val="18"/>
      <w:lang w:eastAsia="ar-SA"/>
    </w:rPr>
  </w:style>
  <w:style w:type="paragraph" w:styleId="929">
    <w:name w:val="Схема документа"/>
    <w:basedOn w:val="897"/>
    <w:next w:val="929"/>
    <w:link w:val="930"/>
    <w:rPr>
      <w:rFonts w:ascii="Tahoma" w:hAnsi="Tahoma"/>
      <w:sz w:val="16"/>
      <w:szCs w:val="16"/>
      <w:lang w:val="en-US"/>
    </w:rPr>
  </w:style>
  <w:style w:type="character" w:styleId="930">
    <w:name w:val="Схема документа Знак"/>
    <w:next w:val="930"/>
    <w:link w:val="929"/>
    <w:rPr>
      <w:rFonts w:ascii="Tahoma" w:hAnsi="Tahoma" w:cs="Tahoma"/>
      <w:sz w:val="16"/>
      <w:szCs w:val="16"/>
      <w:lang w:eastAsia="ar-SA"/>
    </w:rPr>
  </w:style>
  <w:style w:type="paragraph" w:styleId="931">
    <w:name w:val="1 Заголовок"/>
    <w:basedOn w:val="898"/>
    <w:next w:val="931"/>
    <w:link w:val="897"/>
    <w:qFormat/>
    <w:rPr>
      <w:szCs w:val="22"/>
    </w:rPr>
  </w:style>
  <w:style w:type="paragraph" w:styleId="932">
    <w:name w:val="2 Заголовок"/>
    <w:basedOn w:val="899"/>
    <w:next w:val="932"/>
    <w:link w:val="897"/>
    <w:qFormat/>
  </w:style>
  <w:style w:type="character" w:styleId="933">
    <w:name w:val="Заголовок 1 Знак1,1 Знак"/>
    <w:next w:val="933"/>
    <w:link w:val="898"/>
    <w:rPr>
      <w:sz w:val="22"/>
      <w:szCs w:val="22"/>
      <w:lang w:val="en-US" w:eastAsia="ar-SA"/>
    </w:rPr>
  </w:style>
  <w:style w:type="character" w:styleId="934">
    <w:name w:val="1 Заголовок Знак"/>
    <w:basedOn w:val="933"/>
    <w:next w:val="934"/>
    <w:link w:val="931"/>
  </w:style>
  <w:style w:type="paragraph" w:styleId="935">
    <w:name w:val="Абзац списка"/>
    <w:basedOn w:val="897"/>
    <w:next w:val="935"/>
    <w:link w:val="897"/>
    <w:uiPriority w:val="34"/>
    <w:qFormat/>
    <w:pPr>
      <w:contextualSpacing/>
      <w:ind w:left="720" w:firstLine="0"/>
      <w:spacing w:line="240" w:lineRule="auto"/>
      <w:widowControl/>
    </w:pPr>
    <w:rPr>
      <w:sz w:val="24"/>
      <w:szCs w:val="24"/>
      <w:lang w:eastAsia="ru-RU"/>
    </w:rPr>
  </w:style>
  <w:style w:type="character" w:styleId="936">
    <w:name w:val="Заголовок 2 Знак1,2 Знак"/>
    <w:next w:val="936"/>
    <w:link w:val="899"/>
    <w:rPr>
      <w:b/>
      <w:sz w:val="22"/>
      <w:lang w:val="en-US" w:eastAsia="ar-SA"/>
    </w:rPr>
  </w:style>
  <w:style w:type="character" w:styleId="937">
    <w:name w:val="2 Заголовок Знак"/>
    <w:basedOn w:val="936"/>
    <w:next w:val="937"/>
    <w:link w:val="932"/>
  </w:style>
  <w:style w:type="character" w:styleId="938">
    <w:name w:val="apple-style-span"/>
    <w:next w:val="938"/>
    <w:link w:val="897"/>
  </w:style>
  <w:style w:type="character" w:styleId="939">
    <w:name w:val="Гиперссылка"/>
    <w:next w:val="939"/>
    <w:link w:val="897"/>
    <w:rPr>
      <w:color w:val="0563c1"/>
      <w:u w:val="single"/>
    </w:rPr>
  </w:style>
  <w:style w:type="paragraph" w:styleId="940">
    <w:name w:val="Без интервала"/>
    <w:next w:val="940"/>
    <w:link w:val="897"/>
    <w:uiPriority w:val="1"/>
    <w:qFormat/>
    <w:pPr>
      <w:ind w:firstLine="600"/>
      <w:widowControl w:val="off"/>
    </w:pPr>
    <w:rPr>
      <w:sz w:val="18"/>
      <w:szCs w:val="18"/>
      <w:lang w:val="ru-RU" w:eastAsia="ar-SA" w:bidi="ar-SA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dump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35-2</dc:title>
  <dc:creator>Лим Мирон</dc:creator>
  <cp:lastModifiedBy>volkova.va</cp:lastModifiedBy>
  <cp:revision>188</cp:revision>
  <dcterms:created xsi:type="dcterms:W3CDTF">2009-08-24T08:32:00Z</dcterms:created>
  <dcterms:modified xsi:type="dcterms:W3CDTF">2026-06-19T01:07:14Z</dcterms:modified>
  <cp:version>786432</cp:version>
</cp:coreProperties>
</file>