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/>
        <w:rPr>
          <w:sz w:val="22"/>
          <w:szCs w:val="22"/>
        </w:rPr>
      </w:pPr>
      <w:r>
        <w:rPr>
          <w:b/>
          <w:sz w:val="22"/>
          <w:szCs w:val="22"/>
        </w:rPr>
        <w:t xml:space="preserve">ДОГОВОР №</w:t>
      </w:r>
      <w:r>
        <w:rPr>
          <w:b/>
          <w:sz w:val="22"/>
          <w:szCs w:val="22"/>
        </w:rPr>
        <w:t xml:space="preserve">860</w:t>
      </w:r>
      <w:r/>
    </w:p>
    <w:p>
      <w:pPr>
        <w:jc w:val="center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на поставку </w:t>
      </w:r>
      <w:r>
        <w:rPr>
          <w:sz w:val="22"/>
          <w:szCs w:val="22"/>
        </w:rPr>
        <w:t xml:space="preserve">оборудования для столовой</w:t>
      </w:r>
      <w:r/>
    </w:p>
    <w:p>
      <w:pPr>
        <w:pStyle w:val="820"/>
        <w:contextualSpacing w:val="true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ИКЗ 26 1 2130037189213001001 0001 000 0000 244</w:t>
      </w:r>
      <w:r/>
    </w:p>
    <w:p>
      <w:pPr>
        <w:jc w:val="center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firstLine="540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г. Чебоксары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«___»                    2026г.  </w:t>
      </w:r>
      <w:r/>
    </w:p>
    <w:p>
      <w:pPr>
        <w:ind w:firstLine="540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firstLine="540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Федеральное государственное бюджетное учреждение «Федеральный центр травматологии, ортопедии и </w:t>
      </w:r>
      <w:r>
        <w:rPr>
          <w:sz w:val="22"/>
          <w:szCs w:val="22"/>
        </w:rPr>
        <w:t xml:space="preserve">эндопротезирования</w:t>
      </w:r>
      <w:r>
        <w:rPr>
          <w:sz w:val="22"/>
          <w:szCs w:val="22"/>
        </w:rPr>
        <w:t xml:space="preserve">» Министерства здравоохранения Российской Федерации (г</w:t>
      </w:r>
      <w:r>
        <w:rPr>
          <w:sz w:val="22"/>
          <w:szCs w:val="22"/>
        </w:rPr>
        <w:t xml:space="preserve">.Ч</w:t>
      </w:r>
      <w:r>
        <w:rPr>
          <w:sz w:val="22"/>
          <w:szCs w:val="22"/>
        </w:rPr>
        <w:t xml:space="preserve">ебоксары), именуемое в дальнейшем </w:t>
      </w:r>
      <w:r>
        <w:rPr>
          <w:b/>
          <w:sz w:val="22"/>
          <w:szCs w:val="22"/>
        </w:rPr>
        <w:t xml:space="preserve">Заказчик</w:t>
      </w:r>
      <w:r>
        <w:rPr>
          <w:sz w:val="22"/>
          <w:szCs w:val="22"/>
        </w:rPr>
        <w:t xml:space="preserve">, в лице заместителя главного врача по финанс</w:t>
      </w:r>
      <w:r>
        <w:rPr>
          <w:sz w:val="22"/>
          <w:szCs w:val="22"/>
        </w:rPr>
        <w:t xml:space="preserve">ово – экономическим вопросам и закупкам </w:t>
      </w:r>
      <w:r>
        <w:rPr>
          <w:sz w:val="22"/>
          <w:szCs w:val="22"/>
        </w:rPr>
        <w:t xml:space="preserve">Деверинского</w:t>
      </w:r>
      <w:r>
        <w:rPr>
          <w:sz w:val="22"/>
          <w:szCs w:val="22"/>
        </w:rPr>
        <w:t xml:space="preserve"> Андрея Николаевича, действующего на основании приказа № 72 от 27.02.2026, с одной стороны, и ___________________________________, именуемый в дальнейшем </w:t>
      </w:r>
      <w:r>
        <w:rPr>
          <w:b/>
          <w:sz w:val="22"/>
          <w:szCs w:val="22"/>
        </w:rPr>
        <w:t xml:space="preserve">Поставщик</w:t>
      </w:r>
      <w:r>
        <w:rPr>
          <w:sz w:val="22"/>
          <w:szCs w:val="22"/>
        </w:rPr>
        <w:t xml:space="preserve"> с другой, далее именуемые Стороны, заклю</w:t>
      </w:r>
      <w:r>
        <w:rPr>
          <w:sz w:val="22"/>
          <w:szCs w:val="22"/>
        </w:rPr>
        <w:t xml:space="preserve">чили настоящий Договор о нижеследующем:</w:t>
      </w:r>
      <w:r/>
    </w:p>
    <w:p>
      <w:pPr>
        <w:ind w:firstLine="540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firstLine="540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center"/>
        <w:spacing w:lineRule="auto" w:line="240"/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I. Предмет Договора</w:t>
      </w:r>
      <w:r/>
    </w:p>
    <w:p>
      <w:pPr>
        <w:ind w:firstLine="540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1.1. Поставщик обязуется поставить </w:t>
      </w:r>
      <w:r>
        <w:rPr>
          <w:sz w:val="22"/>
          <w:szCs w:val="22"/>
        </w:rPr>
        <w:t xml:space="preserve">оборудование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планетарный миксер</w:t>
      </w:r>
      <w:r>
        <w:rPr>
          <w:sz w:val="22"/>
          <w:szCs w:val="22"/>
        </w:rPr>
        <w:t xml:space="preserve">) (далее - Товар), а Заказчик обязуется принять и оплатить Товар в порядке и на условиях, предусмотренных Договором.</w:t>
      </w:r>
      <w:r/>
    </w:p>
    <w:p>
      <w:pPr>
        <w:ind w:firstLine="540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1.2. Наименов</w:t>
      </w:r>
      <w:r>
        <w:rPr>
          <w:sz w:val="22"/>
          <w:szCs w:val="22"/>
        </w:rPr>
        <w:t xml:space="preserve">ание, количество и иные характеристики поставляемого Товара указаны в спецификации (приложение к Договору), являющейся неотъемлемой частью Договора.</w:t>
      </w:r>
      <w:r/>
    </w:p>
    <w:p>
      <w:pPr>
        <w:ind w:firstLine="540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firstLine="540"/>
        <w:jc w:val="center"/>
        <w:spacing w:lineRule="auto" w:line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II. Цена Договора и порядок расчетов</w:t>
      </w:r>
      <w:r/>
    </w:p>
    <w:p>
      <w:pPr>
        <w:contextualSpacing w:val="true"/>
        <w:ind w:firstLine="708"/>
        <w:spacing w:lineRule="auto" w:line="240" w:after="120"/>
        <w:rPr>
          <w:sz w:val="22"/>
          <w:szCs w:val="22"/>
        </w:rPr>
        <w:outlineLvl w:val="0"/>
      </w:pPr>
      <w:r/>
      <w:bookmarkStart w:id="0" w:name="Par22"/>
      <w:r/>
      <w:bookmarkEnd w:id="0"/>
      <w:r>
        <w:rPr>
          <w:sz w:val="22"/>
          <w:szCs w:val="22"/>
        </w:rPr>
        <w:t xml:space="preserve">2.1. Цена Договора составляет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______________ (_______________________</w:t>
      </w:r>
      <w:r>
        <w:rPr>
          <w:b/>
          <w:sz w:val="22"/>
          <w:szCs w:val="22"/>
        </w:rPr>
        <w:t xml:space="preserve">______) </w:t>
      </w:r>
      <w:r>
        <w:rPr>
          <w:b/>
          <w:sz w:val="22"/>
          <w:szCs w:val="22"/>
        </w:rPr>
        <w:t xml:space="preserve">руб. ___ коп</w:t>
      </w:r>
      <w:r>
        <w:rPr>
          <w:sz w:val="22"/>
          <w:szCs w:val="22"/>
        </w:rPr>
        <w:t xml:space="preserve">, в том числе НДС ___ % (______________)/НДС не облагается.</w:t>
      </w:r>
      <w:r/>
    </w:p>
    <w:p>
      <w:pPr>
        <w:contextualSpacing w:val="true"/>
        <w:ind w:firstLine="708"/>
        <w:spacing w:lineRule="auto" w:line="240" w:after="120"/>
        <w:rPr>
          <w:sz w:val="22"/>
          <w:szCs w:val="22"/>
        </w:rPr>
        <w:outlineLvl w:val="0"/>
      </w:pPr>
      <w:r>
        <w:rPr>
          <w:sz w:val="22"/>
          <w:szCs w:val="22"/>
        </w:rPr>
        <w:t xml:space="preserve">2.2. </w:t>
      </w:r>
      <w:r>
        <w:rPr>
          <w:sz w:val="22"/>
          <w:szCs w:val="22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</w:t>
      </w:r>
      <w:r>
        <w:rPr>
          <w:sz w:val="22"/>
          <w:szCs w:val="22"/>
        </w:rPr>
        <w:t xml:space="preserve">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bookmarkStart w:id="1" w:name="Par40"/>
      <w:r/>
      <w:bookmarkEnd w:id="1"/>
      <w:r/>
      <w:r/>
    </w:p>
    <w:p>
      <w:pPr>
        <w:contextualSpacing w:val="true"/>
        <w:ind w:firstLine="708"/>
        <w:spacing w:lineRule="auto" w:line="240" w:after="120"/>
        <w:rPr>
          <w:sz w:val="22"/>
          <w:szCs w:val="22"/>
        </w:rPr>
        <w:outlineLvl w:val="0"/>
      </w:pPr>
      <w:r>
        <w:rPr>
          <w:sz w:val="22"/>
          <w:szCs w:val="22"/>
        </w:rPr>
        <w:t xml:space="preserve">2.3. </w:t>
      </w:r>
      <w:r>
        <w:rPr>
          <w:sz w:val="22"/>
          <w:szCs w:val="22"/>
        </w:rPr>
        <w:t xml:space="preserve">Цена Договора включает</w:t>
      </w:r>
      <w:r>
        <w:rPr>
          <w:sz w:val="22"/>
          <w:szCs w:val="22"/>
        </w:rPr>
        <w:t xml:space="preserve">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</w:t>
      </w:r>
      <w:r>
        <w:rPr>
          <w:sz w:val="22"/>
          <w:szCs w:val="22"/>
        </w:rPr>
        <w:t xml:space="preserve">ходы, связанные с исполнением Договора. 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2" w:name="Par41"/>
      <w:r/>
      <w:bookmarkEnd w:id="2"/>
      <w:r>
        <w:rPr>
          <w:sz w:val="22"/>
          <w:szCs w:val="22"/>
        </w:rPr>
        <w:t xml:space="preserve">2.4. Цена Договора является твердой и определяется на весь срок исполнения Договора, за исключением случаев, установленных Федеральным законом от 5 апреля 2013 г. N 44-ФЗ "О Договорной системе в сфере закупок товаро</w:t>
      </w:r>
      <w:r>
        <w:rPr>
          <w:sz w:val="22"/>
          <w:szCs w:val="22"/>
        </w:rPr>
        <w:t xml:space="preserve">в, работ, услуг для обеспечения государственных и муниципальных нужд" и Договором.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3" w:name="Par42"/>
      <w:r/>
      <w:bookmarkEnd w:id="3"/>
      <w:r>
        <w:rPr>
          <w:sz w:val="22"/>
          <w:szCs w:val="22"/>
        </w:rPr>
        <w:t xml:space="preserve">Цена Договора может быть снижена по соглашению Сторон без </w:t>
      </w:r>
      <w:r>
        <w:rPr>
          <w:sz w:val="22"/>
          <w:szCs w:val="22"/>
        </w:rPr>
        <w:t xml:space="preserve">изменения</w:t>
      </w:r>
      <w:r>
        <w:rPr>
          <w:sz w:val="22"/>
          <w:szCs w:val="22"/>
        </w:rPr>
        <w:t xml:space="preserve"> предусмотренного Договором количества и качества поставляемого Товара и иных условий Договора.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2.5. </w:t>
      </w:r>
      <w:bookmarkStart w:id="4" w:name="Par57"/>
      <w:r/>
      <w:bookmarkEnd w:id="4"/>
      <w:r>
        <w:rPr>
          <w:sz w:val="22"/>
          <w:szCs w:val="22"/>
        </w:rPr>
        <w:t xml:space="preserve">Расче</w:t>
      </w:r>
      <w:r>
        <w:rPr>
          <w:sz w:val="22"/>
          <w:szCs w:val="22"/>
        </w:rPr>
        <w:t xml:space="preserve">ты между Заказчиком и Поставщиком производятся не позднее 7 (семь) рабочих дней </w:t>
      </w:r>
      <w:r>
        <w:rPr>
          <w:sz w:val="22"/>
          <w:szCs w:val="22"/>
        </w:rPr>
        <w:t xml:space="preserve">с даты  подписания</w:t>
      </w:r>
      <w:r>
        <w:rPr>
          <w:sz w:val="22"/>
          <w:szCs w:val="22"/>
        </w:rPr>
        <w:t xml:space="preserve"> Заказчиком документов о приемке Товара.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2.6. Оплата по Договору осуществляется по безналичному расчету платежными поручениями путем перечисления Заказчиком д</w:t>
      </w:r>
      <w:r>
        <w:rPr>
          <w:sz w:val="22"/>
          <w:szCs w:val="22"/>
        </w:rPr>
        <w:t xml:space="preserve">енежных средств на расчетный счет Поставщика, указанный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Договоре</w:t>
      </w:r>
      <w:r>
        <w:rPr>
          <w:sz w:val="22"/>
          <w:szCs w:val="22"/>
        </w:rPr>
        <w:t xml:space="preserve">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</w:t>
      </w:r>
      <w:r>
        <w:rPr>
          <w:sz w:val="22"/>
          <w:szCs w:val="22"/>
        </w:rPr>
        <w:t xml:space="preserve">о счета. В противном случае все риски, связанные с перечислением Заказчиком денежных средств на указанный в Договоре счет Поставщика, несет Поставщик. 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center"/>
        <w:spacing w:lineRule="auto" w:line="240"/>
        <w:rPr>
          <w:sz w:val="22"/>
          <w:szCs w:val="22"/>
        </w:rPr>
        <w:outlineLvl w:val="0"/>
      </w:pPr>
      <w:r/>
      <w:bookmarkStart w:id="5" w:name="Par59"/>
      <w:r/>
      <w:bookmarkEnd w:id="5"/>
      <w:r>
        <w:rPr>
          <w:b/>
          <w:sz w:val="22"/>
          <w:szCs w:val="22"/>
        </w:rPr>
        <w:t xml:space="preserve">III. Порядок, сроки и условия поставки и приемки Товара</w:t>
      </w:r>
      <w:r>
        <w:rPr>
          <w:sz w:val="22"/>
          <w:szCs w:val="22"/>
        </w:rPr>
        <w:t xml:space="preserve"> </w:t>
      </w:r>
      <w:r/>
    </w:p>
    <w:p>
      <w:pPr>
        <w:contextualSpacing w:val="true"/>
        <w:ind w:firstLine="539"/>
        <w:spacing w:lineRule="auto" w:line="240"/>
        <w:rPr>
          <w:sz w:val="22"/>
          <w:szCs w:val="22"/>
        </w:rPr>
      </w:pPr>
      <w:r/>
      <w:bookmarkStart w:id="6" w:name="Par62"/>
      <w:r/>
      <w:bookmarkEnd w:id="6"/>
      <w:r>
        <w:rPr>
          <w:sz w:val="22"/>
          <w:szCs w:val="22"/>
        </w:rPr>
        <w:t xml:space="preserve">3.1. Поставщик самостоятельно доставляет Товар Заказчику по адресу: 428020, г. Чебоксары, улица Фёдора Гладкова, д. 33 (далее - место доставки), в течение 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0 дней со дня заключения Договора. </w:t>
      </w:r>
      <w:r/>
    </w:p>
    <w:p>
      <w:pPr>
        <w:spacing w:lineRule="auto" w:line="240"/>
        <w:rPr>
          <w:sz w:val="22"/>
          <w:szCs w:val="22"/>
        </w:rPr>
      </w:pPr>
      <w:r/>
      <w:bookmarkStart w:id="7" w:name="Par64"/>
      <w:r/>
      <w:bookmarkStart w:id="8" w:name="Par67"/>
      <w:r/>
      <w:bookmarkEnd w:id="7"/>
      <w:r/>
      <w:bookmarkEnd w:id="8"/>
      <w:r>
        <w:rPr>
          <w:sz w:val="22"/>
          <w:szCs w:val="22"/>
        </w:rPr>
        <w:t xml:space="preserve">        3.2. Приемка Товара осуществляется путем передачи Постав</w:t>
      </w:r>
      <w:r>
        <w:rPr>
          <w:sz w:val="22"/>
          <w:szCs w:val="22"/>
        </w:rPr>
        <w:t xml:space="preserve">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3.3. Заказчи</w:t>
      </w:r>
      <w:r>
        <w:rPr>
          <w:sz w:val="22"/>
          <w:szCs w:val="22"/>
        </w:rPr>
        <w:t xml:space="preserve">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3.5. Для проверки предоставленных Поставщиком результатов, предусмотренных Договором, в ч</w:t>
      </w:r>
      <w:r>
        <w:rPr>
          <w:sz w:val="22"/>
          <w:szCs w:val="22"/>
        </w:rPr>
        <w:t xml:space="preserve">асти их соответствия условиям Договора Заказчик проводит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Договоро</w:t>
      </w:r>
      <w:r>
        <w:rPr>
          <w:sz w:val="22"/>
          <w:szCs w:val="22"/>
        </w:rPr>
        <w:t xml:space="preserve">в, заключенных в соответствии с Федеральным законом от 5 апреля 2013 г. N 44-ФЗ "О Договорной системе в сфере закупок товаров, работ, услуг для обеспечения государственных и муниципальных нужд".</w:t>
      </w:r>
      <w:r/>
    </w:p>
    <w:p>
      <w:pPr>
        <w:ind w:firstLine="567"/>
        <w:spacing w:lineRule="exact" w:line="240"/>
        <w:rPr>
          <w:sz w:val="22"/>
          <w:szCs w:val="22"/>
        </w:rPr>
      </w:pPr>
      <w:r/>
      <w:bookmarkStart w:id="9" w:name="Par71"/>
      <w:r/>
      <w:bookmarkEnd w:id="9"/>
      <w:r>
        <w:rPr>
          <w:sz w:val="22"/>
          <w:szCs w:val="22"/>
        </w:rPr>
        <w:t xml:space="preserve">3.6. При </w:t>
      </w:r>
      <w:r>
        <w:rPr>
          <w:color w:val="0D0D0D" w:themeColor="text1" w:themeTint="F2"/>
          <w:sz w:val="22"/>
          <w:szCs w:val="22"/>
        </w:rPr>
        <w:t xml:space="preserve">отсутствии у Заказчика претензий по количеству и кач</w:t>
      </w:r>
      <w:r>
        <w:rPr>
          <w:color w:val="0D0D0D" w:themeColor="text1" w:themeTint="F2"/>
          <w:sz w:val="22"/>
          <w:szCs w:val="22"/>
        </w:rPr>
        <w:t xml:space="preserve">еству поставленного Товара Заказчик в течение 20 (двадцать)</w:t>
      </w:r>
      <w:r>
        <w:rPr>
          <w:sz w:val="22"/>
          <w:szCs w:val="22"/>
        </w:rPr>
        <w:t xml:space="preserve"> дней с момента доставки Товара Поставщиком подписывает документ о приемке товара.  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3.7. </w:t>
      </w:r>
      <w:r>
        <w:rPr>
          <w:sz w:val="22"/>
          <w:szCs w:val="22"/>
        </w:rPr>
        <w:t xml:space="preserve">При выявлении несоответствий в поставленном Товаре (наименования, количества, качества, в том числе в случа</w:t>
      </w:r>
      <w:r>
        <w:rPr>
          <w:sz w:val="22"/>
          <w:szCs w:val="22"/>
        </w:rPr>
        <w:t xml:space="preserve">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пункте 3.6 Договора, от</w:t>
      </w:r>
      <w:r>
        <w:rPr>
          <w:sz w:val="22"/>
          <w:szCs w:val="22"/>
        </w:rPr>
        <w:t xml:space="preserve">казывает в приемке Товара, направляя Поставщику мотивированный отказ от приемки Товара с перечнем выявленных недостатков и указанием</w:t>
      </w:r>
      <w:r>
        <w:rPr>
          <w:sz w:val="22"/>
          <w:szCs w:val="22"/>
        </w:rPr>
        <w:t xml:space="preserve"> сроков их устранения.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3.8. Во всех случаях, влекущих возврат Товара Поставщику, Заказчик обязан обеспечить сохранность этог</w:t>
      </w:r>
      <w:r>
        <w:rPr>
          <w:sz w:val="22"/>
          <w:szCs w:val="22"/>
        </w:rPr>
        <w:t xml:space="preserve">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</w:t>
      </w:r>
      <w:r>
        <w:rPr>
          <w:sz w:val="22"/>
          <w:szCs w:val="22"/>
        </w:rPr>
        <w:t xml:space="preserve">нию Поставщиком.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3.9.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3.6 Договора.</w:t>
      </w:r>
      <w:r/>
    </w:p>
    <w:p>
      <w:pPr>
        <w:contextualSpacing w:val="true"/>
        <w:ind w:firstLine="539"/>
        <w:jc w:val="center"/>
        <w:spacing w:lineRule="auto" w:line="240" w:before="220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contextualSpacing w:val="true"/>
        <w:ind w:firstLine="539"/>
        <w:jc w:val="center"/>
        <w:spacing w:lineRule="auto" w:line="240" w:before="220"/>
        <w:rPr>
          <w:sz w:val="22"/>
          <w:szCs w:val="22"/>
        </w:rPr>
      </w:pPr>
      <w:r>
        <w:rPr>
          <w:b/>
          <w:sz w:val="22"/>
          <w:szCs w:val="22"/>
        </w:rPr>
        <w:t xml:space="preserve">IV. Взаимодействие Сторон</w:t>
      </w:r>
      <w:r/>
    </w:p>
    <w:p>
      <w:pPr>
        <w:contextualSpacing w:val="true"/>
        <w:ind w:firstLine="540"/>
        <w:spacing w:lineRule="auto" w:line="240"/>
        <w:rPr>
          <w:sz w:val="22"/>
          <w:szCs w:val="22"/>
        </w:rPr>
      </w:pPr>
      <w:r/>
      <w:bookmarkStart w:id="10" w:name="Par79"/>
      <w:r/>
      <w:bookmarkEnd w:id="10"/>
      <w:r>
        <w:rPr>
          <w:sz w:val="22"/>
          <w:szCs w:val="22"/>
        </w:rPr>
        <w:t xml:space="preserve">4.1. П</w:t>
      </w:r>
      <w:r>
        <w:rPr>
          <w:sz w:val="22"/>
          <w:szCs w:val="22"/>
        </w:rPr>
        <w:t xml:space="preserve">оставщик обязан: 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4.1.1. поставить Товар в порядке, количестве, в срок и на условиях, предусмотренных Договором и спецификацией;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11" w:name="Par81"/>
      <w:r/>
      <w:bookmarkEnd w:id="11"/>
      <w:r>
        <w:rPr>
          <w:sz w:val="22"/>
          <w:szCs w:val="22"/>
        </w:rPr>
        <w:t xml:space="preserve">4.1.2. обеспечить соответствие поставляемого Товара требованиям качества, безопасности жизни и здоровья, а также иным требовани</w:t>
      </w:r>
      <w:r>
        <w:rPr>
          <w:sz w:val="22"/>
          <w:szCs w:val="22"/>
        </w:rPr>
        <w:t xml:space="preserve">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4.1.3. обеспечить за свой счет устранение выявленных недостатков Товара или осуществ</w:t>
      </w:r>
      <w:r>
        <w:rPr>
          <w:sz w:val="22"/>
          <w:szCs w:val="22"/>
        </w:rPr>
        <w:t xml:space="preserve">ить его соответствующую замену в порядке и на условиях, предусмотренных Договором;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12" w:name="Par84"/>
      <w:r/>
      <w:bookmarkStart w:id="13" w:name="Par86"/>
      <w:r/>
      <w:bookmarkStart w:id="14" w:name="Par87"/>
      <w:r/>
      <w:bookmarkEnd w:id="12"/>
      <w:r/>
      <w:bookmarkEnd w:id="13"/>
      <w:r/>
      <w:bookmarkEnd w:id="14"/>
      <w:r>
        <w:rPr>
          <w:sz w:val="22"/>
          <w:szCs w:val="22"/>
        </w:rPr>
        <w:t xml:space="preserve">4.1.4.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</w:t>
      </w:r>
      <w:r>
        <w:rPr>
          <w:sz w:val="22"/>
          <w:szCs w:val="22"/>
        </w:rPr>
        <w:t xml:space="preserve">нения своих обязательств, в том числе о сложностях, возникающих при исполнении Договора;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15" w:name="Par89"/>
      <w:r/>
      <w:bookmarkStart w:id="16" w:name="Par90"/>
      <w:r/>
      <w:bookmarkStart w:id="17" w:name="Par93"/>
      <w:r/>
      <w:bookmarkStart w:id="18" w:name="Par94"/>
      <w:r/>
      <w:bookmarkStart w:id="19" w:name="Par97"/>
      <w:r/>
      <w:bookmarkEnd w:id="15"/>
      <w:r/>
      <w:bookmarkEnd w:id="16"/>
      <w:r/>
      <w:bookmarkEnd w:id="17"/>
      <w:r/>
      <w:bookmarkEnd w:id="18"/>
      <w:r/>
      <w:bookmarkEnd w:id="19"/>
      <w:r>
        <w:rPr>
          <w:sz w:val="22"/>
          <w:szCs w:val="22"/>
        </w:rPr>
        <w:t xml:space="preserve">4.2. Поставщик вправе: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4.2.1. требовать от Заказчика произвести приемку Товара в порядке и в сроки, предусмотренные Договором;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20" w:name="Par100"/>
      <w:r/>
      <w:bookmarkEnd w:id="20"/>
      <w:r>
        <w:rPr>
          <w:sz w:val="22"/>
          <w:szCs w:val="22"/>
        </w:rPr>
        <w:t xml:space="preserve">4.2.2. требовать своевременной оплаты на</w:t>
      </w:r>
      <w:r>
        <w:rPr>
          <w:sz w:val="22"/>
          <w:szCs w:val="22"/>
        </w:rPr>
        <w:t xml:space="preserve"> условиях, установленных Договором, надлежащим образом поставленного и принятого Заказчиком Товара; 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21" w:name="Par101"/>
      <w:r/>
      <w:bookmarkEnd w:id="21"/>
      <w:r>
        <w:rPr>
          <w:sz w:val="22"/>
          <w:szCs w:val="22"/>
        </w:rPr>
        <w:t xml:space="preserve">4.2.3. требовать возмещения убытков, уплаты неустоек (штрафов, пеней) в соответствии с разделом VI Договора;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22" w:name="Par103"/>
      <w:r/>
      <w:bookmarkEnd w:id="22"/>
      <w:r>
        <w:rPr>
          <w:sz w:val="22"/>
          <w:szCs w:val="22"/>
        </w:rPr>
        <w:t xml:space="preserve">4.3. Заказчик обязуется: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4.3.1. обеспечить своевременную приемку и оплату поставленного Товара надлежащего качества в </w:t>
      </w:r>
      <w:r>
        <w:rPr>
          <w:sz w:val="22"/>
          <w:szCs w:val="22"/>
        </w:rPr>
        <w:t xml:space="preserve">порядке</w:t>
      </w:r>
      <w:r>
        <w:rPr>
          <w:sz w:val="22"/>
          <w:szCs w:val="22"/>
        </w:rPr>
        <w:t xml:space="preserve"> и сроки, предусмотренные Договором; </w:t>
      </w:r>
      <w:bookmarkStart w:id="23" w:name="Par107"/>
      <w:r/>
      <w:bookmarkEnd w:id="23"/>
      <w:r/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4.3.2. требовать уплаты неустоек (штрафов, пеней) в соответствии с разделом VI Договора;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4.3.3</w:t>
      </w:r>
      <w:r>
        <w:rPr>
          <w:sz w:val="22"/>
          <w:szCs w:val="22"/>
        </w:rPr>
        <w:t xml:space="preserve">. провести экспертизу поставленного Товара для проверки его соответствия условиям Договора в соответствии с Федеральным законом от 5 апреля 2013 г. N 44-ФЗ "О Договорной системе в сфере закупок товаров, работ, услуг для обеспечения государственных и муници</w:t>
      </w:r>
      <w:r>
        <w:rPr>
          <w:sz w:val="22"/>
          <w:szCs w:val="22"/>
        </w:rPr>
        <w:t xml:space="preserve">пальных нужд".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24" w:name="Par111"/>
      <w:r/>
      <w:bookmarkEnd w:id="24"/>
      <w:r>
        <w:rPr>
          <w:sz w:val="22"/>
          <w:szCs w:val="22"/>
        </w:rPr>
        <w:t xml:space="preserve">4.4. Заказчик вправе: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4.4.1. требовать от Поставщика надлежащего исполнения обязательств по Договору;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4.4.2. требовать от Поставщика своевременного устранения недостатков, выявленных как в ходе приемки; 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4.4.3. проверять ход и качество выпол</w:t>
      </w:r>
      <w:r>
        <w:rPr>
          <w:sz w:val="22"/>
          <w:szCs w:val="22"/>
        </w:rPr>
        <w:t xml:space="preserve">нения Поставщиком условий Договора без вмешательства в оперативно-хозяйственную деятельность Поставщика;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4.4.4. требовать возмещения убытков в соответствии с разделом VI Договора, причиненных по вине Поставщика;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25" w:name="Par116"/>
      <w:r/>
      <w:bookmarkEnd w:id="25"/>
      <w:r>
        <w:rPr>
          <w:sz w:val="22"/>
          <w:szCs w:val="22"/>
        </w:rPr>
        <w:t xml:space="preserve">4.4.5. предложить увеличить или уменьшить в </w:t>
      </w:r>
      <w:r>
        <w:rPr>
          <w:sz w:val="22"/>
          <w:szCs w:val="22"/>
        </w:rPr>
        <w:t xml:space="preserve">процессе исполнения Договора количество Товара, предусмотренного Договором, не более чем на десять процентов в порядке и на условиях, установленных Федеральным законом от 5 апреля 2013 г. N 44-ФЗ "О Договорной системе в сфере закупок товаров, работ, услуг </w:t>
      </w:r>
      <w:r>
        <w:rPr>
          <w:sz w:val="22"/>
          <w:szCs w:val="22"/>
        </w:rPr>
        <w:t xml:space="preserve">для обеспечения государственных и муниципальных нужд";                         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4.4.6. отказаться от приемки и оплаты Товара, не соответствующего условиям Договора;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26" w:name="Par118"/>
      <w:r/>
      <w:bookmarkEnd w:id="26"/>
      <w:r>
        <w:rPr>
          <w:sz w:val="22"/>
          <w:szCs w:val="22"/>
        </w:rPr>
        <w:t xml:space="preserve">4.4.7. принять решение об одностороннем отказе от исполнения Договора в соответствии с граж</w:t>
      </w:r>
      <w:r>
        <w:rPr>
          <w:sz w:val="22"/>
          <w:szCs w:val="22"/>
        </w:rPr>
        <w:t xml:space="preserve">данским законодательством; 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27" w:name="Par119"/>
      <w:r/>
      <w:bookmarkEnd w:id="27"/>
      <w:r>
        <w:rPr>
          <w:sz w:val="22"/>
          <w:szCs w:val="22"/>
        </w:rPr>
        <w:t xml:space="preserve">4.4.8. до принятия решения об одностороннем отказе от исполнения Договора провести экспертизу поставленного Товара с привлечением экспертов, экспертных организаций. </w:t>
      </w:r>
      <w:r/>
    </w:p>
    <w:p>
      <w:pPr>
        <w:jc w:val="center"/>
        <w:spacing w:lineRule="auto" w:line="240"/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V. Качество Товара</w:t>
      </w:r>
      <w:r/>
    </w:p>
    <w:p>
      <w:pPr>
        <w:contextualSpacing w:val="true"/>
        <w:ind w:firstLine="540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5.1. Поставщик гарантирует, что поставляемы</w:t>
      </w:r>
      <w:r>
        <w:rPr>
          <w:sz w:val="22"/>
          <w:szCs w:val="22"/>
        </w:rPr>
        <w:t xml:space="preserve">й Товар соответствует требованиям, установленным Договором.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</w:t>
      </w:r>
      <w:r>
        <w:rPr>
          <w:sz w:val="22"/>
          <w:szCs w:val="22"/>
        </w:rPr>
        <w:t xml:space="preserve">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5.3. Товар должен быть упакован и замаркирован в соответствии с действующими стандартами.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Поставщик пост</w:t>
      </w:r>
      <w:r>
        <w:rPr>
          <w:sz w:val="22"/>
          <w:szCs w:val="22"/>
        </w:rPr>
        <w:t xml:space="preserve">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</w:t>
      </w:r>
      <w:r>
        <w:rPr>
          <w:sz w:val="22"/>
          <w:szCs w:val="22"/>
        </w:rPr>
        <w:t xml:space="preserve">льного хранения.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5.4.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 </w:t>
      </w:r>
      <w:r/>
    </w:p>
    <w:p>
      <w:pPr>
        <w:jc w:val="center"/>
        <w:spacing w:lineRule="auto" w:line="240"/>
        <w:rPr>
          <w:sz w:val="22"/>
          <w:szCs w:val="22"/>
        </w:rPr>
        <w:outlineLvl w:val="0"/>
      </w:pPr>
      <w:r/>
      <w:bookmarkStart w:id="28" w:name="Par132"/>
      <w:r/>
      <w:bookmarkStart w:id="29" w:name="Par128"/>
      <w:r/>
      <w:bookmarkStart w:id="30" w:name="Par129"/>
      <w:r/>
      <w:bookmarkEnd w:id="28"/>
      <w:r/>
      <w:bookmarkEnd w:id="29"/>
      <w:r/>
      <w:bookmarkEnd w:id="30"/>
      <w:r>
        <w:rPr>
          <w:b/>
          <w:sz w:val="22"/>
          <w:szCs w:val="22"/>
        </w:rPr>
        <w:t xml:space="preserve">VI. Ответственность Сторон</w:t>
      </w:r>
      <w:r>
        <w:rPr>
          <w:sz w:val="22"/>
          <w:szCs w:val="22"/>
        </w:rPr>
        <w:t xml:space="preserve"> </w:t>
      </w:r>
      <w:r/>
    </w:p>
    <w:p>
      <w:pPr>
        <w:contextualSpacing w:val="true"/>
        <w:ind w:firstLine="540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6.1.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6.2. В случае полного (частичного) неисполнения условий Договора одной из Сторон эта Сто</w:t>
      </w:r>
      <w:r>
        <w:rPr>
          <w:sz w:val="22"/>
          <w:szCs w:val="22"/>
        </w:rPr>
        <w:t xml:space="preserve">рона обязана возместить другой Стороне причиненные убытки в части, непокрытой неустойкой.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31" w:name="Par136"/>
      <w:r/>
      <w:bookmarkEnd w:id="31"/>
      <w:r>
        <w:rPr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Договором, Поставщик уплачивает Заказчику пени. </w:t>
      </w:r>
      <w:r>
        <w:rPr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Размер пени составляет одна трехсотая действ</w:t>
      </w:r>
      <w:r>
        <w:rPr>
          <w:sz w:val="22"/>
          <w:szCs w:val="22"/>
        </w:rPr>
        <w:t xml:space="preserve">ующей на дату уплаты пени ключевой ставки Центрального банка Российской Федерации от цены Договора (отдельного этапа исполнения Договора), уменьшенной на сумму, пропорциональную объему обязательств, предусмотренных Договором (соответствующим отдельным этап</w:t>
      </w:r>
      <w:r>
        <w:rPr>
          <w:sz w:val="22"/>
          <w:szCs w:val="22"/>
        </w:rPr>
        <w:t xml:space="preserve">ом исполнения Договора) и фактически исполненных Поставщиком.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6.4. За каждый факт неисполнения или ненадлежащего исполнения Поставщиком обязательств, предусмотренных Договором, за исключением просрочки исполнения Поставщиком обязательств (в том числе гаран</w:t>
      </w:r>
      <w:r>
        <w:rPr>
          <w:sz w:val="22"/>
          <w:szCs w:val="22"/>
        </w:rPr>
        <w:t xml:space="preserve">тийного обязательства), предусмотренных Договором, Поставщик уплачивает Заказчику штраф. </w:t>
      </w:r>
      <w:r>
        <w:rPr>
          <w:sz w:val="22"/>
          <w:szCs w:val="22"/>
        </w:rPr>
        <w:t xml:space="preserve">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</w:t>
      </w:r>
      <w:r>
        <w:rPr>
          <w:sz w:val="22"/>
          <w:szCs w:val="22"/>
        </w:rPr>
        <w:t xml:space="preserve">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</w:t>
      </w:r>
      <w:r>
        <w:rPr>
          <w:sz w:val="22"/>
          <w:szCs w:val="22"/>
        </w:rPr>
        <w:t xml:space="preserve">ерации от 30 августа 2017г.</w:t>
      </w:r>
      <w:r>
        <w:rPr>
          <w:sz w:val="22"/>
          <w:szCs w:val="22"/>
        </w:rPr>
        <w:t xml:space="preserve"> N1042  (далее - Правила), и составляет 10% цены Договора.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32" w:name="Par138"/>
      <w:r/>
      <w:bookmarkEnd w:id="32"/>
      <w:r>
        <w:rPr>
          <w:sz w:val="22"/>
          <w:szCs w:val="22"/>
        </w:rPr>
        <w:t xml:space="preserve">6.5. За каждый факт неисполнения или ненадлежащего исполнения Поставщиком обязательства, предусмотренного Договор</w:t>
      </w:r>
      <w:r>
        <w:rPr>
          <w:sz w:val="22"/>
          <w:szCs w:val="22"/>
        </w:rPr>
        <w:t xml:space="preserve">ом, которое не имеет стоимостного выражения, Поставщик уплачивает Заказчику штраф. Размер штрафа определяется в соответствии с Правилами и составляет 5000 рублей.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33" w:name="Par139"/>
      <w:r/>
      <w:bookmarkStart w:id="34" w:name="Par140"/>
      <w:r/>
      <w:bookmarkEnd w:id="33"/>
      <w:r/>
      <w:bookmarkEnd w:id="34"/>
      <w:r>
        <w:rPr>
          <w:sz w:val="22"/>
          <w:szCs w:val="22"/>
        </w:rPr>
        <w:t xml:space="preserve">6.6. В случае просрочки исполнения Заказчиком обязательств, предусмотренных Договором, Постав</w:t>
      </w:r>
      <w:r>
        <w:rPr>
          <w:sz w:val="22"/>
          <w:szCs w:val="22"/>
        </w:rPr>
        <w:t xml:space="preserve">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</w:t>
      </w:r>
      <w:r>
        <w:rPr>
          <w:sz w:val="22"/>
          <w:szCs w:val="22"/>
        </w:rPr>
        <w:t xml:space="preserve">отренного Договором, </w:t>
      </w:r>
      <w:r>
        <w:rPr>
          <w:sz w:val="22"/>
          <w:szCs w:val="22"/>
        </w:rPr>
        <w:t xml:space="preserve">начиная со дня, следующего после дня истечения установленного Договором срока исполнения обязательства.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6.7. За каждый факт неисполнения Заказчиком обязательств, предусмотренных Договором, за исключением просрочки исполнения обязательс</w:t>
      </w:r>
      <w:r>
        <w:rPr>
          <w:sz w:val="22"/>
          <w:szCs w:val="22"/>
        </w:rPr>
        <w:t xml:space="preserve">тв, предусмотренных Договором, Поставщик вправе потребовать уплату штрафа. Размер штрафа определяется в соответствии с Правилами и составляет 5000 рублей.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/>
      <w:bookmarkStart w:id="35" w:name="Par143"/>
      <w:r/>
      <w:bookmarkEnd w:id="35"/>
      <w:r>
        <w:rPr>
          <w:sz w:val="22"/>
          <w:szCs w:val="22"/>
        </w:rPr>
        <w:t xml:space="preserve">6.8. Применение неустойки (штрафа, пени) не освобождает Стороны от исполнения обязательств по Договор</w:t>
      </w:r>
      <w:r>
        <w:rPr>
          <w:sz w:val="22"/>
          <w:szCs w:val="22"/>
        </w:rPr>
        <w:t xml:space="preserve">у.</w:t>
      </w:r>
      <w:r/>
    </w:p>
    <w:p>
      <w:pPr>
        <w:contextualSpacing w:val="true"/>
        <w:ind w:firstLine="540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6.9. Общая сумма начисленных штрафов за неисполнение или ненадлежащее исполнение сторонами обязательств, предусмотренных Договором, не может превышать цену Договора.</w:t>
      </w:r>
      <w:r/>
    </w:p>
    <w:p>
      <w:pPr>
        <w:contextualSpacing w:val="true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center"/>
        <w:spacing w:lineRule="auto" w:line="240"/>
        <w:rPr>
          <w:sz w:val="22"/>
          <w:szCs w:val="22"/>
        </w:rPr>
        <w:outlineLvl w:val="0"/>
      </w:pPr>
      <w:r/>
      <w:bookmarkStart w:id="36" w:name="Par182"/>
      <w:r/>
      <w:bookmarkEnd w:id="36"/>
      <w:r>
        <w:rPr>
          <w:b/>
          <w:sz w:val="22"/>
          <w:szCs w:val="22"/>
          <w:lang w:val="en-US"/>
        </w:rPr>
        <w:t xml:space="preserve">IIV</w:t>
      </w:r>
      <w:r>
        <w:rPr>
          <w:b/>
          <w:sz w:val="22"/>
          <w:szCs w:val="22"/>
        </w:rPr>
        <w:t xml:space="preserve">. Исключительные права</w:t>
      </w:r>
      <w:r>
        <w:rPr>
          <w:sz w:val="22"/>
          <w:szCs w:val="22"/>
        </w:rPr>
        <w:t xml:space="preserve"> </w:t>
      </w:r>
      <w:r/>
    </w:p>
    <w:p>
      <w:pPr>
        <w:contextualSpacing w:val="true"/>
        <w:ind w:firstLine="539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7.1. Поставщик гарантирует отсутствие нарушения исключител</w:t>
      </w:r>
      <w:r>
        <w:rPr>
          <w:sz w:val="22"/>
          <w:szCs w:val="22"/>
        </w:rPr>
        <w:t xml:space="preserve">ьных прав третьих лиц, связанных с поставкой и использованием Товара.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7.2.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</w:t>
      </w:r>
      <w:r>
        <w:rPr>
          <w:sz w:val="22"/>
          <w:szCs w:val="22"/>
        </w:rPr>
        <w:t xml:space="preserve">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  <w:r/>
    </w:p>
    <w:p>
      <w:pPr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center"/>
        <w:spacing w:lineRule="auto" w:line="240"/>
        <w:rPr>
          <w:b/>
          <w:sz w:val="22"/>
          <w:szCs w:val="22"/>
        </w:rPr>
        <w:outlineLvl w:val="0"/>
      </w:pPr>
      <w:r>
        <w:rPr>
          <w:b/>
          <w:sz w:val="22"/>
          <w:szCs w:val="22"/>
          <w:lang w:val="en-US"/>
        </w:rPr>
        <w:t xml:space="preserve">IIIV</w:t>
      </w:r>
      <w:r>
        <w:rPr>
          <w:b/>
          <w:sz w:val="22"/>
          <w:szCs w:val="22"/>
        </w:rPr>
        <w:t xml:space="preserve">. Обстоятельства непреодолимой силы</w:t>
      </w:r>
      <w:r/>
    </w:p>
    <w:p>
      <w:pPr>
        <w:contextualSpacing w:val="true"/>
        <w:ind w:firstLine="539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8.1. Стороны не несут ответст</w:t>
      </w:r>
      <w:r>
        <w:rPr>
          <w:sz w:val="22"/>
          <w:szCs w:val="22"/>
        </w:rPr>
        <w:t xml:space="preserve">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8.2. В случае если надлежащее исполнение Стороной предусмотренных Договором обязательств оказалось </w:t>
      </w:r>
      <w:r>
        <w:rPr>
          <w:sz w:val="22"/>
          <w:szCs w:val="22"/>
        </w:rPr>
        <w:t xml:space="preserve">невозможным вследствие обстоятельств непреодолимой силы, такая Сторона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8.3. В сл</w:t>
      </w:r>
      <w:r>
        <w:rPr>
          <w:sz w:val="22"/>
          <w:szCs w:val="22"/>
        </w:rPr>
        <w:t xml:space="preserve">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8.4. Подтверждением наличия обстоятельств непреодолимой силы и их продолжительности является п</w:t>
      </w:r>
      <w:r>
        <w:rPr>
          <w:sz w:val="22"/>
          <w:szCs w:val="22"/>
        </w:rPr>
        <w:t xml:space="preserve">исьменное свидетельство уполномоченных органов или уполномоченных организаций.</w:t>
      </w:r>
      <w:r/>
    </w:p>
    <w:p>
      <w:pPr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center"/>
        <w:spacing w:lineRule="auto" w:line="240"/>
        <w:rPr>
          <w:b/>
          <w:sz w:val="22"/>
          <w:szCs w:val="22"/>
        </w:rPr>
        <w:outlineLvl w:val="0"/>
      </w:pPr>
      <w:r>
        <w:rPr>
          <w:b/>
          <w:sz w:val="22"/>
          <w:szCs w:val="22"/>
          <w:lang w:val="en-US"/>
        </w:rPr>
        <w:t xml:space="preserve">I</w:t>
      </w:r>
      <w:r>
        <w:rPr>
          <w:b/>
          <w:sz w:val="22"/>
          <w:szCs w:val="22"/>
        </w:rPr>
        <w:t xml:space="preserve">X. Рассмотрение и разрешение споров</w:t>
      </w:r>
      <w:r/>
    </w:p>
    <w:p>
      <w:pPr>
        <w:contextualSpacing w:val="true"/>
        <w:ind w:firstLine="539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9.1. Все споры и разногласия, которые могут возникнуть из Договора между Сторонами, будут разрешаться путем переговоров, в том числе в прет</w:t>
      </w:r>
      <w:r>
        <w:rPr>
          <w:sz w:val="22"/>
          <w:szCs w:val="22"/>
        </w:rPr>
        <w:t xml:space="preserve">ензионном порядке.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9.2.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</w:t>
      </w:r>
      <w:r>
        <w:rPr>
          <w:sz w:val="22"/>
          <w:szCs w:val="22"/>
        </w:rPr>
        <w:t xml:space="preserve">стойки), а также действия, которые должны быть произведены Стороной для устранения нарушений.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9.3. Срок рассмотрения претензии не может превышать 5 (пять) дней. Переписка Сторон может осуществляться в виде писем или телеграмм, а в случаях направления телек</w:t>
      </w:r>
      <w:r>
        <w:rPr>
          <w:sz w:val="22"/>
          <w:szCs w:val="22"/>
        </w:rPr>
        <w:t xml:space="preserve">са, факса, иного электронного сообщения - с последующим предоставлением оригинала документа.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9.4. При не урегулировании Сторонами спора в досудебном порядке, спор разрешается в судебном порядке в Арбитражном суде Чувашской Республики.</w:t>
      </w:r>
      <w:r/>
    </w:p>
    <w:p>
      <w:pPr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center"/>
        <w:spacing w:lineRule="auto" w:line="240"/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X. Срок действия и порядок расторжения Договора</w:t>
      </w:r>
      <w:r/>
    </w:p>
    <w:p>
      <w:pPr>
        <w:contextualSpacing w:val="true"/>
        <w:ind w:firstLine="539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10.1. Договор вступает в силу с момента его подписания обеими Сторонами и действует до 31 декабря 2026 г. Окончание срока действия Договора не влечет прекращения неисполненных обязатель</w:t>
      </w:r>
      <w:r>
        <w:rPr>
          <w:sz w:val="22"/>
          <w:szCs w:val="22"/>
        </w:rPr>
        <w:t xml:space="preserve">ств Ст</w:t>
      </w:r>
      <w:r>
        <w:rPr>
          <w:sz w:val="22"/>
          <w:szCs w:val="22"/>
        </w:rPr>
        <w:t xml:space="preserve">орон по Договору,</w:t>
      </w:r>
      <w:r>
        <w:rPr>
          <w:sz w:val="22"/>
          <w:szCs w:val="22"/>
        </w:rPr>
        <w:t xml:space="preserve"> в том числе гарантийных обязательств Поставщика. </w:t>
      </w:r>
      <w:r/>
    </w:p>
    <w:p>
      <w:pPr>
        <w:contextualSpacing w:val="true"/>
        <w:ind w:firstLine="539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10.2.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</w:t>
      </w:r>
      <w:r>
        <w:rPr>
          <w:sz w:val="22"/>
          <w:szCs w:val="22"/>
        </w:rPr>
        <w:t xml:space="preserve">ерации.</w:t>
      </w:r>
      <w:r/>
    </w:p>
    <w:p>
      <w:pPr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jc w:val="center"/>
        <w:spacing w:lineRule="auto" w:line="240"/>
        <w:rPr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XI. Прочие положения</w:t>
      </w:r>
      <w:r>
        <w:rPr>
          <w:sz w:val="22"/>
          <w:szCs w:val="22"/>
        </w:rPr>
        <w:t xml:space="preserve"> </w:t>
      </w:r>
      <w:r/>
    </w:p>
    <w:p>
      <w:pPr>
        <w:contextualSpacing w:val="true"/>
        <w:ind w:firstLine="539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11.1. Во всем, что не предусмотрено Договором, Стороны руководствуются законодательством Российской Федерации.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11.2. В случае изменения у какой-либо из Сторон местонахождения, названия, а также в случае </w:t>
      </w:r>
      <w:r>
        <w:rPr>
          <w:sz w:val="22"/>
          <w:szCs w:val="22"/>
        </w:rPr>
        <w:t xml:space="preserve">реорганизации она обяз</w:t>
      </w:r>
      <w:r>
        <w:rPr>
          <w:sz w:val="22"/>
          <w:szCs w:val="22"/>
        </w:rPr>
        <w:t xml:space="preserve">ана в течение десяти дней письменно известить об этом другую Сторону.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11.3. 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</w:t>
      </w:r>
      <w:r>
        <w:rPr>
          <w:sz w:val="22"/>
          <w:szCs w:val="22"/>
        </w:rPr>
        <w:t xml:space="preserve">ьных соглашений к Договору, которые являются его неотъемлемой частью.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11.4. Изменение условий Договора при его исполнении не допускается, за исключением случаев, предусмотренных статьей 95 Федерального закона от 5 апреля 2013 г. N 44-ФЗ "О Договорной систе</w:t>
      </w:r>
      <w:r>
        <w:rPr>
          <w:sz w:val="22"/>
          <w:szCs w:val="22"/>
        </w:rPr>
        <w:t xml:space="preserve">ме в сфере закупок товаров, работ, услуг для обеспечения государственных и муниципальных нужд".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11.5. 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</w:t>
      </w:r>
      <w:r>
        <w:rPr>
          <w:sz w:val="22"/>
          <w:szCs w:val="22"/>
        </w:rPr>
        <w:t xml:space="preserve">рганизации юридического лица в форме преобразования, слияния или присоединения.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>
        <w:rPr>
          <w:sz w:val="22"/>
          <w:szCs w:val="22"/>
        </w:rPr>
        <w:t xml:space="preserve">11.6. Стороны обязуют</w:t>
      </w:r>
      <w:r>
        <w:rPr>
          <w:sz w:val="22"/>
          <w:szCs w:val="22"/>
        </w:rPr>
        <w:t xml:space="preserve">ся обеспечить конфиденциальность сведений, относящихся к предмету Договора, и ставших им известными в ходе исполнения Договора.</w:t>
      </w:r>
      <w:r/>
    </w:p>
    <w:p>
      <w:pPr>
        <w:contextualSpacing w:val="true"/>
        <w:ind w:firstLine="539"/>
        <w:spacing w:lineRule="auto" w:line="240" w:before="220"/>
        <w:rPr>
          <w:sz w:val="22"/>
          <w:szCs w:val="22"/>
        </w:rPr>
      </w:pPr>
      <w:r/>
      <w:bookmarkStart w:id="37" w:name="Par215"/>
      <w:r/>
      <w:bookmarkEnd w:id="37"/>
      <w:r>
        <w:rPr>
          <w:sz w:val="22"/>
          <w:szCs w:val="22"/>
        </w:rPr>
        <w:t xml:space="preserve">11.7. Договор составлен в  экземплярах, по одному для каждой из сторон.</w:t>
      </w:r>
      <w:r/>
    </w:p>
    <w:p>
      <w:pPr>
        <w:contextualSpacing w:val="true"/>
        <w:ind w:firstLine="539"/>
        <w:jc w:val="center"/>
        <w:spacing w:lineRule="auto" w:line="240" w:before="220"/>
        <w:rPr>
          <w:sz w:val="22"/>
          <w:szCs w:val="22"/>
        </w:rPr>
      </w:pPr>
      <w:r>
        <w:rPr>
          <w:b/>
          <w:sz w:val="22"/>
          <w:szCs w:val="22"/>
        </w:rPr>
        <w:t xml:space="preserve">XI</w:t>
      </w:r>
      <w:r>
        <w:rPr>
          <w:b/>
          <w:sz w:val="22"/>
          <w:szCs w:val="22"/>
          <w:lang w:val="en-US"/>
        </w:rPr>
        <w:t xml:space="preserve">I</w:t>
      </w:r>
      <w:r>
        <w:rPr>
          <w:b/>
          <w:sz w:val="22"/>
          <w:szCs w:val="22"/>
        </w:rPr>
        <w:t xml:space="preserve">. Перечень приложений</w:t>
      </w:r>
      <w:r/>
    </w:p>
    <w:p>
      <w:pPr>
        <w:contextualSpacing w:val="true"/>
        <w:ind w:firstLine="540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12.1. Неотъемлемой частью Догов</w:t>
      </w:r>
      <w:r>
        <w:rPr>
          <w:sz w:val="22"/>
          <w:szCs w:val="22"/>
        </w:rPr>
        <w:t xml:space="preserve">ора является следующее приложение: спецификация.</w:t>
      </w:r>
      <w:r/>
    </w:p>
    <w:p>
      <w:pPr>
        <w:jc w:val="center"/>
        <w:spacing w:lineRule="auto" w:line="240"/>
        <w:rPr>
          <w:sz w:val="22"/>
          <w:szCs w:val="22"/>
        </w:rPr>
        <w:outlineLvl w:val="0"/>
      </w:pPr>
      <w:r/>
      <w:bookmarkStart w:id="38" w:name="Par221"/>
      <w:r/>
      <w:bookmarkStart w:id="39" w:name="Par224"/>
      <w:r/>
      <w:bookmarkStart w:id="40" w:name="Par227"/>
      <w:r/>
      <w:bookmarkEnd w:id="38"/>
      <w:r/>
      <w:bookmarkEnd w:id="39"/>
      <w:r/>
      <w:bookmarkEnd w:id="40"/>
      <w:r/>
      <w:r/>
    </w:p>
    <w:p>
      <w:pPr>
        <w:jc w:val="center"/>
        <w:spacing w:lineRule="auto" w:line="240"/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X</w:t>
      </w:r>
      <w:r>
        <w:rPr>
          <w:b/>
          <w:sz w:val="22"/>
          <w:szCs w:val="22"/>
          <w:lang w:val="en-US"/>
        </w:rPr>
        <w:t xml:space="preserve">III</w:t>
      </w:r>
      <w:r>
        <w:rPr>
          <w:b/>
          <w:sz w:val="22"/>
          <w:szCs w:val="22"/>
        </w:rPr>
        <w:t xml:space="preserve">. Адреса и банковские реквизиты Сторон</w:t>
      </w:r>
      <w:r/>
    </w:p>
    <w:p>
      <w:pPr>
        <w:pStyle w:val="817"/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Заказчик: </w:t>
      </w:r>
      <w:r>
        <w:rPr>
          <w:sz w:val="22"/>
          <w:szCs w:val="22"/>
        </w:rPr>
        <w:t xml:space="preserve">Федеральное государственное бюджетное учреждение «Федеральный центр травматологии, ортопедии и </w:t>
      </w:r>
      <w:r>
        <w:rPr>
          <w:sz w:val="22"/>
          <w:szCs w:val="22"/>
        </w:rPr>
        <w:t xml:space="preserve">эндопротезирования</w:t>
      </w:r>
      <w:r>
        <w:rPr>
          <w:sz w:val="22"/>
          <w:szCs w:val="22"/>
        </w:rPr>
        <w:t xml:space="preserve">» Министерства здравоохранения Российско</w:t>
      </w:r>
      <w:r>
        <w:rPr>
          <w:sz w:val="22"/>
          <w:szCs w:val="22"/>
        </w:rPr>
        <w:t xml:space="preserve">й Федерации (</w:t>
      </w:r>
      <w:r>
        <w:rPr>
          <w:sz w:val="22"/>
          <w:szCs w:val="22"/>
        </w:rPr>
        <w:t xml:space="preserve">г</w:t>
      </w:r>
      <w:r>
        <w:rPr>
          <w:sz w:val="22"/>
          <w:szCs w:val="22"/>
        </w:rPr>
        <w:t xml:space="preserve">. Чебоксары)</w:t>
      </w:r>
      <w:r/>
    </w:p>
    <w:p>
      <w:pPr>
        <w:spacing w:lineRule="auto" w:line="240"/>
        <w:shd w:val="clear" w:fill="FFFFFF" w:color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ИНН </w:t>
      </w:r>
      <w:r>
        <w:rPr>
          <w:sz w:val="22"/>
          <w:szCs w:val="22"/>
        </w:rPr>
        <w:t xml:space="preserve">2130037189</w:t>
      </w:r>
      <w:r>
        <w:rPr>
          <w:b/>
          <w:bCs/>
          <w:sz w:val="22"/>
          <w:szCs w:val="22"/>
        </w:rPr>
        <w:t xml:space="preserve"> КПП </w:t>
      </w:r>
      <w:r>
        <w:rPr>
          <w:sz w:val="22"/>
          <w:szCs w:val="22"/>
        </w:rPr>
        <w:t xml:space="preserve">213001001</w:t>
      </w:r>
      <w:r/>
    </w:p>
    <w:p>
      <w:pPr>
        <w:spacing w:lineRule="auto" w:line="240"/>
        <w:shd w:val="clear" w:fill="FFFFFF" w:color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Юридический адрес:</w:t>
      </w:r>
      <w:r>
        <w:rPr>
          <w:sz w:val="22"/>
          <w:szCs w:val="22"/>
        </w:rPr>
        <w:t xml:space="preserve"> 428020, Чувашская Республика, </w:t>
      </w:r>
      <w:r>
        <w:rPr>
          <w:sz w:val="22"/>
          <w:szCs w:val="22"/>
        </w:rPr>
        <w:t xml:space="preserve">г</w:t>
      </w:r>
      <w:r>
        <w:rPr>
          <w:sz w:val="22"/>
          <w:szCs w:val="22"/>
        </w:rPr>
        <w:t xml:space="preserve">. Чебоксары, улица Фёдора Гладкова, д. 33.</w:t>
      </w:r>
      <w:r/>
    </w:p>
    <w:p>
      <w:pPr>
        <w:spacing w:lineRule="auto" w:line="240"/>
        <w:shd w:val="clear" w:fill="FFFFFF" w:color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Фактический адрес:</w:t>
      </w:r>
      <w:r>
        <w:rPr>
          <w:sz w:val="22"/>
          <w:szCs w:val="22"/>
        </w:rPr>
        <w:t xml:space="preserve"> 428020, Чувашская Республика, </w:t>
      </w:r>
      <w:r>
        <w:rPr>
          <w:sz w:val="22"/>
          <w:szCs w:val="22"/>
        </w:rPr>
        <w:t xml:space="preserve">г</w:t>
      </w:r>
      <w:r>
        <w:rPr>
          <w:sz w:val="22"/>
          <w:szCs w:val="22"/>
        </w:rPr>
        <w:t xml:space="preserve">. Чебоксары, улица Фёдора Гладкова, д. 33.</w:t>
      </w:r>
      <w:r/>
    </w:p>
    <w:p>
      <w:pPr>
        <w:spacing w:lineRule="auto" w:line="240"/>
        <w:shd w:val="clear" w:fill="FFFFFF" w:color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Реквизиты счета</w:t>
      </w:r>
      <w:r>
        <w:rPr>
          <w:sz w:val="22"/>
          <w:szCs w:val="22"/>
        </w:rPr>
        <w:t xml:space="preserve">: Получатель:</w:t>
      </w:r>
      <w:r>
        <w:rPr>
          <w:b/>
          <w:bCs/>
          <w:sz w:val="22"/>
          <w:szCs w:val="22"/>
        </w:rPr>
        <w:t xml:space="preserve"> </w:t>
      </w:r>
      <w:r>
        <w:rPr>
          <w:sz w:val="22"/>
          <w:szCs w:val="22"/>
        </w:rPr>
        <w:t xml:space="preserve">УФК по Нижегородской области (ФГБУ "ФЦТОЭ" Минздрава России (</w:t>
      </w:r>
      <w:r>
        <w:rPr>
          <w:sz w:val="22"/>
          <w:szCs w:val="22"/>
        </w:rPr>
        <w:t xml:space="preserve">г</w:t>
      </w:r>
      <w:r>
        <w:rPr>
          <w:sz w:val="22"/>
          <w:szCs w:val="22"/>
        </w:rPr>
        <w:t xml:space="preserve">. Чебоксары),</w:t>
      </w:r>
      <w:r>
        <w:rPr>
          <w:b/>
          <w:bCs/>
          <w:sz w:val="22"/>
          <w:szCs w:val="22"/>
        </w:rPr>
        <w:t xml:space="preserve"> </w:t>
      </w:r>
      <w:r>
        <w:rPr>
          <w:sz w:val="22"/>
          <w:szCs w:val="22"/>
        </w:rPr>
        <w:t xml:space="preserve"> л/с 20156У38970).</w:t>
      </w:r>
      <w:r/>
    </w:p>
    <w:p>
      <w:pPr>
        <w:spacing w:lineRule="auto" w:line="240"/>
        <w:shd w:val="clear" w:fill="FFFFFF" w:color="auto"/>
        <w:rPr>
          <w:sz w:val="22"/>
          <w:szCs w:val="22"/>
        </w:rPr>
      </w:pPr>
      <w:r>
        <w:rPr>
          <w:sz w:val="22"/>
          <w:szCs w:val="22"/>
        </w:rPr>
        <w:t xml:space="preserve">Казначейский счет: 03214643000000013201,</w:t>
      </w:r>
      <w:r/>
    </w:p>
    <w:p>
      <w:pPr>
        <w:spacing w:lineRule="auto" w:line="240"/>
        <w:shd w:val="clear" w:fill="FFFFFF" w:color="auto"/>
        <w:rPr>
          <w:sz w:val="22"/>
          <w:szCs w:val="22"/>
        </w:rPr>
      </w:pPr>
      <w:r>
        <w:rPr>
          <w:sz w:val="22"/>
          <w:szCs w:val="22"/>
        </w:rPr>
        <w:t xml:space="preserve">Банк получателя:</w:t>
      </w:r>
      <w:r>
        <w:rPr>
          <w:b/>
          <w:bCs/>
          <w:sz w:val="22"/>
          <w:szCs w:val="22"/>
        </w:rPr>
        <w:t xml:space="preserve"> </w:t>
      </w:r>
      <w:r>
        <w:rPr>
          <w:sz w:val="22"/>
          <w:szCs w:val="22"/>
        </w:rPr>
        <w:t xml:space="preserve">ОКЦ № 1 ВВГУ Банка России//УФК по Нижегородской области, </w:t>
      </w:r>
      <w:r>
        <w:rPr>
          <w:sz w:val="22"/>
          <w:szCs w:val="22"/>
        </w:rPr>
        <w:t xml:space="preserve">г</w:t>
      </w:r>
      <w:r>
        <w:rPr>
          <w:sz w:val="22"/>
          <w:szCs w:val="22"/>
        </w:rPr>
        <w:t xml:space="preserve">. Нижний Новгоро</w:t>
      </w:r>
      <w:r>
        <w:rPr>
          <w:sz w:val="22"/>
          <w:szCs w:val="22"/>
        </w:rPr>
        <w:t xml:space="preserve">д,</w:t>
      </w:r>
      <w:r/>
    </w:p>
    <w:p>
      <w:pPr>
        <w:spacing w:lineRule="auto" w:line="240"/>
        <w:shd w:val="clear" w:fill="FFFFFF" w:color="auto"/>
        <w:rPr>
          <w:sz w:val="22"/>
          <w:szCs w:val="22"/>
        </w:rPr>
      </w:pPr>
      <w:r>
        <w:rPr>
          <w:sz w:val="22"/>
          <w:szCs w:val="22"/>
        </w:rPr>
        <w:t xml:space="preserve">Корреспондентский счет: 40102810745370000024,</w:t>
      </w:r>
      <w:r/>
    </w:p>
    <w:p>
      <w:pPr>
        <w:pStyle w:val="817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БИК: 012202102, Код ТОФК 1500</w:t>
      </w:r>
      <w:r/>
    </w:p>
    <w:p>
      <w:pPr>
        <w:spacing w:lineRule="auto" w:line="240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spacing w:lineRule="auto" w:line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Поставщик: </w:t>
      </w:r>
      <w:r/>
    </w:p>
    <w:p>
      <w:pPr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ИНН:  КПП: </w:t>
      </w:r>
      <w:r/>
    </w:p>
    <w:p>
      <w:pPr>
        <w:spacing w:lineRule="auto" w:line="240"/>
        <w:rPr>
          <w:sz w:val="22"/>
          <w:szCs w:val="22"/>
        </w:rPr>
      </w:pPr>
      <w:r>
        <w:rPr>
          <w:b/>
          <w:sz w:val="22"/>
          <w:szCs w:val="22"/>
        </w:rPr>
        <w:t xml:space="preserve">Юридический адрес:</w:t>
      </w:r>
      <w:r>
        <w:rPr>
          <w:sz w:val="22"/>
          <w:szCs w:val="22"/>
        </w:rPr>
        <w:t xml:space="preserve"> </w:t>
      </w:r>
      <w:r/>
    </w:p>
    <w:p>
      <w:pPr>
        <w:spacing w:lineRule="auto" w:line="240"/>
        <w:rPr>
          <w:sz w:val="22"/>
          <w:szCs w:val="22"/>
        </w:rPr>
      </w:pPr>
      <w:r>
        <w:rPr>
          <w:b/>
          <w:sz w:val="22"/>
          <w:szCs w:val="22"/>
        </w:rPr>
        <w:t xml:space="preserve">Почтовый адрес: </w:t>
      </w:r>
      <w:r>
        <w:rPr>
          <w:sz w:val="22"/>
          <w:szCs w:val="22"/>
        </w:rPr>
        <w:t xml:space="preserve"> </w:t>
      </w:r>
      <w:r/>
    </w:p>
    <w:p>
      <w:pPr>
        <w:spacing w:lineRule="auto" w:line="240"/>
        <w:rPr>
          <w:sz w:val="22"/>
          <w:szCs w:val="22"/>
        </w:rPr>
      </w:pPr>
      <w:r>
        <w:rPr>
          <w:b/>
          <w:sz w:val="22"/>
          <w:szCs w:val="22"/>
        </w:rPr>
        <w:t xml:space="preserve">Телефон</w:t>
      </w:r>
      <w:r>
        <w:rPr>
          <w:b/>
          <w:sz w:val="22"/>
          <w:szCs w:val="22"/>
        </w:rPr>
        <w:t xml:space="preserve">    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факс: </w:t>
      </w:r>
      <w:r/>
    </w:p>
    <w:p>
      <w:pPr>
        <w:spacing w:lineRule="auto" w:line="240"/>
        <w:rPr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</w:t>
      </w:r>
      <w:r>
        <w:rPr>
          <w:sz w:val="22"/>
          <w:szCs w:val="22"/>
        </w:rPr>
        <w:t xml:space="preserve"> </w:t>
      </w:r>
      <w:r/>
    </w:p>
    <w:p>
      <w:pPr>
        <w:spacing w:lineRule="auto" w:line="240"/>
        <w:rPr>
          <w:sz w:val="22"/>
          <w:szCs w:val="22"/>
        </w:rPr>
      </w:pPr>
      <w:r>
        <w:rPr>
          <w:b/>
          <w:sz w:val="22"/>
          <w:szCs w:val="22"/>
        </w:rPr>
        <w:t xml:space="preserve">Банковские реквизиты: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</w:t>
      </w:r>
      <w:r>
        <w:rPr>
          <w:sz w:val="22"/>
          <w:szCs w:val="22"/>
        </w:rPr>
        <w:t xml:space="preserve">/</w:t>
      </w:r>
      <w:r>
        <w:rPr>
          <w:sz w:val="22"/>
          <w:szCs w:val="22"/>
        </w:rPr>
        <w:t xml:space="preserve">сч</w:t>
      </w:r>
      <w:r>
        <w:rPr>
          <w:sz w:val="22"/>
          <w:szCs w:val="22"/>
        </w:rPr>
        <w:t xml:space="preserve">. </w:t>
      </w:r>
      <w:r/>
    </w:p>
    <w:p>
      <w:pPr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БИК</w:t>
      </w:r>
      <w:r/>
    </w:p>
    <w:p>
      <w:pPr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к/</w:t>
      </w:r>
      <w:r>
        <w:rPr>
          <w:sz w:val="22"/>
          <w:szCs w:val="22"/>
        </w:rPr>
        <w:t xml:space="preserve">сч</w:t>
      </w:r>
      <w:r>
        <w:rPr>
          <w:sz w:val="22"/>
          <w:szCs w:val="22"/>
        </w:rPr>
        <w:t xml:space="preserve">. </w:t>
      </w:r>
      <w:r/>
    </w:p>
    <w:p>
      <w:pPr>
        <w:spacing w:lineRule="auto" w:line="24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ОКПО </w:t>
      </w:r>
      <w:r/>
    </w:p>
    <w:p>
      <w:pPr>
        <w:jc w:val="center"/>
        <w:spacing w:lineRule="auto" w:line="240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ПОДПИСИ СТОРОН</w:t>
      </w:r>
      <w:r/>
    </w:p>
    <w:tbl>
      <w:tblPr>
        <w:tblW w:w="1026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305"/>
        <w:gridCol w:w="4961"/>
      </w:tblGrid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16"/>
              <w:jc w:val="center"/>
              <w:widowControl w:val="o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ЗАКАЗЧИК: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16"/>
              <w:jc w:val="center"/>
              <w:widowControl w:val="off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ПОСТАВЩИК:</w:t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16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16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16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_________________А.Н. Деверинский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16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___________________/____________</w:t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16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16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textDirection w:val="lrTb"/>
            <w:noWrap w:val="false"/>
          </w:tcPr>
          <w:p>
            <w:pPr>
              <w:pStyle w:val="816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textDirection w:val="lrTb"/>
            <w:noWrap w:val="false"/>
          </w:tcPr>
          <w:p>
            <w:pPr>
              <w:pStyle w:val="816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16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16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</w:tr>
    </w:tbl>
    <w:p>
      <w:pPr>
        <w:jc w:val="left"/>
        <w:spacing w:lineRule="auto" w:line="276" w:after="200"/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  <w:r/>
    </w:p>
    <w:p>
      <w:pPr>
        <w:jc w:val="right"/>
        <w:spacing w:lineRule="auto" w:line="240"/>
        <w:rPr>
          <w:sz w:val="22"/>
          <w:szCs w:val="22"/>
        </w:rPr>
        <w:outlineLvl w:val="0"/>
      </w:pPr>
      <w:r>
        <w:rPr>
          <w:sz w:val="22"/>
          <w:szCs w:val="22"/>
        </w:rPr>
        <w:t xml:space="preserve">Приложение </w:t>
      </w:r>
      <w:r/>
    </w:p>
    <w:p>
      <w:pPr>
        <w:jc w:val="right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к Договору </w:t>
      </w:r>
      <w:r>
        <w:rPr>
          <w:sz w:val="22"/>
          <w:szCs w:val="22"/>
        </w:rPr>
        <w:t xml:space="preserve">№ </w:t>
      </w:r>
      <w:r>
        <w:rPr>
          <w:sz w:val="22"/>
          <w:szCs w:val="22"/>
        </w:rPr>
        <w:t xml:space="preserve">860</w:t>
      </w:r>
      <w:r/>
      <w:r>
        <w:rPr>
          <w:sz w:val="22"/>
          <w:szCs w:val="22"/>
        </w:rPr>
      </w:r>
      <w:r/>
    </w:p>
    <w:p>
      <w:pPr>
        <w:jc w:val="right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от ___________ 2026 г. </w:t>
      </w:r>
      <w:r/>
    </w:p>
    <w:p>
      <w:pPr>
        <w:jc w:val="center"/>
        <w:spacing w:lineRule="auto" w:line="240"/>
        <w:rPr>
          <w:b/>
          <w:sz w:val="22"/>
          <w:szCs w:val="22"/>
        </w:rPr>
      </w:pPr>
      <w:r/>
      <w:bookmarkStart w:id="41" w:name="Par493"/>
      <w:r/>
      <w:bookmarkEnd w:id="41"/>
      <w:r>
        <w:rPr>
          <w:b/>
          <w:sz w:val="22"/>
          <w:szCs w:val="22"/>
        </w:rPr>
        <w:t xml:space="preserve">Спецификация</w:t>
      </w:r>
      <w:r/>
    </w:p>
    <w:p>
      <w:pPr>
        <w:jc w:val="center"/>
        <w:spacing w:lineRule="auto" w:line="240"/>
        <w:rPr>
          <w:b/>
          <w:sz w:val="22"/>
          <w:szCs w:val="22"/>
        </w:rPr>
      </w:pPr>
      <w:r>
        <w:rPr>
          <w:b/>
          <w:sz w:val="22"/>
          <w:szCs w:val="22"/>
        </w:rPr>
      </w:r>
      <w:r/>
    </w:p>
    <w:p>
      <w:pPr>
        <w:jc w:val="center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на поставку </w:t>
      </w:r>
      <w:r>
        <w:rPr>
          <w:sz w:val="22"/>
          <w:szCs w:val="22"/>
        </w:rPr>
        <w:t xml:space="preserve">оборудования для столовой</w:t>
      </w:r>
      <w:r>
        <w:rPr>
          <w:sz w:val="22"/>
          <w:szCs w:val="22"/>
        </w:rPr>
        <w:t xml:space="preserve"> </w:t>
      </w:r>
      <w:r/>
    </w:p>
    <w:p>
      <w:pPr>
        <w:jc w:val="center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tbl>
      <w:tblPr>
        <w:tblW w:w="102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7"/>
        <w:gridCol w:w="4652"/>
        <w:gridCol w:w="668"/>
        <w:gridCol w:w="1317"/>
        <w:gridCol w:w="494"/>
        <w:gridCol w:w="1163"/>
        <w:gridCol w:w="1522"/>
      </w:tblGrid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  <w:t xml:space="preserve">п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5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товара, конкретные характеристики 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измерения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за единицу (руб.), включая НДС </w:t>
            </w:r>
            <w:r>
              <w:rPr>
                <w:i/>
                <w:sz w:val="22"/>
                <w:szCs w:val="22"/>
              </w:rPr>
              <w:t xml:space="preserve">(если облагается)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(руб.), включая НДС </w:t>
            </w:r>
            <w:r>
              <w:rPr>
                <w:i/>
                <w:sz w:val="22"/>
                <w:szCs w:val="22"/>
              </w:rPr>
              <w:t xml:space="preserve">(если облагается)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Торговая марка/</w:t>
            </w:r>
            <w:r/>
          </w:p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происхождения товара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52" w:type="dxa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52" w:type="dxa"/>
            <w:vAlign w:val="center"/>
            <w:textDirection w:val="lrTb"/>
            <w:noWrap w:val="false"/>
          </w:tcPr>
          <w:p>
            <w:pPr>
              <w:jc w:val="left"/>
              <w:spacing w:lineRule="auto" w:lin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Планетарный миксер </w:t>
            </w:r>
            <w:r>
              <w:rPr>
                <w:b/>
                <w:sz w:val="22"/>
                <w:szCs w:val="22"/>
              </w:rPr>
              <w:t xml:space="preserve">KitchenAid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Heavy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Duty</w:t>
            </w:r>
            <w:r/>
          </w:p>
          <w:p>
            <w:pPr>
              <w:jc w:val="left"/>
              <w:spacing w:lineRule="auto" w:line="2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Установка: </w:t>
            </w:r>
            <w:r>
              <w:rPr>
                <w:sz w:val="22"/>
                <w:szCs w:val="22"/>
              </w:rPr>
              <w:t xml:space="preserve">Настольный</w:t>
            </w:r>
            <w:r/>
          </w:p>
          <w:p>
            <w:pPr>
              <w:jc w:val="left"/>
              <w:spacing w:lineRule="auto" w:line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Объем </w:t>
            </w:r>
            <w:r>
              <w:rPr>
                <w:b/>
                <w:sz w:val="22"/>
                <w:szCs w:val="22"/>
              </w:rPr>
              <w:t xml:space="preserve">дежи</w:t>
            </w:r>
            <w:r>
              <w:rPr>
                <w:b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6,6л;</w:t>
            </w:r>
            <w:r/>
          </w:p>
          <w:p>
            <w:pPr>
              <w:jc w:val="left"/>
              <w:spacing w:lineRule="auto" w:line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Число скоростей: </w:t>
            </w:r>
            <w:r>
              <w:rPr>
                <w:sz w:val="22"/>
                <w:szCs w:val="22"/>
              </w:rPr>
              <w:t xml:space="preserve">11</w:t>
            </w:r>
            <w:r/>
          </w:p>
          <w:p>
            <w:pPr>
              <w:jc w:val="left"/>
              <w:spacing w:lineRule="auto" w:line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Мощность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0,375 </w:t>
            </w:r>
            <w:r>
              <w:rPr>
                <w:sz w:val="22"/>
                <w:szCs w:val="22"/>
              </w:rPr>
              <w:t xml:space="preserve">кВт;</w:t>
            </w:r>
            <w:r/>
          </w:p>
          <w:p>
            <w:pPr>
              <w:jc w:val="left"/>
              <w:spacing w:lineRule="auto" w:line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Напряжени</w:t>
            </w:r>
            <w:r>
              <w:rPr>
                <w:sz w:val="22"/>
                <w:szCs w:val="22"/>
              </w:rPr>
              <w:t xml:space="preserve">е: 230В;</w:t>
            </w:r>
            <w:r/>
          </w:p>
          <w:p>
            <w:pPr>
              <w:jc w:val="left"/>
              <w:spacing w:lineRule="auto" w:line="2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Скорость вращения венчика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58 до220об/мин.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шт.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США</w:t>
            </w:r>
            <w:r/>
          </w:p>
        </w:tc>
      </w:tr>
      <w:tr>
        <w:trPr>
          <w:trHeight w:val="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52" w:type="dxa"/>
            <w:vAlign w:val="center"/>
            <w:textDirection w:val="lrTb"/>
            <w:noWrap w:val="false"/>
          </w:tcPr>
          <w:p>
            <w:pPr>
              <w:spacing w:lineRule="auto" w:line="24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</w:tbl>
    <w:p>
      <w:pPr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firstLine="708"/>
        <w:spacing w:lineRule="auto" w:line="240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Гарантия Поставщика на поставленный товар составляет 12 месяцев. Гарантийный срок начинает исчисляться со дня подписания Сторонами документов о приемке. </w:t>
      </w:r>
      <w:r/>
    </w:p>
    <w:p>
      <w:pPr>
        <w:ind w:firstLine="708"/>
        <w:spacing w:lineRule="auto" w:line="240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tbl>
      <w:tblPr>
        <w:tblW w:w="1026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305"/>
        <w:gridCol w:w="4961"/>
      </w:tblGrid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16"/>
              <w:jc w:val="center"/>
              <w:widowControl w:val="off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ЗАКАЗЧИК: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16"/>
              <w:jc w:val="center"/>
              <w:widowControl w:val="off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ПОСТАВЩИК: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16"/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16"/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5305" w:type="dxa"/>
            <w:vAlign w:val="center"/>
            <w:textDirection w:val="lrTb"/>
            <w:noWrap w:val="false"/>
          </w:tcPr>
          <w:p>
            <w:pPr>
              <w:pStyle w:val="816"/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_________________А.Н. Деверинский</w:t>
            </w: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Style w:val="816"/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___________________/____________</w:t>
            </w:r>
            <w:r>
              <w:rPr>
                <w:rFonts w:ascii="Times New Roman" w:hAnsi="Times New Roman"/>
                <w:sz w:val="22"/>
                <w:szCs w:val="22"/>
              </w:rPr>
            </w:r>
            <w:r/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</w:r>
      <w:r/>
    </w:p>
    <w:sectPr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3">
    <w:name w:val="Title Char"/>
    <w:basedOn w:val="636"/>
    <w:link w:val="658"/>
    <w:uiPriority w:val="10"/>
    <w:rPr>
      <w:sz w:val="48"/>
      <w:szCs w:val="48"/>
    </w:rPr>
  </w:style>
  <w:style w:type="character" w:styleId="35">
    <w:name w:val="Subtitle Char"/>
    <w:basedOn w:val="636"/>
    <w:link w:val="660"/>
    <w:uiPriority w:val="11"/>
    <w:rPr>
      <w:sz w:val="24"/>
      <w:szCs w:val="24"/>
    </w:rPr>
  </w:style>
  <w:style w:type="character" w:styleId="39">
    <w:name w:val="Intense Quote Char"/>
    <w:link w:val="662"/>
    <w:uiPriority w:val="30"/>
    <w:rPr>
      <w:i/>
    </w:rPr>
  </w:style>
  <w:style w:type="character" w:styleId="174">
    <w:name w:val="Footnote Text Char"/>
    <w:link w:val="797"/>
    <w:uiPriority w:val="99"/>
    <w:rPr>
      <w:sz w:val="18"/>
    </w:rPr>
  </w:style>
  <w:style w:type="character" w:styleId="177">
    <w:name w:val="Endnote Text Char"/>
    <w:link w:val="800"/>
    <w:uiPriority w:val="99"/>
    <w:rPr>
      <w:sz w:val="20"/>
    </w:rPr>
  </w:style>
  <w:style w:type="paragraph" w:styleId="634" w:default="1">
    <w:name w:val="Normal"/>
    <w:qFormat/>
    <w:rPr>
      <w:rFonts w:ascii="Times New Roman" w:hAnsi="Times New Roman" w:cs="Times New Roman" w:eastAsia="Times New Roman"/>
      <w:color w:val="000000"/>
      <w:sz w:val="18"/>
      <w:szCs w:val="20"/>
      <w:lang w:eastAsia="ru-RU"/>
    </w:rPr>
    <w:pPr>
      <w:jc w:val="both"/>
      <w:spacing w:lineRule="atLeast" w:line="360" w:after="0"/>
      <w:widowControl w:val="off"/>
    </w:pPr>
  </w:style>
  <w:style w:type="paragraph" w:styleId="635">
    <w:name w:val="Heading 1"/>
    <w:basedOn w:val="634"/>
    <w:link w:val="825"/>
    <w:qFormat/>
    <w:uiPriority w:val="9"/>
    <w:rPr>
      <w:b/>
      <w:bCs/>
      <w:color w:val="auto"/>
      <w:sz w:val="48"/>
      <w:szCs w:val="48"/>
    </w:rPr>
    <w:pPr>
      <w:jc w:val="left"/>
      <w:spacing w:lineRule="auto" w:line="240" w:after="100" w:afterAutospacing="1" w:before="100" w:beforeAutospacing="1"/>
      <w:widowControl/>
      <w:outlineLvl w:val="0"/>
    </w:pPr>
  </w:style>
  <w:style w:type="character" w:styleId="636" w:default="1">
    <w:name w:val="Default Paragraph Font"/>
    <w:uiPriority w:val="1"/>
    <w:semiHidden/>
    <w:unhideWhenUsed/>
  </w:style>
  <w:style w:type="table" w:styleId="637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8" w:default="1">
    <w:name w:val="No List"/>
    <w:uiPriority w:val="99"/>
    <w:semiHidden/>
    <w:unhideWhenUsed/>
  </w:style>
  <w:style w:type="paragraph" w:styleId="639" w:customStyle="1">
    <w:name w:val="Heading 1"/>
    <w:basedOn w:val="634"/>
    <w:next w:val="634"/>
    <w:link w:val="64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40" w:customStyle="1">
    <w:name w:val="Heading 1 Char"/>
    <w:basedOn w:val="636"/>
    <w:link w:val="639"/>
    <w:uiPriority w:val="9"/>
    <w:rPr>
      <w:rFonts w:ascii="Arial" w:hAnsi="Arial" w:cs="Arial" w:eastAsia="Arial"/>
      <w:sz w:val="40"/>
      <w:szCs w:val="40"/>
    </w:rPr>
  </w:style>
  <w:style w:type="character" w:styleId="641" w:customStyle="1">
    <w:name w:val="Heading 2 Char"/>
    <w:basedOn w:val="636"/>
    <w:link w:val="814"/>
    <w:uiPriority w:val="9"/>
    <w:rPr>
      <w:rFonts w:ascii="Arial" w:hAnsi="Arial" w:cs="Arial" w:eastAsia="Arial"/>
      <w:sz w:val="34"/>
    </w:rPr>
  </w:style>
  <w:style w:type="paragraph" w:styleId="642" w:customStyle="1">
    <w:name w:val="Heading 3"/>
    <w:basedOn w:val="634"/>
    <w:next w:val="634"/>
    <w:link w:val="64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3" w:customStyle="1">
    <w:name w:val="Heading 3 Char"/>
    <w:basedOn w:val="636"/>
    <w:link w:val="642"/>
    <w:uiPriority w:val="9"/>
    <w:rPr>
      <w:rFonts w:ascii="Arial" w:hAnsi="Arial" w:cs="Arial" w:eastAsia="Arial"/>
      <w:sz w:val="30"/>
      <w:szCs w:val="30"/>
    </w:rPr>
  </w:style>
  <w:style w:type="paragraph" w:styleId="644" w:customStyle="1">
    <w:name w:val="Heading 4"/>
    <w:basedOn w:val="634"/>
    <w:next w:val="634"/>
    <w:link w:val="64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5" w:customStyle="1">
    <w:name w:val="Heading 4 Char"/>
    <w:basedOn w:val="636"/>
    <w:link w:val="644"/>
    <w:uiPriority w:val="9"/>
    <w:rPr>
      <w:rFonts w:ascii="Arial" w:hAnsi="Arial" w:cs="Arial" w:eastAsia="Arial"/>
      <w:b/>
      <w:bCs/>
      <w:sz w:val="26"/>
      <w:szCs w:val="26"/>
    </w:rPr>
  </w:style>
  <w:style w:type="paragraph" w:styleId="646" w:customStyle="1">
    <w:name w:val="Heading 5"/>
    <w:basedOn w:val="634"/>
    <w:next w:val="634"/>
    <w:link w:val="64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7" w:customStyle="1">
    <w:name w:val="Heading 5 Char"/>
    <w:basedOn w:val="636"/>
    <w:link w:val="646"/>
    <w:uiPriority w:val="9"/>
    <w:rPr>
      <w:rFonts w:ascii="Arial" w:hAnsi="Arial" w:cs="Arial" w:eastAsia="Arial"/>
      <w:b/>
      <w:bCs/>
      <w:sz w:val="24"/>
      <w:szCs w:val="24"/>
    </w:rPr>
  </w:style>
  <w:style w:type="paragraph" w:styleId="648" w:customStyle="1">
    <w:name w:val="Heading 6"/>
    <w:basedOn w:val="634"/>
    <w:next w:val="634"/>
    <w:link w:val="64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9" w:customStyle="1">
    <w:name w:val="Heading 6 Char"/>
    <w:basedOn w:val="636"/>
    <w:link w:val="648"/>
    <w:uiPriority w:val="9"/>
    <w:rPr>
      <w:rFonts w:ascii="Arial" w:hAnsi="Arial" w:cs="Arial" w:eastAsia="Arial"/>
      <w:b/>
      <w:bCs/>
      <w:sz w:val="22"/>
      <w:szCs w:val="22"/>
    </w:rPr>
  </w:style>
  <w:style w:type="paragraph" w:styleId="650" w:customStyle="1">
    <w:name w:val="Heading 7"/>
    <w:basedOn w:val="634"/>
    <w:next w:val="634"/>
    <w:link w:val="65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51" w:customStyle="1">
    <w:name w:val="Heading 7 Char"/>
    <w:basedOn w:val="636"/>
    <w:link w:val="65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2" w:customStyle="1">
    <w:name w:val="Heading 8"/>
    <w:basedOn w:val="634"/>
    <w:next w:val="634"/>
    <w:link w:val="65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3" w:customStyle="1">
    <w:name w:val="Heading 8 Char"/>
    <w:basedOn w:val="636"/>
    <w:link w:val="652"/>
    <w:uiPriority w:val="9"/>
    <w:rPr>
      <w:rFonts w:ascii="Arial" w:hAnsi="Arial" w:cs="Arial" w:eastAsia="Arial"/>
      <w:i/>
      <w:iCs/>
      <w:sz w:val="22"/>
      <w:szCs w:val="22"/>
    </w:rPr>
  </w:style>
  <w:style w:type="paragraph" w:styleId="654" w:customStyle="1">
    <w:name w:val="Heading 9"/>
    <w:basedOn w:val="634"/>
    <w:next w:val="634"/>
    <w:link w:val="65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5" w:customStyle="1">
    <w:name w:val="Heading 9 Char"/>
    <w:basedOn w:val="636"/>
    <w:link w:val="654"/>
    <w:uiPriority w:val="9"/>
    <w:rPr>
      <w:rFonts w:ascii="Arial" w:hAnsi="Arial" w:cs="Arial" w:eastAsia="Arial"/>
      <w:i/>
      <w:iCs/>
      <w:sz w:val="21"/>
      <w:szCs w:val="21"/>
    </w:rPr>
  </w:style>
  <w:style w:type="paragraph" w:styleId="656">
    <w:name w:val="List Paragraph"/>
    <w:basedOn w:val="634"/>
    <w:qFormat/>
    <w:uiPriority w:val="34"/>
    <w:pPr>
      <w:contextualSpacing w:val="true"/>
      <w:ind w:left="720"/>
    </w:pPr>
  </w:style>
  <w:style w:type="paragraph" w:styleId="657">
    <w:name w:val="No Spacing"/>
    <w:qFormat/>
    <w:uiPriority w:val="1"/>
    <w:pPr>
      <w:spacing w:lineRule="auto" w:line="240" w:after="0"/>
    </w:pPr>
  </w:style>
  <w:style w:type="paragraph" w:styleId="658">
    <w:name w:val="Title"/>
    <w:basedOn w:val="634"/>
    <w:next w:val="634"/>
    <w:link w:val="65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9" w:customStyle="1">
    <w:name w:val="Название Знак"/>
    <w:basedOn w:val="636"/>
    <w:link w:val="658"/>
    <w:uiPriority w:val="10"/>
    <w:rPr>
      <w:sz w:val="48"/>
      <w:szCs w:val="48"/>
    </w:rPr>
  </w:style>
  <w:style w:type="paragraph" w:styleId="660">
    <w:name w:val="Subtitle"/>
    <w:basedOn w:val="634"/>
    <w:next w:val="634"/>
    <w:link w:val="661"/>
    <w:qFormat/>
    <w:uiPriority w:val="11"/>
    <w:rPr>
      <w:sz w:val="24"/>
      <w:szCs w:val="24"/>
    </w:rPr>
    <w:pPr>
      <w:spacing w:after="200" w:before="200"/>
    </w:pPr>
  </w:style>
  <w:style w:type="character" w:styleId="661" w:customStyle="1">
    <w:name w:val="Подзаголовок Знак"/>
    <w:basedOn w:val="636"/>
    <w:link w:val="660"/>
    <w:uiPriority w:val="11"/>
    <w:rPr>
      <w:sz w:val="24"/>
      <w:szCs w:val="24"/>
    </w:rPr>
  </w:style>
  <w:style w:type="paragraph" w:styleId="662">
    <w:name w:val="Intense Quote"/>
    <w:basedOn w:val="634"/>
    <w:next w:val="634"/>
    <w:link w:val="663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3" w:customStyle="1">
    <w:name w:val="Выделенная цитата Знак"/>
    <w:link w:val="662"/>
    <w:uiPriority w:val="30"/>
    <w:rPr>
      <w:i/>
    </w:rPr>
  </w:style>
  <w:style w:type="paragraph" w:styleId="664" w:customStyle="1">
    <w:name w:val="Header"/>
    <w:basedOn w:val="634"/>
    <w:link w:val="665"/>
    <w:uiPriority w:val="99"/>
    <w:unhideWhenUsed/>
    <w:pPr>
      <w:spacing w:lineRule="auto" w:line="240"/>
      <w:tabs>
        <w:tab w:val="center" w:pos="7143" w:leader="none"/>
        <w:tab w:val="right" w:pos="14287" w:leader="none"/>
      </w:tabs>
    </w:pPr>
  </w:style>
  <w:style w:type="character" w:styleId="665" w:customStyle="1">
    <w:name w:val="Header Char"/>
    <w:basedOn w:val="636"/>
    <w:link w:val="664"/>
    <w:uiPriority w:val="99"/>
  </w:style>
  <w:style w:type="paragraph" w:styleId="666" w:customStyle="1">
    <w:name w:val="Footer"/>
    <w:basedOn w:val="634"/>
    <w:link w:val="669"/>
    <w:uiPriority w:val="99"/>
    <w:unhideWhenUsed/>
    <w:pPr>
      <w:spacing w:lineRule="auto" w:line="240"/>
      <w:tabs>
        <w:tab w:val="center" w:pos="7143" w:leader="none"/>
        <w:tab w:val="right" w:pos="14287" w:leader="none"/>
      </w:tabs>
    </w:pPr>
  </w:style>
  <w:style w:type="character" w:styleId="667" w:customStyle="1">
    <w:name w:val="Footer Char"/>
    <w:basedOn w:val="636"/>
    <w:link w:val="666"/>
    <w:uiPriority w:val="99"/>
  </w:style>
  <w:style w:type="paragraph" w:styleId="668" w:customStyle="1">
    <w:name w:val="Caption"/>
    <w:basedOn w:val="634"/>
    <w:next w:val="63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9" w:customStyle="1">
    <w:name w:val="Caption Char"/>
    <w:link w:val="666"/>
    <w:uiPriority w:val="99"/>
  </w:style>
  <w:style w:type="table" w:styleId="670">
    <w:name w:val="Table Grid"/>
    <w:basedOn w:val="63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 w:customStyle="1">
    <w:name w:val="Table Grid Light"/>
    <w:basedOn w:val="637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 w:customStyle="1">
    <w:name w:val="Plain Table 1"/>
    <w:basedOn w:val="637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auto" w:themeColor="text1" w:themeTint="00"/>
      </w:tcPr>
    </w:tblStylePr>
    <w:tblStylePr w:type="band1Vert">
      <w:tcPr>
        <w:shd w:val="clear" w:color="F2F2F2" w:fill="auto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 w:customStyle="1">
    <w:name w:val="Plain Table 2"/>
    <w:basedOn w:val="63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 w:customStyle="1">
    <w:name w:val="Plain Table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 w:customStyle="1">
    <w:name w:val="Plain Table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 w:customStyle="1">
    <w:name w:val="Plain Table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7" w:customStyle="1">
    <w:name w:val="Grid Table 1 Light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 w:customStyle="1">
    <w:name w:val="Grid Table 1 Light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 w:customStyle="1">
    <w:name w:val="Grid Table 1 Light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 w:customStyle="1">
    <w:name w:val="Grid Table 1 Light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Grid Table 1 Light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Grid Table 1 Light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Grid Table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5" w:customStyle="1">
    <w:name w:val="Grid Table 2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6" w:customStyle="1">
    <w:name w:val="Grid Table 2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7" w:customStyle="1">
    <w:name w:val="Grid Table 2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8" w:customStyle="1">
    <w:name w:val="Grid Table 2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9" w:customStyle="1">
    <w:name w:val="Grid Table 2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0" w:customStyle="1">
    <w:name w:val="Grid Table 2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1" w:customStyle="1">
    <w:name w:val="Grid Table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 w:customStyle="1">
    <w:name w:val="Grid Table 3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 w:customStyle="1">
    <w:name w:val="Grid Table 3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 w:customStyle="1">
    <w:name w:val="Grid Table 3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 w:customStyle="1">
    <w:name w:val="Grid Table 3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 w:customStyle="1">
    <w:name w:val="Grid Table 3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 w:customStyle="1">
    <w:name w:val="Grid Table 3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 w:customStyle="1">
    <w:name w:val="Grid Table 4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9" w:customStyle="1">
    <w:name w:val="Grid Table 4 - Accent 1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auto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00" w:customStyle="1">
    <w:name w:val="Grid Table 4 - Accent 2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01" w:customStyle="1">
    <w:name w:val="Grid Table 4 - Accent 3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auto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02" w:customStyle="1">
    <w:name w:val="Grid Table 4 - Accent 4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03" w:customStyle="1">
    <w:name w:val="Grid Table 4 - Accent 5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04" w:customStyle="1">
    <w:name w:val="Grid Table 4 - Accent 6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05" w:customStyle="1">
    <w:name w:val="Grid Table 5 Dark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06" w:customStyle="1">
    <w:name w:val="Grid Table 5 Dark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auto" w:themeColor="accent1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fill="auto" w:themeColor="accent1" w:themeTint="75"/>
      </w:tcPr>
    </w:tblStylePr>
    <w:tblStylePr w:type="band1Vert">
      <w:tcPr>
        <w:shd w:val="clear" w:color="AEC4E0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auto" w:themeColor="accent1"/>
        <w:tcBorders>
          <w:top w:val="single" w:color="FFFFFF" w:sz="4" w:space="0" w:themeColor="light1"/>
        </w:tcBorders>
      </w:tcPr>
    </w:tblStylePr>
  </w:style>
  <w:style w:type="table" w:styleId="707" w:customStyle="1">
    <w:name w:val="Grid Table 5 Dark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auto" w:themeColor="accent2" w:theme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fill="auto" w:themeColor="accent2" w:themeTint="75"/>
      </w:tcPr>
    </w:tblStylePr>
    <w:tblStylePr w:type="band1Vert">
      <w:tcPr>
        <w:shd w:val="clear" w:color="E2AEAD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auto" w:themeColor="accent2"/>
        <w:tcBorders>
          <w:top w:val="single" w:color="FFFFFF" w:sz="4" w:space="0" w:themeColor="light1"/>
        </w:tcBorders>
      </w:tcPr>
    </w:tblStylePr>
  </w:style>
  <w:style w:type="table" w:styleId="708" w:customStyle="1">
    <w:name w:val="Grid Table 5 Dark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auto" w:themeColor="accent3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fill="auto" w:themeColor="accent3" w:themeTint="75"/>
      </w:tcPr>
    </w:tblStylePr>
    <w:tblStylePr w:type="band1Vert">
      <w:tcPr>
        <w:shd w:val="clear" w:color="D0DFB2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auto" w:themeColor="accent3"/>
        <w:tcBorders>
          <w:top w:val="single" w:color="FFFFFF" w:sz="4" w:space="0" w:themeColor="light1"/>
        </w:tcBorders>
      </w:tcPr>
    </w:tblStylePr>
  </w:style>
  <w:style w:type="table" w:styleId="709" w:customStyle="1">
    <w:name w:val="Grid Table 5 Dark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auto" w:themeColor="accent4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fill="auto" w:themeColor="accent4" w:themeTint="75"/>
      </w:tcPr>
    </w:tblStylePr>
    <w:tblStylePr w:type="band1Vert">
      <w:tcPr>
        <w:shd w:val="clear" w:color="C4B7D4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auto" w:themeColor="accent4"/>
        <w:tcBorders>
          <w:top w:val="single" w:color="FFFFFF" w:sz="4" w:space="0" w:themeColor="light1"/>
        </w:tcBorders>
      </w:tcPr>
    </w:tblStylePr>
  </w:style>
  <w:style w:type="table" w:styleId="710" w:customStyle="1">
    <w:name w:val="Grid Table 5 Dark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auto" w:themeColor="accent5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fill="auto" w:themeColor="accent5" w:themeTint="75"/>
      </w:tcPr>
    </w:tblStylePr>
    <w:tblStylePr w:type="band1Vert">
      <w:tcPr>
        <w:shd w:val="clear" w:color="ACD8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top w:val="single" w:color="FFFFFF" w:sz="4" w:space="0" w:themeColor="light1"/>
        </w:tcBorders>
      </w:tcPr>
    </w:tblStylePr>
  </w:style>
  <w:style w:type="table" w:styleId="711" w:customStyle="1">
    <w:name w:val="Grid Table 5 Dark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auto" w:themeColor="accent6" w:theme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fill="auto" w:themeColor="accent6" w:themeTint="75"/>
      </w:tcPr>
    </w:tblStylePr>
    <w:tblStylePr w:type="band1Vert">
      <w:tcPr>
        <w:shd w:val="clear" w:color="FBCEAA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top w:val="single" w:color="FFFFFF" w:sz="4" w:space="0" w:themeColor="light1"/>
        </w:tcBorders>
      </w:tcPr>
    </w:tblStylePr>
  </w:style>
  <w:style w:type="table" w:styleId="712" w:customStyle="1">
    <w:name w:val="Grid Table 6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3" w:customStyle="1">
    <w:name w:val="Grid Table 6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14" w:customStyle="1">
    <w:name w:val="Grid Table 6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15" w:customStyle="1">
    <w:name w:val="Grid Table 6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16" w:customStyle="1">
    <w:name w:val="Grid Table 6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17" w:customStyle="1">
    <w:name w:val="Grid Table 6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18" w:customStyle="1">
    <w:name w:val="Grid Table 6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19" w:customStyle="1">
    <w:name w:val="Grid Table 7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0"/>
      </w:tcPr>
    </w:tblStylePr>
    <w:tblStylePr w:type="band1Vert">
      <w:tcPr>
        <w:shd w:val="clear" w:color="F2F2F2" w:fill="auto" w:themeColor="text1" w:theme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20" w:customStyle="1">
    <w:name w:val="Grid Table 7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6BFDD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A6BFDD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721" w:customStyle="1">
    <w:name w:val="Grid Table 7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22" w:customStyle="1">
    <w:name w:val="Grid Table 7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9ABB59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9ABB59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723" w:customStyle="1">
    <w:name w:val="Grid Table 7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24" w:customStyle="1">
    <w:name w:val="Grid Table 7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99D0DE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99D0DE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725" w:customStyle="1">
    <w:name w:val="Grid Table 7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AC396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FAC396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726" w:customStyle="1">
    <w:name w:val="List Table 1 Light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7" w:customStyle="1">
    <w:name w:val="List Table 1 Light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8" w:customStyle="1">
    <w:name w:val="List Table 1 Light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9" w:customStyle="1">
    <w:name w:val="List Table 1 Light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0" w:customStyle="1">
    <w:name w:val="List Table 1 Light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1" w:customStyle="1">
    <w:name w:val="List Table 1 Light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2" w:customStyle="1">
    <w:name w:val="List Table 1 Light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3" w:customStyle="1">
    <w:name w:val="List Table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34" w:customStyle="1">
    <w:name w:val="List Table 2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35" w:customStyle="1">
    <w:name w:val="List Table 2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36" w:customStyle="1">
    <w:name w:val="List Table 2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37" w:customStyle="1">
    <w:name w:val="List Table 2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38" w:customStyle="1">
    <w:name w:val="List Table 2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39" w:customStyle="1">
    <w:name w:val="List Table 2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40" w:customStyle="1">
    <w:name w:val="List Table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List Table 3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List Table 3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List Table 3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List Table 3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3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4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4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4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4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5 Dark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5" w:customStyle="1">
    <w:name w:val="List Table 5 Dark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auto" w:themeColor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auto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6" w:customStyle="1">
    <w:name w:val="List Table 5 Dark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auto" w:themeColor="accent2" w:theme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auto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7" w:customStyle="1">
    <w:name w:val="List Table 5 Dark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auto" w:themeColor="accent3" w:theme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auto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 w:customStyle="1">
    <w:name w:val="List Table 5 Dark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auto" w:themeColor="accent4" w:theme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auto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 w:customStyle="1">
    <w:name w:val="List Table 5 Dark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auto" w:themeColor="accent5" w:theme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auto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List Table 5 Dark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auto" w:themeColor="accent6" w:theme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auto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 w:customStyle="1">
    <w:name w:val="List Table 6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62" w:customStyle="1">
    <w:name w:val="List Table 6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763" w:customStyle="1">
    <w:name w:val="List Table 6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764" w:customStyle="1">
    <w:name w:val="List Table 6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765" w:customStyle="1">
    <w:name w:val="List Table 6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766" w:customStyle="1">
    <w:name w:val="List Table 6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767" w:customStyle="1">
    <w:name w:val="List Table 6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768" w:customStyle="1">
    <w:name w:val="List Table 7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69" w:customStyle="1">
    <w:name w:val="List Table 7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4F81BD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4F81BD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770" w:customStyle="1">
    <w:name w:val="List Table 7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71" w:customStyle="1">
    <w:name w:val="List Table 7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C3D69B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C3D69B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772" w:customStyle="1">
    <w:name w:val="List Table 7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73" w:customStyle="1">
    <w:name w:val="List Table 7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92CCDC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92CCDC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774" w:customStyle="1">
    <w:name w:val="List Table 7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AC090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FAC090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775" w:customStyle="1">
    <w:name w:val="Lined - Accent"/>
    <w:basedOn w:val="63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776" w:customStyle="1">
    <w:name w:val="Lined - Accent 1"/>
    <w:basedOn w:val="63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777" w:customStyle="1">
    <w:name w:val="Lined - Accent 2"/>
    <w:basedOn w:val="63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778" w:customStyle="1">
    <w:name w:val="Lined - Accent 3"/>
    <w:basedOn w:val="63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779" w:customStyle="1">
    <w:name w:val="Lined - Accent 4"/>
    <w:basedOn w:val="63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780" w:customStyle="1">
    <w:name w:val="Lined - Accent 5"/>
    <w:basedOn w:val="63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781" w:customStyle="1">
    <w:name w:val="Lined - Accent 6"/>
    <w:basedOn w:val="63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782" w:customStyle="1">
    <w:name w:val="Bordered &amp; Lined - Accent"/>
    <w:basedOn w:val="63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783" w:customStyle="1">
    <w:name w:val="Bordered &amp; Lined - Accent 1"/>
    <w:basedOn w:val="63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784" w:customStyle="1">
    <w:name w:val="Bordered &amp; Lined - Accent 2"/>
    <w:basedOn w:val="63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785" w:customStyle="1">
    <w:name w:val="Bordered &amp; Lined - Accent 3"/>
    <w:basedOn w:val="63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786" w:customStyle="1">
    <w:name w:val="Bordered &amp; Lined - Accent 4"/>
    <w:basedOn w:val="63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787" w:customStyle="1">
    <w:name w:val="Bordered &amp; Lined - Accent 5"/>
    <w:basedOn w:val="63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788" w:customStyle="1">
    <w:name w:val="Bordered &amp; Lined - Accent 6"/>
    <w:basedOn w:val="637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789" w:customStyle="1">
    <w:name w:val="Bordered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790" w:customStyle="1">
    <w:name w:val="Bordered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791" w:customStyle="1">
    <w:name w:val="Bordered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792" w:customStyle="1">
    <w:name w:val="Bordered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793" w:customStyle="1">
    <w:name w:val="Bordered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794" w:customStyle="1">
    <w:name w:val="Bordered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795" w:customStyle="1">
    <w:name w:val="Bordered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634"/>
    <w:link w:val="798"/>
    <w:uiPriority w:val="99"/>
    <w:semiHidden/>
    <w:unhideWhenUsed/>
    <w:pPr>
      <w:spacing w:lineRule="auto" w:line="240" w:after="40"/>
    </w:pPr>
  </w:style>
  <w:style w:type="character" w:styleId="798" w:customStyle="1">
    <w:name w:val="Текст сноски Знак"/>
    <w:link w:val="797"/>
    <w:uiPriority w:val="99"/>
    <w:rPr>
      <w:sz w:val="18"/>
    </w:rPr>
  </w:style>
  <w:style w:type="character" w:styleId="799">
    <w:name w:val="footnote reference"/>
    <w:basedOn w:val="636"/>
    <w:uiPriority w:val="99"/>
    <w:unhideWhenUsed/>
    <w:rPr>
      <w:vertAlign w:val="superscript"/>
    </w:rPr>
  </w:style>
  <w:style w:type="paragraph" w:styleId="800">
    <w:name w:val="endnote text"/>
    <w:basedOn w:val="634"/>
    <w:link w:val="801"/>
    <w:uiPriority w:val="99"/>
    <w:semiHidden/>
    <w:unhideWhenUsed/>
    <w:rPr>
      <w:sz w:val="20"/>
    </w:rPr>
    <w:pPr>
      <w:spacing w:lineRule="auto" w:line="240"/>
    </w:pPr>
  </w:style>
  <w:style w:type="character" w:styleId="801" w:customStyle="1">
    <w:name w:val="Текст концевой сноски Знак"/>
    <w:link w:val="800"/>
    <w:uiPriority w:val="99"/>
    <w:rPr>
      <w:sz w:val="20"/>
    </w:rPr>
  </w:style>
  <w:style w:type="character" w:styleId="802">
    <w:name w:val="endnote reference"/>
    <w:basedOn w:val="636"/>
    <w:uiPriority w:val="99"/>
    <w:semiHidden/>
    <w:unhideWhenUsed/>
    <w:rPr>
      <w:vertAlign w:val="superscript"/>
    </w:rPr>
  </w:style>
  <w:style w:type="paragraph" w:styleId="803">
    <w:name w:val="toc 1"/>
    <w:basedOn w:val="634"/>
    <w:next w:val="634"/>
    <w:uiPriority w:val="39"/>
    <w:unhideWhenUsed/>
    <w:pPr>
      <w:spacing w:after="57"/>
    </w:pPr>
  </w:style>
  <w:style w:type="paragraph" w:styleId="804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05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06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07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08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09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10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11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634"/>
    <w:next w:val="634"/>
    <w:uiPriority w:val="99"/>
    <w:unhideWhenUsed/>
  </w:style>
  <w:style w:type="paragraph" w:styleId="814" w:customStyle="1">
    <w:name w:val="Heading 2"/>
    <w:basedOn w:val="634"/>
    <w:next w:val="634"/>
    <w:link w:val="815"/>
    <w:qFormat/>
    <w:uiPriority w:val="9"/>
    <w:rPr>
      <w:b/>
      <w:i/>
      <w:sz w:val="28"/>
    </w:rPr>
    <w:pPr>
      <w:keepNext/>
      <w:spacing w:after="60" w:before="240"/>
      <w:widowControl/>
      <w:outlineLvl w:val="1"/>
    </w:pPr>
  </w:style>
  <w:style w:type="character" w:styleId="815" w:customStyle="1">
    <w:name w:val="Заголовок 2 Знак"/>
    <w:basedOn w:val="636"/>
    <w:link w:val="814"/>
    <w:uiPriority w:val="9"/>
    <w:rPr>
      <w:rFonts w:ascii="Times New Roman" w:hAnsi="Times New Roman" w:cs="Times New Roman" w:eastAsia="Times New Roman"/>
      <w:b/>
      <w:i/>
      <w:color w:val="000000"/>
      <w:sz w:val="28"/>
      <w:szCs w:val="20"/>
      <w:lang w:eastAsia="ru-RU"/>
    </w:rPr>
  </w:style>
  <w:style w:type="paragraph" w:styleId="816" w:customStyle="1">
    <w:name w:val="ConsPlusNormal"/>
    <w:rPr>
      <w:rFonts w:ascii="Arial" w:hAnsi="Arial" w:cs="Times New Roman" w:eastAsia="Times New Roman"/>
      <w:color w:val="000000"/>
      <w:sz w:val="20"/>
      <w:szCs w:val="20"/>
      <w:lang w:eastAsia="ru-RU"/>
    </w:rPr>
    <w:pPr>
      <w:ind w:firstLine="720"/>
      <w:jc w:val="right"/>
      <w:spacing w:lineRule="atLeast" w:line="360" w:after="0"/>
    </w:pPr>
  </w:style>
  <w:style w:type="paragraph" w:styleId="817" w:customStyle="1">
    <w:name w:val="Standard"/>
    <w:rPr>
      <w:rFonts w:ascii="Times New Roman" w:hAnsi="Times New Roman" w:cs="Times New Roman" w:eastAsia="Times New Roman"/>
      <w:color w:val="000000"/>
      <w:sz w:val="24"/>
      <w:szCs w:val="20"/>
      <w:lang w:eastAsia="ru-RU"/>
    </w:rPr>
    <w:pPr>
      <w:jc w:val="both"/>
      <w:spacing w:lineRule="auto" w:line="240" w:after="60"/>
    </w:pPr>
  </w:style>
  <w:style w:type="paragraph" w:styleId="818">
    <w:name w:val="Document Map"/>
    <w:basedOn w:val="634"/>
    <w:link w:val="81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/>
    </w:pPr>
  </w:style>
  <w:style w:type="character" w:styleId="819" w:customStyle="1">
    <w:name w:val="Схема документа Знак"/>
    <w:basedOn w:val="636"/>
    <w:link w:val="818"/>
    <w:uiPriority w:val="99"/>
    <w:semiHidden/>
    <w:rPr>
      <w:rFonts w:ascii="Tahoma" w:hAnsi="Tahoma" w:cs="Tahoma" w:eastAsia="Times New Roman"/>
      <w:color w:val="000000"/>
      <w:sz w:val="16"/>
      <w:szCs w:val="16"/>
      <w:lang w:eastAsia="ru-RU"/>
    </w:rPr>
  </w:style>
  <w:style w:type="paragraph" w:styleId="820">
    <w:name w:val="Body Text Indent"/>
    <w:basedOn w:val="634"/>
    <w:link w:val="821"/>
    <w:rPr>
      <w:color w:val="auto"/>
      <w:sz w:val="24"/>
      <w:szCs w:val="24"/>
      <w:lang w:eastAsia="zh-CN"/>
    </w:rPr>
    <w:pPr>
      <w:ind w:left="283"/>
      <w:jc w:val="left"/>
      <w:spacing w:lineRule="auto" w:line="240" w:after="120"/>
      <w:widowControl/>
    </w:pPr>
  </w:style>
  <w:style w:type="character" w:styleId="821" w:customStyle="1">
    <w:name w:val="Основной текст с отступом Знак"/>
    <w:basedOn w:val="636"/>
    <w:link w:val="820"/>
    <w:rPr>
      <w:rFonts w:ascii="Times New Roman" w:hAnsi="Times New Roman" w:cs="Times New Roman" w:eastAsia="Times New Roman"/>
      <w:sz w:val="24"/>
      <w:szCs w:val="24"/>
      <w:lang w:eastAsia="zh-CN"/>
    </w:rPr>
  </w:style>
  <w:style w:type="character" w:styleId="822" w:customStyle="1">
    <w:name w:val="Quote Char"/>
    <w:uiPriority w:val="29"/>
    <w:rPr>
      <w:i/>
    </w:rPr>
  </w:style>
  <w:style w:type="paragraph" w:styleId="823">
    <w:name w:val="Quote"/>
    <w:basedOn w:val="634"/>
    <w:next w:val="634"/>
    <w:link w:val="824"/>
    <w:qFormat/>
    <w:uiPriority w:val="29"/>
    <w:rPr>
      <w:i/>
      <w:color w:val="auto"/>
      <w:sz w:val="24"/>
      <w:szCs w:val="24"/>
      <w:lang w:eastAsia="zh-CN"/>
    </w:rPr>
    <w:pPr>
      <w:ind w:left="720" w:right="720"/>
      <w:jc w:val="left"/>
      <w:spacing w:lineRule="auto" w:line="240"/>
      <w:widowControl/>
    </w:pPr>
  </w:style>
  <w:style w:type="character" w:styleId="824" w:customStyle="1">
    <w:name w:val="Цитата 2 Знак"/>
    <w:basedOn w:val="636"/>
    <w:link w:val="823"/>
    <w:uiPriority w:val="29"/>
    <w:rPr>
      <w:rFonts w:ascii="Times New Roman" w:hAnsi="Times New Roman" w:cs="Times New Roman" w:eastAsia="Times New Roman"/>
      <w:i/>
      <w:sz w:val="24"/>
      <w:szCs w:val="24"/>
      <w:lang w:eastAsia="zh-CN"/>
    </w:rPr>
  </w:style>
  <w:style w:type="character" w:styleId="825" w:customStyle="1">
    <w:name w:val="Заголовок 1 Знак"/>
    <w:basedOn w:val="636"/>
    <w:link w:val="635"/>
    <w:uiPriority w:val="9"/>
    <w:rPr>
      <w:rFonts w:ascii="Times New Roman" w:hAnsi="Times New Roman" w:cs="Times New Roman" w:eastAsia="Times New Roman"/>
      <w:b/>
      <w:bCs/>
      <w:sz w:val="48"/>
      <w:szCs w:val="4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ONLYOFFICE/6.3.2.2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Вадимова Каземирова</dc:creator>
  <cp:lastModifiedBy>Казимирова Маргарита</cp:lastModifiedBy>
  <cp:revision>7</cp:revision>
  <dcterms:created xsi:type="dcterms:W3CDTF">2026-03-30T08:41:00Z</dcterms:created>
  <dcterms:modified xsi:type="dcterms:W3CDTF">2026-06-22T08:40:08Z</dcterms:modified>
</cp:coreProperties>
</file>