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jc w:val="center"/>
        <w:outlineLvl w:val="0"/>
        <w:rPr>
          <w:rFonts w:ascii="PT Astra Serif" w:hAnsi="PT Astra Serif"/>
        </w:rPr>
      </w:pPr>
      <w:r>
        <w:rPr>
          <w:rFonts w:ascii="PT Astra Serif" w:hAnsi="PT Astra Serif"/>
        </w:rPr>
        <w:t>ГОСУДАРСТВЕННЫЙ КОНТРАКТ</w:t>
      </w:r>
      <w:r>
        <w:rPr>
          <w:rFonts w:ascii="PT Astra Serif" w:hAnsi="PT Astra Serif"/>
          <w:vertAlign w:val="superscript"/>
        </w:rPr>
        <w:t> </w:t>
      </w:r>
      <w:r>
        <w:rPr>
          <w:rFonts w:ascii="PT Astra Serif" w:hAnsi="PT Astra Serif"/>
        </w:rPr>
        <w:t>№ _____</w:t>
      </w:r>
    </w:p>
    <w:p>
      <w:pPr>
        <w:pStyle w:val="Normal"/>
        <w:rPr>
          <w:rFonts w:ascii="PT Astra Serif" w:hAnsi="PT Astra Serif"/>
        </w:rPr>
      </w:pPr>
      <w:r>
        <w:rPr>
          <w:rFonts w:ascii="PT Astra Serif" w:hAnsi="PT Astra Serif"/>
        </w:rPr>
      </w:r>
    </w:p>
    <w:p>
      <w:pPr>
        <w:pStyle w:val="Normal"/>
        <w:shd w:val="clear" w:color="auto" w:fill="FFFFFF"/>
        <w:rPr>
          <w:rFonts w:ascii="PT Astra Serif" w:hAnsi="PT Astra Serif"/>
          <w:color w:val="000000"/>
        </w:rPr>
      </w:pPr>
      <w:r>
        <w:rPr>
          <w:rFonts w:ascii="PT Astra Serif" w:hAnsi="PT Astra Serif"/>
          <w:color w:val="000000"/>
        </w:rPr>
        <w:t>г. Иваново                                                                                                         "____" ______ 2026 г.</w:t>
      </w:r>
    </w:p>
    <w:p>
      <w:pPr>
        <w:pStyle w:val="Normal"/>
        <w:rPr>
          <w:rFonts w:ascii="PT Astra Serif" w:hAnsi="PT Astra Serif"/>
        </w:rPr>
      </w:pPr>
      <w:r>
        <w:rPr>
          <w:rFonts w:ascii="PT Astra Serif" w:hAnsi="PT Astra Serif"/>
        </w:rPr>
      </w:r>
    </w:p>
    <w:p>
      <w:pPr>
        <w:pStyle w:val="Normal"/>
        <w:jc w:val="both"/>
        <w:rPr>
          <w:rFonts w:ascii="PT Astra Serif" w:hAnsi="PT Astra Serif"/>
        </w:rPr>
      </w:pPr>
      <w:r>
        <w:rPr>
          <w:rFonts w:ascii="PT Astra Serif" w:hAnsi="PT Astra Serif"/>
        </w:rPr>
        <w:t xml:space="preserve">Управление Федеральной службы исполнения наказаний по Ивановской области (далее – УФСИН России по Ивановской области ), выступающее от имени Российской Федерации, </w:t>
        <w:br/>
        <w:t xml:space="preserve">в целях обеспечения государственных нужд, именуемое в дальнейшем Государственный заказчик, в лице __________ с одной стороны, и _________________, именуемый в дальнейшем </w:t>
      </w:r>
      <w:r>
        <w:rPr>
          <w:rFonts w:ascii="PT Astra Serif" w:hAnsi="PT Astra Serif"/>
          <w:b/>
        </w:rPr>
        <w:t>«Исполнитель»</w:t>
      </w:r>
      <w:r>
        <w:rPr>
          <w:rFonts w:ascii="PT Astra Serif" w:hAnsi="PT Astra Serif"/>
        </w:rPr>
        <w:t>, в лице _____________, действующего на основании ______________, с другой стороны, совместно именуемые «Стороны», с соблюдением требований Гражданского кодекса Российской Федерации, п. 4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иных нормативных правовых актов Российской Федерации, заключили настоящий Государственный контракт о нижеследующем:</w:t>
      </w:r>
    </w:p>
    <w:p>
      <w:pPr>
        <w:pStyle w:val="Normal"/>
        <w:ind w:firstLine="567"/>
        <w:jc w:val="both"/>
        <w:rPr>
          <w:rFonts w:ascii="PT Astra Serif" w:hAnsi="PT Astra Serif"/>
        </w:rPr>
      </w:pPr>
      <w:r>
        <w:rPr>
          <w:rFonts w:ascii="PT Astra Serif" w:hAnsi="PT Astra Serif"/>
        </w:rPr>
      </w:r>
    </w:p>
    <w:p>
      <w:pPr>
        <w:pStyle w:val="Normal"/>
        <w:numPr>
          <w:ilvl w:val="0"/>
          <w:numId w:val="1"/>
        </w:numPr>
        <w:jc w:val="center"/>
        <w:rPr>
          <w:rFonts w:ascii="PT Astra Serif" w:hAnsi="PT Astra Serif"/>
          <w:b/>
        </w:rPr>
      </w:pPr>
      <w:r>
        <w:rPr>
          <w:rFonts w:ascii="PT Astra Serif" w:hAnsi="PT Astra Serif"/>
          <w:b/>
        </w:rPr>
        <w:t>Предмет контракта</w:t>
      </w:r>
    </w:p>
    <w:p>
      <w:pPr>
        <w:pStyle w:val="Normal"/>
        <w:ind w:left="720"/>
        <w:rPr>
          <w:rFonts w:ascii="PT Astra Serif" w:hAnsi="PT Astra Serif"/>
          <w:b/>
        </w:rPr>
      </w:pPr>
      <w:r>
        <w:rPr>
          <w:rFonts w:ascii="PT Astra Serif" w:hAnsi="PT Astra Serif"/>
          <w:b/>
        </w:rPr>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 xml:space="preserve">1.1. Исполнитель обязуется оказать услуги по дистанционному обучению, а Заказчик обязуется оплатить образовательную услугу по программе «Общие вопросы охраны труда и функционирования системы управления охраной труда (Программа А)»,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 в для 16 человек (далее – обучающиеся), список обучающихся согласовывается дополнительно в виде приложения к настоящему контракту. </w:t>
      </w:r>
    </w:p>
    <w:p>
      <w:pPr>
        <w:pStyle w:val="Normal"/>
        <w:ind w:firstLine="567"/>
        <w:jc w:val="both"/>
        <w:rPr>
          <w:rFonts w:ascii="PT Astra Serif" w:hAnsi="PT Astra Serif"/>
        </w:rPr>
      </w:pPr>
      <w:r>
        <w:rPr/>
        <w:t>1.2. </w:t>
      </w:r>
      <w:r>
        <w:rPr>
          <w:rFonts w:ascii="PT Astra Serif" w:hAnsi="PT Astra Serif"/>
        </w:rPr>
        <w:t xml:space="preserve">Сроки оказания услуг: с момента заключения контракта до </w:t>
      </w:r>
      <w:r>
        <w:rPr>
          <w:rFonts w:ascii="PT Astra Serif" w:hAnsi="PT Astra Serif"/>
        </w:rPr>
        <w:t>30</w:t>
      </w:r>
      <w:r>
        <w:rPr>
          <w:rFonts w:ascii="PT Astra Serif" w:hAnsi="PT Astra Serif"/>
        </w:rPr>
        <w:t>.1</w:t>
      </w:r>
      <w:r>
        <w:rPr>
          <w:rFonts w:ascii="PT Astra Serif" w:hAnsi="PT Astra Serif"/>
        </w:rPr>
        <w:t>1</w:t>
      </w:r>
      <w:r>
        <w:rPr>
          <w:rFonts w:ascii="PT Astra Serif" w:hAnsi="PT Astra Serif"/>
        </w:rPr>
        <w:t>.2026 г. Конкретный срок оказания услуг определяется по заявке Заказчика, поданной Исполнителю по факсу, электронной почте или почте России. Заявка составляется по форме Приложения № 1 и направляется Исполнителю.</w:t>
      </w:r>
    </w:p>
    <w:p>
      <w:pPr>
        <w:pStyle w:val="NormalWeb"/>
        <w:shd w:val="clear" w:color="auto" w:fill="FFFFFF"/>
        <w:spacing w:beforeAutospacing="0" w:before="0" w:afterAutospacing="0" w:after="0"/>
        <w:ind w:firstLine="567"/>
        <w:jc w:val="both"/>
        <w:rPr/>
      </w:pPr>
      <w:r>
        <w:rPr/>
        <w:t>1.3. Количество обучающихся, направленных Государственным заказчиком на обучение, и области аттестации определены приложениями №1, являющееся неотъемлемой частью Контракта.</w:t>
      </w:r>
    </w:p>
    <w:p>
      <w:pPr>
        <w:pStyle w:val="NoSpacing"/>
        <w:ind w:firstLine="426"/>
        <w:jc w:val="both"/>
        <w:rPr>
          <w:rFonts w:ascii="PT Astra Serif" w:hAnsi="PT Astra Serif"/>
          <w:b/>
          <w:sz w:val="24"/>
          <w:szCs w:val="24"/>
        </w:rPr>
      </w:pPr>
      <w:r>
        <w:rPr>
          <w:rFonts w:ascii="PT Astra Serif" w:hAnsi="PT Astra Serif"/>
          <w:b/>
          <w:sz w:val="24"/>
          <w:szCs w:val="24"/>
        </w:rPr>
      </w:r>
    </w:p>
    <w:p>
      <w:pPr>
        <w:pStyle w:val="Normal"/>
        <w:numPr>
          <w:ilvl w:val="0"/>
          <w:numId w:val="1"/>
        </w:numPr>
        <w:jc w:val="center"/>
        <w:rPr>
          <w:rFonts w:ascii="PT Astra Serif" w:hAnsi="PT Astra Serif"/>
          <w:b/>
        </w:rPr>
      </w:pPr>
      <w:r>
        <w:rPr>
          <w:rFonts w:ascii="PT Astra Serif" w:hAnsi="PT Astra Serif"/>
          <w:b/>
        </w:rPr>
        <w:t>Цена Контракта и порядок расчетов</w:t>
      </w:r>
    </w:p>
    <w:p>
      <w:pPr>
        <w:pStyle w:val="Normal"/>
        <w:ind w:left="720"/>
        <w:rPr>
          <w:rFonts w:ascii="PT Astra Serif" w:hAnsi="PT Astra Serif"/>
          <w:b/>
        </w:rPr>
      </w:pPr>
      <w:r>
        <w:rPr>
          <w:rFonts w:ascii="PT Astra Serif" w:hAnsi="PT Astra Serif"/>
          <w:b/>
        </w:rPr>
      </w:r>
    </w:p>
    <w:p>
      <w:pPr>
        <w:pStyle w:val="Normal"/>
        <w:ind w:firstLine="567"/>
        <w:jc w:val="both"/>
        <w:rPr>
          <w:rFonts w:ascii="PT Astra Serif" w:hAnsi="PT Astra Serif"/>
        </w:rPr>
      </w:pPr>
      <w:r>
        <w:rPr>
          <w:rFonts w:ascii="PT Astra Serif" w:hAnsi="PT Astra Serif"/>
        </w:rPr>
        <w:t>2.1. Цена Контракта составляет __________(__________) рублей ___ копеек, в том числе НДС - (___ процентов) ___________(_________)</w:t>
      </w:r>
      <w:r>
        <w:rPr>
          <w:rFonts w:ascii="PT Astra Serif" w:hAnsi="PT Astra Serif"/>
          <w:vertAlign w:val="superscript"/>
        </w:rPr>
        <w:t xml:space="preserve"> </w:t>
      </w:r>
      <w:r>
        <w:rPr>
          <w:rFonts w:ascii="PT Astra Serif" w:hAnsi="PT Astra Serif"/>
        </w:rPr>
        <w:t>рублей ___ копеек/ НДС не облагается в соответствии с налоговым законодательством Российской Федерации.</w:t>
      </w:r>
    </w:p>
    <w:p>
      <w:pPr>
        <w:pStyle w:val="Normal"/>
        <w:ind w:firstLine="567"/>
        <w:jc w:val="both"/>
        <w:rPr>
          <w:rFonts w:ascii="PT Astra Serif" w:hAnsi="PT Astra Serif"/>
        </w:rPr>
      </w:pPr>
      <w:r>
        <w:rPr>
          <w:rFonts w:ascii="PT Astra Serif" w:hAnsi="PT Astra Serif"/>
        </w:rPr>
        <w:t xml:space="preserve">2.2. Цена Контракта включает в себя: расходы Исполнителя, связанные с исполнением обязательств по настоящему Контракту, в том числе расходы на пересылку документов </w:t>
        <w:br/>
        <w:t>о прохождении обучения, страхование, оплату таможенных пошлин, налогов, сборов и других обязательств, НДС, стоимость работ, используемых материалов, непредвиденных затрат.</w:t>
      </w:r>
    </w:p>
    <w:p>
      <w:pPr>
        <w:pStyle w:val="Normal"/>
        <w:ind w:firstLine="567"/>
        <w:jc w:val="both"/>
        <w:rPr>
          <w:rFonts w:ascii="PT Astra Serif" w:hAnsi="PT Astra Serif"/>
        </w:rPr>
      </w:pPr>
      <w:r>
        <w:rPr>
          <w:rFonts w:ascii="PT Astra Serif" w:hAnsi="PT Astra Serif"/>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pPr>
        <w:pStyle w:val="Normal"/>
        <w:ind w:firstLine="567"/>
        <w:jc w:val="both"/>
        <w:rPr>
          <w:rFonts w:ascii="PT Astra Serif" w:hAnsi="PT Astra Serif"/>
        </w:rPr>
      </w:pPr>
      <w:r>
        <w:rPr>
          <w:rFonts w:ascii="PT Astra Serif" w:hAnsi="PT Astra Serif"/>
        </w:rPr>
        <w:t>2.3. Источник финансирования Контракта – за счет доведенных предельных объемов финансовых средств на расчетный счет УФСИН России по Ивановской области в текущем финансовом году, до полного исполнения обязательств по настоящему Государственному контракту.</w:t>
      </w:r>
    </w:p>
    <w:p>
      <w:pPr>
        <w:pStyle w:val="Normal"/>
        <w:ind w:firstLine="567"/>
        <w:jc w:val="both"/>
        <w:rPr>
          <w:rFonts w:ascii="PT Astra Serif" w:hAnsi="PT Astra Serif"/>
        </w:rPr>
      </w:pPr>
      <w:r>
        <w:rPr>
          <w:rFonts w:ascii="PT Astra Serif" w:hAnsi="PT Astra Serif"/>
        </w:rPr>
        <w:t xml:space="preserve">2.4. Оплата работ по настоящему Государственному контракту производится Государственным заказчиком за счет средств федерального бюджета по РП 0705, </w:t>
        <w:br/>
        <w:t>ЦС 4240690059, ВР 244 путем перечисления денежных средств на расчётный счёт Исполнителя по факту выполнения работ, в течение 10 (десяти) рабочих дней с даты подписания Государственным заказчиком документов о приемке. Основанием для оплаты являются счет, счет-фактура (если выставляется), акт об оказании услуг, направляемые Государственному заказчику вместе с документами о прохождении обучения.</w:t>
      </w:r>
    </w:p>
    <w:p>
      <w:pPr>
        <w:pStyle w:val="Normal"/>
        <w:ind w:firstLine="567"/>
        <w:jc w:val="both"/>
        <w:rPr>
          <w:rFonts w:ascii="PT Astra Serif" w:hAnsi="PT Astra Serif"/>
        </w:rPr>
      </w:pPr>
      <w:r>
        <w:rPr>
          <w:rFonts w:ascii="PT Astra Serif" w:hAnsi="PT Astra Serif"/>
        </w:rPr>
        <w:t>2.5. Датой оплаты считается дата списания денежных средств со счета Государственного заказчика, указанного в настоящем Контракте.</w:t>
      </w:r>
    </w:p>
    <w:p>
      <w:pPr>
        <w:pStyle w:val="Normal"/>
        <w:ind w:firstLine="567"/>
        <w:jc w:val="both"/>
        <w:rPr>
          <w:rFonts w:ascii="PT Astra Serif" w:hAnsi="PT Astra Serif"/>
        </w:rPr>
      </w:pPr>
      <w:r>
        <w:rPr>
          <w:rFonts w:ascii="PT Astra Serif" w:hAnsi="PT Astra Serif"/>
        </w:rPr>
      </w:r>
    </w:p>
    <w:p>
      <w:pPr>
        <w:pStyle w:val="Normal"/>
        <w:numPr>
          <w:ilvl w:val="0"/>
          <w:numId w:val="1"/>
        </w:numPr>
        <w:jc w:val="center"/>
        <w:rPr>
          <w:rFonts w:ascii="PT Astra Serif" w:hAnsi="PT Astra Serif"/>
          <w:b/>
        </w:rPr>
      </w:pPr>
      <w:r>
        <w:rPr>
          <w:rFonts w:ascii="PT Astra Serif" w:hAnsi="PT Astra Serif"/>
          <w:b/>
        </w:rPr>
        <w:t>Права Исполнителя, Государственного заказчика и обучающегося</w:t>
      </w:r>
    </w:p>
    <w:p>
      <w:pPr>
        <w:pStyle w:val="Normal"/>
        <w:ind w:left="360"/>
        <w:rPr>
          <w:rFonts w:ascii="PT Astra Serif" w:hAnsi="PT Astra Serif"/>
          <w:b/>
        </w:rPr>
      </w:pPr>
      <w:r>
        <w:rPr>
          <w:rFonts w:ascii="PT Astra Serif" w:hAnsi="PT Astra Serif"/>
          <w:b/>
        </w:rPr>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3.1. За неисполнение либо ненадлежащее исполнение обязательств по государственному контракту Исполнитель и Заказчик несут ответственность, предусмотренную государственным контрактом и законодательством Российской Федерации (в соответствии с постановлением Правительства РФ от 15.09.2020 № 1441).</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3.2.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а) безвозмездного оказания образовательных услуг;</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б) соразмерного уменьшения стоимости оказанных платных образовательных услуг;</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в) возмещения понесенных им расходов по устранению недостатков оказанных платных образовательных услуг своими силами или третьими лицами.</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3.3. Заказчик вправе отказаться от исполнения контракта и потребовать полного возмещения убытков, если в установленный контрактом срок недостатки платных образовательных услуг не устранены исполнителем. Заказчик также вправе отказаться от исполнения контракта, если им обнаружен существенный недостаток оказанных платных образовательных услуг или иные существенные отступления от условий контракта.</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3.4.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в) потребовать уменьшения стоимости платных образовательных услуг;</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г) расторгнуть контракт.</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3.5.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3.6. По инициативе исполнителя договор может быть расторгнут в одностороннем порядке в следующих случаях:</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а)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б)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в) просрочка оплаты стоимости платных образовательных услуг;</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t>г) невозможность надлежащего исполнения обязательств по оказанию платных образовательных услуг вследствие действий (бездействия) обучающегося.</w:t>
      </w:r>
    </w:p>
    <w:p>
      <w:pPr>
        <w:pStyle w:val="NormalWeb"/>
        <w:shd w:val="clear" w:color="auto" w:fill="FFFFFF"/>
        <w:spacing w:beforeAutospacing="0" w:before="0" w:afterAutospacing="0" w:after="0"/>
        <w:ind w:firstLine="567"/>
        <w:jc w:val="both"/>
        <w:rPr>
          <w:rFonts w:ascii="PT Astra Serif" w:hAnsi="PT Astra Serif"/>
        </w:rPr>
      </w:pPr>
      <w:r>
        <w:rPr>
          <w:rFonts w:ascii="PT Astra Serif" w:hAnsi="PT Astra Serif"/>
        </w:rPr>
      </w:r>
    </w:p>
    <w:p>
      <w:pPr>
        <w:pStyle w:val="Normal"/>
        <w:numPr>
          <w:ilvl w:val="0"/>
          <w:numId w:val="1"/>
        </w:numPr>
        <w:jc w:val="center"/>
        <w:rPr>
          <w:rFonts w:ascii="PT Astra Serif" w:hAnsi="PT Astra Serif"/>
          <w:b/>
        </w:rPr>
      </w:pPr>
      <w:r>
        <w:rPr>
          <w:rFonts w:ascii="PT Astra Serif" w:hAnsi="PT Astra Serif"/>
          <w:b/>
        </w:rPr>
        <w:t>Обязанности Исполнителя, Государственного заказчика и обучающегося</w:t>
      </w:r>
    </w:p>
    <w:p>
      <w:pPr>
        <w:pStyle w:val="Normal"/>
        <w:ind w:left="720"/>
        <w:rPr>
          <w:rFonts w:ascii="PT Astra Serif" w:hAnsi="PT Astra Serif"/>
          <w:b/>
        </w:rPr>
      </w:pPr>
      <w:r>
        <w:rPr>
          <w:rFonts w:ascii="PT Astra Serif" w:hAnsi="PT Astra Serif"/>
          <w:b/>
        </w:rPr>
      </w:r>
    </w:p>
    <w:p>
      <w:pPr>
        <w:pStyle w:val="Normal"/>
        <w:ind w:firstLine="567"/>
        <w:jc w:val="both"/>
        <w:rPr>
          <w:rFonts w:ascii="PT Astra Serif" w:hAnsi="PT Astra Serif"/>
        </w:rPr>
      </w:pPr>
      <w:r>
        <w:rPr>
          <w:rFonts w:ascii="PT Astra Serif" w:hAnsi="PT Astra Serif"/>
        </w:rPr>
        <w:t>4.1. Исполнитель обязан:</w:t>
      </w:r>
    </w:p>
    <w:p>
      <w:pPr>
        <w:pStyle w:val="Normal"/>
        <w:ind w:firstLine="567"/>
        <w:jc w:val="both"/>
        <w:rPr>
          <w:rFonts w:ascii="PT Astra Serif" w:hAnsi="PT Astra Serif"/>
        </w:rPr>
      </w:pPr>
      <w:r>
        <w:rPr>
          <w:rFonts w:ascii="PT Astra Serif" w:hAnsi="PT Astra Serif"/>
        </w:rPr>
        <w:t>4.1.1. Ознакомить Государственного заказчика и Обучающегося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т.ч. путём размещения данных документов на официальном сайте «Исполнителя» в сети «Интернет»).</w:t>
      </w:r>
    </w:p>
    <w:p>
      <w:pPr>
        <w:pStyle w:val="Normal"/>
        <w:ind w:firstLine="567"/>
        <w:jc w:val="both"/>
        <w:rPr>
          <w:rFonts w:ascii="PT Astra Serif" w:hAnsi="PT Astra Serif"/>
        </w:rPr>
      </w:pPr>
      <w:r>
        <w:rPr>
          <w:rFonts w:ascii="PT Astra Serif" w:hAnsi="PT Astra Serif"/>
        </w:rPr>
        <w:t>4.1.2. Организовать и обеспечить надлежащее предоставление образовательных услуг, предусмотренных разделом 1 Контракта.</w:t>
      </w:r>
    </w:p>
    <w:p>
      <w:pPr>
        <w:pStyle w:val="Normal"/>
        <w:ind w:firstLine="567"/>
        <w:jc w:val="both"/>
        <w:rPr>
          <w:rFonts w:ascii="PT Astra Serif" w:hAnsi="PT Astra Serif"/>
        </w:rPr>
      </w:pPr>
      <w:r>
        <w:rPr>
          <w:rFonts w:ascii="PT Astra Serif" w:hAnsi="PT Astra Serif"/>
        </w:rPr>
        <w:t>4.1.3. Уведомить Государственного заказчика в течение 10 календарных дней об изменении места нахождения, банковских реквизитов или иных сведений, имеющих значение для исполнения Контракта.</w:t>
      </w:r>
    </w:p>
    <w:p>
      <w:pPr>
        <w:pStyle w:val="Normal"/>
        <w:ind w:firstLine="567"/>
        <w:jc w:val="both"/>
        <w:rPr>
          <w:rFonts w:ascii="PT Astra Serif" w:hAnsi="PT Astra Serif"/>
        </w:rPr>
      </w:pPr>
      <w:r>
        <w:rPr>
          <w:rFonts w:ascii="PT Astra Serif" w:hAnsi="PT Astra Serif"/>
        </w:rPr>
        <w:t>4.1.4. После освоения каждым обучающимся образовательной программы и успешного прохождения итоговой аттестации выдать ему документ об обучении и (или) о квалификации, в соответствии с Положением о порядке проведения промежуточной и итоговой аттестации.</w:t>
      </w:r>
    </w:p>
    <w:p>
      <w:pPr>
        <w:pStyle w:val="Normal"/>
        <w:ind w:firstLine="567"/>
        <w:jc w:val="both"/>
        <w:rPr>
          <w:rFonts w:ascii="PT Astra Serif" w:hAnsi="PT Astra Serif"/>
        </w:rPr>
      </w:pPr>
      <w:r>
        <w:rPr>
          <w:rFonts w:ascii="PT Astra Serif" w:hAnsi="PT Astra Serif"/>
        </w:rPr>
        <w:t>4.2. Обучающийся обязан:</w:t>
      </w:r>
    </w:p>
    <w:p>
      <w:pPr>
        <w:pStyle w:val="Normal"/>
        <w:ind w:firstLine="567"/>
        <w:jc w:val="both"/>
        <w:rPr>
          <w:rFonts w:ascii="PT Astra Serif" w:hAnsi="PT Astra Serif"/>
        </w:rPr>
      </w:pPr>
      <w:r>
        <w:rPr>
          <w:rFonts w:ascii="PT Astra Serif" w:hAnsi="PT Astra Serif"/>
        </w:rPr>
        <w:t>4.2.1.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самостоятельно подготовку к занятиям, выполнять задания, данные педагогическими работниками в рамках образовательной программы;</w:t>
      </w:r>
    </w:p>
    <w:p>
      <w:pPr>
        <w:pStyle w:val="Normal"/>
        <w:ind w:firstLine="567"/>
        <w:jc w:val="both"/>
        <w:rPr>
          <w:rFonts w:ascii="PT Astra Serif" w:hAnsi="PT Astra Serif"/>
        </w:rPr>
      </w:pPr>
      <w:r>
        <w:rPr>
          <w:rFonts w:ascii="PT Astra Serif" w:hAnsi="PT Astra Serif"/>
        </w:rPr>
        <w:t>4.2.2. Выполнять требования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w:t>
      </w:r>
    </w:p>
    <w:p>
      <w:pPr>
        <w:pStyle w:val="Normal"/>
        <w:ind w:firstLine="567"/>
        <w:jc w:val="both"/>
        <w:rPr>
          <w:rFonts w:ascii="PT Astra Serif" w:hAnsi="PT Astra Serif"/>
        </w:rPr>
      </w:pPr>
      <w:r>
        <w:rPr>
          <w:rFonts w:ascii="PT Astra Serif" w:hAnsi="PT Astra Serif"/>
        </w:rPr>
        <w:t>4.2.3. Уважать честь и достоинство других обучающихся и работников Исполнителя, не создавать препятствий для получения образования другим обучающимся;</w:t>
      </w:r>
    </w:p>
    <w:p>
      <w:pPr>
        <w:pStyle w:val="Normal"/>
        <w:ind w:firstLine="567"/>
        <w:jc w:val="both"/>
        <w:rPr>
          <w:rFonts w:ascii="PT Astra Serif" w:hAnsi="PT Astra Serif"/>
        </w:rPr>
      </w:pPr>
      <w:r>
        <w:rPr>
          <w:rFonts w:ascii="PT Astra Serif" w:hAnsi="PT Astra Serif"/>
        </w:rPr>
        <w:t>4.2.4. Бережно относиться к имуществу Исполнителя, возмещать ущерб, причинённый имуществу Исполнителя, в соответствии с законодательством Российской Федерации;</w:t>
      </w:r>
    </w:p>
    <w:p>
      <w:pPr>
        <w:pStyle w:val="Normal"/>
        <w:ind w:firstLine="567"/>
        <w:jc w:val="both"/>
        <w:rPr>
          <w:rFonts w:ascii="PT Astra Serif" w:hAnsi="PT Astra Serif"/>
        </w:rPr>
      </w:pPr>
      <w:r>
        <w:rPr>
          <w:rFonts w:ascii="PT Astra Serif" w:hAnsi="PT Astra Serif"/>
        </w:rPr>
        <w:t>4.3. Государственный заказчик обязан:</w:t>
      </w:r>
    </w:p>
    <w:p>
      <w:pPr>
        <w:pStyle w:val="Normal"/>
        <w:ind w:firstLine="567"/>
        <w:jc w:val="both"/>
        <w:rPr>
          <w:rFonts w:ascii="PT Astra Serif" w:hAnsi="PT Astra Serif"/>
        </w:rPr>
      </w:pPr>
      <w:r>
        <w:rPr>
          <w:rFonts w:ascii="PT Astra Serif" w:hAnsi="PT Astra Serif"/>
        </w:rPr>
        <w:t>4.3.1. Своевременно вносить плату за предоставляемые образовательные услуги, указанные в разделе 1 Контракта, в размере и порядке, определённым Контрактом, а также, представлять платёжные документы, подтверждающие такую оплату;</w:t>
      </w:r>
    </w:p>
    <w:p>
      <w:pPr>
        <w:pStyle w:val="Normal"/>
        <w:ind w:firstLine="567"/>
        <w:jc w:val="both"/>
        <w:rPr>
          <w:rFonts w:ascii="PT Astra Serif" w:hAnsi="PT Astra Serif"/>
        </w:rPr>
      </w:pPr>
      <w:r>
        <w:rPr>
          <w:rFonts w:ascii="PT Astra Serif" w:hAnsi="PT Astra Serif"/>
        </w:rPr>
        <w:t>4.3.2. Уважать честь и достоинство обучающихся и работников Исполнителя.</w:t>
      </w:r>
    </w:p>
    <w:p>
      <w:pPr>
        <w:pStyle w:val="Normal"/>
        <w:ind w:firstLine="567"/>
        <w:jc w:val="both"/>
        <w:rPr>
          <w:rFonts w:ascii="PT Astra Serif" w:hAnsi="PT Astra Serif"/>
        </w:rPr>
      </w:pPr>
      <w:r>
        <w:rPr>
          <w:rFonts w:ascii="PT Astra Serif" w:hAnsi="PT Astra Serif"/>
        </w:rPr>
      </w:r>
    </w:p>
    <w:p>
      <w:pPr>
        <w:pStyle w:val="ConsPlusNormal"/>
        <w:numPr>
          <w:ilvl w:val="0"/>
          <w:numId w:val="0"/>
        </w:numPr>
        <w:ind w:firstLine="709"/>
        <w:jc w:val="center"/>
        <w:outlineLvl w:val="1"/>
        <w:rPr>
          <w:rFonts w:ascii="PT Astra Serif" w:hAnsi="PT Astra Serif" w:cs="Times New Roman"/>
          <w:b/>
          <w:sz w:val="24"/>
          <w:szCs w:val="24"/>
        </w:rPr>
      </w:pPr>
      <w:r>
        <w:rPr>
          <w:rFonts w:cs="Times New Roman" w:ascii="Times New Roman" w:hAnsi="Times New Roman"/>
          <w:sz w:val="24"/>
          <w:szCs w:val="24"/>
        </w:rPr>
        <w:t xml:space="preserve">5. </w:t>
      </w:r>
      <w:r>
        <w:rPr>
          <w:rFonts w:cs="Times New Roman" w:ascii="PT Astra Serif" w:hAnsi="PT Astra Serif"/>
          <w:b/>
          <w:sz w:val="24"/>
          <w:szCs w:val="24"/>
        </w:rPr>
        <w:t>Порядок сдачи и приемки оказанных услуг.</w:t>
      </w:r>
    </w:p>
    <w:p>
      <w:pPr>
        <w:pStyle w:val="ConsPlusNormal"/>
        <w:numPr>
          <w:ilvl w:val="0"/>
          <w:numId w:val="0"/>
        </w:numPr>
        <w:ind w:firstLine="709"/>
        <w:jc w:val="center"/>
        <w:outlineLvl w:val="1"/>
        <w:rPr>
          <w:rFonts w:ascii="Times New Roman" w:hAnsi="Times New Roman" w:cs="Times New Roman"/>
          <w:sz w:val="24"/>
          <w:szCs w:val="24"/>
        </w:rPr>
      </w:pPr>
      <w:r>
        <w:rPr>
          <w:rFonts w:cs="Times New Roman" w:ascii="Times New Roman" w:hAnsi="Times New Roman"/>
          <w:sz w:val="24"/>
          <w:szCs w:val="24"/>
        </w:rPr>
      </w:r>
    </w:p>
    <w:p>
      <w:pPr>
        <w:pStyle w:val="Normal"/>
        <w:ind w:firstLine="567"/>
        <w:jc w:val="both"/>
        <w:rPr>
          <w:rFonts w:ascii="PT Astra Serif" w:hAnsi="PT Astra Serif"/>
        </w:rPr>
      </w:pPr>
      <w:r>
        <w:rPr>
          <w:rFonts w:ascii="PT Astra Serif" w:hAnsi="PT Astra Serif"/>
        </w:rPr>
        <w:t>5.1. После завершения оказания Услуг Исполнитель, не позднее 5 (пяти) рабочих дней, уведомляет Заказчика о факте завершения оказания Услуг и представляет Заказчику комплект отчетной документации, документ о приемке, подписанный Исполнителем.</w:t>
      </w:r>
    </w:p>
    <w:p>
      <w:pPr>
        <w:pStyle w:val="Normal"/>
        <w:ind w:firstLine="567"/>
        <w:jc w:val="both"/>
        <w:rPr>
          <w:rFonts w:ascii="PT Astra Serif" w:hAnsi="PT Astra Serif"/>
        </w:rPr>
      </w:pPr>
      <w:r>
        <w:rPr>
          <w:rFonts w:ascii="PT Astra Serif" w:hAnsi="PT Astra Serif"/>
        </w:rPr>
        <w:t>5.2. Не позднее 5 (пяти) рабочих дней после получения от Исполнителя документов, указанных в контракте, Заказчик рассматривает результаты и осуществляет приемку оказанных Услуг по контракту на предмет соответствия их объема, качества требованиям, изложенным в контракте, и направляет Исполнителю подписанный Заказчиком документ о приемке или мотивированный отказ от принятия результатов оказанных Услуг. В случае получения мотивированного отказа от Заказчика Исполнитель устраняет причины, указанные в таком мотивированном отказе в срок не более 7 (семи) календарных дней, и представляет Заказчику документ о приемке.</w:t>
      </w:r>
    </w:p>
    <w:p>
      <w:pPr>
        <w:pStyle w:val="Normal"/>
        <w:ind w:firstLine="567"/>
        <w:jc w:val="both"/>
        <w:rPr>
          <w:rFonts w:ascii="PT Astra Serif" w:hAnsi="PT Astra Serif"/>
        </w:rPr>
      </w:pPr>
      <w:r>
        <w:rPr>
          <w:rFonts w:ascii="PT Astra Serif" w:hAnsi="PT Astra Serif"/>
        </w:rPr>
        <w:t>5.3. К документу о приемке прилагаются документы, предусмотренные п.5.4 контракта.</w:t>
      </w:r>
    </w:p>
    <w:p>
      <w:pPr>
        <w:pStyle w:val="Normal"/>
        <w:ind w:firstLine="567"/>
        <w:jc w:val="both"/>
        <w:rPr>
          <w:rFonts w:ascii="PT Astra Serif" w:hAnsi="PT Astra Serif"/>
        </w:rPr>
      </w:pPr>
      <w:r>
        <w:rPr>
          <w:rFonts w:ascii="PT Astra Serif" w:hAnsi="PT Astra Serif"/>
        </w:rPr>
        <w:t>5.4.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pPr>
        <w:pStyle w:val="Normal"/>
        <w:ind w:firstLine="567"/>
        <w:jc w:val="both"/>
        <w:rPr>
          <w:rFonts w:ascii="PT Astra Serif" w:hAnsi="PT Astra Serif"/>
        </w:rPr>
      </w:pPr>
      <w:r>
        <w:rPr>
          <w:rFonts w:ascii="PT Astra Serif" w:hAnsi="PT Astra Serif"/>
        </w:rPr>
        <w:t>5.5. Исполнитель в соответствии с условиями контракта обязан своевременно предоставлять информацию о ходе исполнения своих обязательств. В случае получения от Заказчика акта с перечнем выявленных недостатков, необходимых доработок и сроком их устранения Исполнитель в течение 10 (десяти) рабочих дней обязан устранить замечания/недостатки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w:t>
      </w:r>
    </w:p>
    <w:p>
      <w:pPr>
        <w:pStyle w:val="Normal"/>
        <w:ind w:firstLine="567"/>
        <w:jc w:val="both"/>
        <w:rPr>
          <w:rFonts w:ascii="PT Astra Serif" w:hAnsi="PT Astra Serif"/>
        </w:rPr>
      </w:pPr>
      <w:r>
        <w:rPr>
          <w:rFonts w:ascii="PT Astra Serif" w:hAnsi="PT Astra Serif"/>
        </w:rPr>
        <w:t>5.6. Подписанный Заказчиком и Исполнителем Документ о приемке является основанием для оплаты Исполнителю оказанных Услуг.</w:t>
      </w:r>
    </w:p>
    <w:p>
      <w:pPr>
        <w:pStyle w:val="Normal"/>
        <w:rPr>
          <w:rFonts w:ascii="PT Astra Serif" w:hAnsi="PT Astra Serif"/>
          <w:b/>
        </w:rPr>
      </w:pPr>
      <w:r>
        <w:rPr>
          <w:rFonts w:ascii="PT Astra Serif" w:hAnsi="PT Astra Serif"/>
          <w:b/>
        </w:rPr>
      </w:r>
    </w:p>
    <w:p>
      <w:pPr>
        <w:pStyle w:val="Normal"/>
        <w:numPr>
          <w:ilvl w:val="0"/>
          <w:numId w:val="2"/>
        </w:numPr>
        <w:jc w:val="center"/>
        <w:rPr>
          <w:rFonts w:ascii="PT Astra Serif" w:hAnsi="PT Astra Serif"/>
          <w:b/>
        </w:rPr>
      </w:pPr>
      <w:r>
        <w:rPr>
          <w:rFonts w:ascii="PT Astra Serif" w:hAnsi="PT Astra Serif"/>
          <w:b/>
        </w:rPr>
        <w:t xml:space="preserve">Ответственность сторон </w:t>
      </w:r>
    </w:p>
    <w:p>
      <w:pPr>
        <w:pStyle w:val="Normal"/>
        <w:ind w:left="720"/>
        <w:rPr>
          <w:rFonts w:ascii="PT Astra Serif" w:hAnsi="PT Astra Serif"/>
          <w:b/>
        </w:rPr>
      </w:pPr>
      <w:r>
        <w:rPr>
          <w:rFonts w:ascii="PT Astra Serif" w:hAnsi="PT Astra Serif"/>
          <w:b/>
        </w:rPr>
      </w:r>
    </w:p>
    <w:p>
      <w:pPr>
        <w:pStyle w:val="Normal"/>
        <w:tabs>
          <w:tab w:val="clear" w:pos="708"/>
          <w:tab w:val="left" w:pos="1276" w:leader="none"/>
        </w:tabs>
        <w:ind w:firstLine="567"/>
        <w:jc w:val="both"/>
        <w:rPr>
          <w:rFonts w:ascii="PT Astra Serif" w:hAnsi="PT Astra Serif"/>
        </w:rPr>
      </w:pPr>
      <w:r>
        <w:rPr>
          <w:rFonts w:ascii="PT Astra Serif" w:hAnsi="PT Astra Serif"/>
        </w:rPr>
        <w:t xml:space="preserve">6.1.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 1042 (ред. от 02.08.2019 № 1011) «Об утверждении Правил определения размера штрафа, начисляемого в случае ненадлежащего исполнения заказчиком, неисполнения </w:t>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br/>
        <w:t>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pPr>
        <w:pStyle w:val="Normal"/>
        <w:tabs>
          <w:tab w:val="clear" w:pos="708"/>
          <w:tab w:val="left" w:pos="1276" w:leader="none"/>
        </w:tabs>
        <w:ind w:firstLine="567"/>
        <w:jc w:val="both"/>
        <w:rPr>
          <w:rFonts w:ascii="PT Astra Serif" w:hAnsi="PT Astra Serif"/>
        </w:rPr>
      </w:pPr>
      <w:r>
        <w:rPr>
          <w:rFonts w:ascii="PT Astra Serif" w:hAnsi="PT Astra Serif"/>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w:t>
        <w:b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tabs>
          <w:tab w:val="clear" w:pos="708"/>
          <w:tab w:val="left" w:pos="1276" w:leader="none"/>
        </w:tabs>
        <w:ind w:firstLine="567"/>
        <w:jc w:val="both"/>
        <w:rPr>
          <w:rFonts w:ascii="PT Astra Serif" w:hAnsi="PT Astra Serif"/>
        </w:rPr>
      </w:pPr>
      <w:r>
        <w:rPr>
          <w:rFonts w:ascii="PT Astra Serif" w:hAnsi="PT Astra Serif"/>
        </w:rPr>
        <w:t>6.3. Размер штрафа устанавливается контрактом в соответствии с Постановлением Правительства РФ от 30.08.2017 № 1042 (ред. от 02.08.2019 № 1011),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Государственного контракта (далее - цена контракта (этапа)).</w:t>
      </w:r>
    </w:p>
    <w:p>
      <w:pPr>
        <w:pStyle w:val="Normal"/>
        <w:tabs>
          <w:tab w:val="clear" w:pos="708"/>
          <w:tab w:val="left" w:pos="1276" w:leader="none"/>
        </w:tabs>
        <w:ind w:firstLine="567"/>
        <w:jc w:val="both"/>
        <w:rPr>
          <w:rFonts w:ascii="PT Astra Serif" w:hAnsi="PT Astra Serif"/>
        </w:rPr>
      </w:pPr>
      <w:r>
        <w:rPr>
          <w:rFonts w:ascii="PT Astra Serif" w:hAnsi="PT Astra Serif"/>
        </w:rPr>
        <w:t>6.4.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составляет 1000 рублей (в ред. Постановления Правительства РФ от 02.08.2019 № 1011).</w:t>
      </w:r>
    </w:p>
    <w:p>
      <w:pPr>
        <w:pStyle w:val="Normal"/>
        <w:tabs>
          <w:tab w:val="clear" w:pos="708"/>
          <w:tab w:val="left" w:pos="1276" w:leader="none"/>
        </w:tabs>
        <w:ind w:firstLine="567"/>
        <w:jc w:val="both"/>
        <w:rPr>
          <w:rFonts w:ascii="PT Astra Serif" w:hAnsi="PT Astra Serif"/>
        </w:rPr>
      </w:pPr>
      <w:r>
        <w:rPr>
          <w:rFonts w:ascii="PT Astra Serif" w:hAnsi="PT Astra Serif"/>
        </w:rPr>
        <w:t>6.5. За каждый факт неисполнения обязательства, которое не имеет стоимостного выражения, Исполнитель уплачивает Государственному заказчику штраф в виде суммы, определяемой в следующем порядке: 1000 рублей.</w:t>
      </w:r>
    </w:p>
    <w:p>
      <w:pPr>
        <w:pStyle w:val="Normal"/>
        <w:tabs>
          <w:tab w:val="clear" w:pos="708"/>
          <w:tab w:val="left" w:pos="1276" w:leader="none"/>
        </w:tabs>
        <w:ind w:firstLine="567"/>
        <w:jc w:val="both"/>
        <w:rPr>
          <w:rFonts w:ascii="PT Astra Serif" w:hAnsi="PT Astra Serif"/>
        </w:rPr>
      </w:pPr>
      <w:r>
        <w:rPr>
          <w:rFonts w:ascii="PT Astra Serif" w:hAnsi="PT Astra Serif"/>
        </w:rPr>
        <w:t>6.6.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пеней).</w:t>
      </w:r>
    </w:p>
    <w:p>
      <w:pPr>
        <w:pStyle w:val="Normal"/>
        <w:tabs>
          <w:tab w:val="clear" w:pos="708"/>
          <w:tab w:val="left" w:pos="1276" w:leader="none"/>
        </w:tabs>
        <w:ind w:firstLine="567"/>
        <w:jc w:val="both"/>
        <w:rPr>
          <w:rFonts w:ascii="PT Astra Serif" w:hAnsi="PT Astra Serif"/>
        </w:rPr>
      </w:pPr>
      <w:r>
        <w:rPr>
          <w:rFonts w:ascii="PT Astra Serif" w:hAnsi="PT Astra Serif"/>
        </w:rPr>
        <w:t>6.7.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tabs>
          <w:tab w:val="clear" w:pos="708"/>
          <w:tab w:val="left" w:pos="1276" w:leader="none"/>
        </w:tabs>
        <w:ind w:firstLine="567"/>
        <w:jc w:val="both"/>
        <w:rPr>
          <w:rFonts w:ascii="PT Astra Serif" w:hAnsi="PT Astra Serif"/>
        </w:rPr>
      </w:pPr>
      <w:r>
        <w:rPr>
          <w:rFonts w:ascii="PT Astra Serif" w:hAnsi="PT Astra Serif"/>
        </w:rPr>
        <w:t>6.8.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составляет 10 процентов цены контракта (в ред. Постановления Правительства РФ от 02.08.2019 № 1011).</w:t>
      </w:r>
    </w:p>
    <w:p>
      <w:pPr>
        <w:pStyle w:val="Normal"/>
        <w:tabs>
          <w:tab w:val="clear" w:pos="708"/>
          <w:tab w:val="left" w:pos="1276" w:leader="none"/>
        </w:tabs>
        <w:ind w:firstLine="567"/>
        <w:jc w:val="both"/>
        <w:rPr>
          <w:rFonts w:ascii="PT Astra Serif" w:hAnsi="PT Astra Serif"/>
        </w:rPr>
      </w:pPr>
      <w:r>
        <w:rPr>
          <w:rFonts w:ascii="PT Astra Serif" w:hAnsi="PT Astra Serif"/>
        </w:rPr>
        <w:t>6.9 Уплата неустойки (штрафа, пени) не освобождает Стороны от исполнения обязательств, принятых на себя по Государственному контракту.</w:t>
      </w:r>
    </w:p>
    <w:p>
      <w:pPr>
        <w:pStyle w:val="Normal"/>
        <w:tabs>
          <w:tab w:val="clear" w:pos="708"/>
          <w:tab w:val="left" w:pos="1276" w:leader="none"/>
        </w:tabs>
        <w:ind w:firstLine="567"/>
        <w:jc w:val="both"/>
        <w:rPr>
          <w:rFonts w:ascii="PT Astra Serif" w:hAnsi="PT Astra Serif"/>
        </w:rPr>
      </w:pPr>
      <w:r>
        <w:rPr>
          <w:rFonts w:ascii="PT Astra Serif" w:hAnsi="PT Astra Serif"/>
        </w:rPr>
        <w:t>6.10. Вред, причиненный третьим лицам по вине Исполнителя при исполнении обязательств по Государственному контракту, возмещается за его счет.</w:t>
      </w:r>
    </w:p>
    <w:p>
      <w:pPr>
        <w:pStyle w:val="Normal"/>
        <w:tabs>
          <w:tab w:val="clear" w:pos="708"/>
          <w:tab w:val="left" w:pos="1276" w:leader="none"/>
        </w:tabs>
        <w:ind w:firstLine="567"/>
        <w:jc w:val="both"/>
        <w:rPr>
          <w:rFonts w:ascii="PT Astra Serif" w:hAnsi="PT Astra Serif"/>
        </w:rPr>
      </w:pPr>
      <w:r>
        <w:rPr>
          <w:rFonts w:ascii="PT Astra Serif" w:hAnsi="PT Astra Serif"/>
        </w:rPr>
        <w:t>6.11. При расторжении Государственного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tabs>
          <w:tab w:val="clear" w:pos="708"/>
          <w:tab w:val="left" w:pos="1276" w:leader="none"/>
        </w:tabs>
        <w:ind w:firstLine="567"/>
        <w:jc w:val="both"/>
        <w:rPr>
          <w:rFonts w:ascii="PT Astra Serif" w:hAnsi="PT Astra Serif"/>
        </w:rPr>
      </w:pPr>
      <w:r>
        <w:rPr>
          <w:rFonts w:ascii="PT Astra Serif" w:hAnsi="PT Astra Serif"/>
        </w:rPr>
        <w:t>6.12. Государственный заказчик освобождается от ответственности в случае несвоевременного выделения предельных объемов финансирования для оплаты работ.</w:t>
      </w:r>
    </w:p>
    <w:p>
      <w:pPr>
        <w:pStyle w:val="Normal"/>
        <w:tabs>
          <w:tab w:val="clear" w:pos="708"/>
          <w:tab w:val="left" w:pos="1276" w:leader="none"/>
        </w:tabs>
        <w:ind w:firstLine="567"/>
        <w:jc w:val="both"/>
        <w:rPr>
          <w:rFonts w:ascii="PT Astra Serif" w:hAnsi="PT Astra Serif"/>
        </w:rPr>
      </w:pPr>
      <w:r>
        <w:rPr>
          <w:rFonts w:ascii="PT Astra Serif" w:hAnsi="PT Astra Serif"/>
        </w:rPr>
        <w:t xml:space="preserve">6.13.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w:t>
        <w:br/>
        <w:t>с законодательством Российской Федерации.</w:t>
      </w:r>
    </w:p>
    <w:p>
      <w:pPr>
        <w:pStyle w:val="Normal"/>
        <w:tabs>
          <w:tab w:val="clear" w:pos="708"/>
          <w:tab w:val="left" w:pos="1276" w:leader="none"/>
        </w:tabs>
        <w:ind w:firstLine="567"/>
        <w:jc w:val="both"/>
        <w:rPr>
          <w:rFonts w:ascii="PT Astra Serif" w:hAnsi="PT Astra Serif"/>
        </w:rPr>
      </w:pPr>
      <w:r>
        <w:rPr>
          <w:rFonts w:ascii="PT Astra Serif" w:hAnsi="PT Astra Serif"/>
        </w:rPr>
        <w:t>6.14. 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контракта.</w:t>
      </w:r>
    </w:p>
    <w:p>
      <w:pPr>
        <w:pStyle w:val="Normal"/>
        <w:tabs>
          <w:tab w:val="clear" w:pos="708"/>
          <w:tab w:val="left" w:pos="1276" w:leader="none"/>
        </w:tabs>
        <w:ind w:firstLine="567"/>
        <w:jc w:val="both"/>
        <w:rPr>
          <w:rFonts w:ascii="PT Astra Serif" w:hAnsi="PT Astra Serif"/>
        </w:rPr>
      </w:pPr>
      <w:r>
        <w:rPr>
          <w:rFonts w:ascii="PT Astra Serif" w:hAnsi="PT Astra Serif"/>
        </w:rPr>
        <w:t xml:space="preserve">6.15. Общая сумма начисленных штрафов за неисполнение или ненадлежащее исполнение поставщиком обязательств, предусмотренных Государственным контрактом, </w:t>
        <w:br/>
        <w:t>не может превышать цену контракта.</w:t>
      </w:r>
    </w:p>
    <w:p>
      <w:pPr>
        <w:pStyle w:val="Normal"/>
        <w:ind w:left="567"/>
        <w:jc w:val="center"/>
        <w:rPr>
          <w:rFonts w:ascii="PT Astra Serif" w:hAnsi="PT Astra Serif"/>
        </w:rPr>
      </w:pPr>
      <w:r>
        <w:rPr>
          <w:rFonts w:ascii="PT Astra Serif" w:hAnsi="PT Astra Serif"/>
        </w:rPr>
      </w:r>
    </w:p>
    <w:p>
      <w:pPr>
        <w:pStyle w:val="Normal"/>
        <w:numPr>
          <w:ilvl w:val="0"/>
          <w:numId w:val="2"/>
        </w:numPr>
        <w:jc w:val="center"/>
        <w:rPr>
          <w:rFonts w:ascii="PT Astra Serif" w:hAnsi="PT Astra Serif"/>
          <w:b/>
        </w:rPr>
      </w:pPr>
      <w:r>
        <w:rPr>
          <w:rFonts w:ascii="PT Astra Serif" w:hAnsi="PT Astra Serif"/>
          <w:b/>
        </w:rPr>
        <w:t>Обстоятельства непреодолимой силы.</w:t>
      </w:r>
    </w:p>
    <w:p>
      <w:pPr>
        <w:pStyle w:val="Normal"/>
        <w:ind w:left="720"/>
        <w:rPr>
          <w:rFonts w:ascii="PT Astra Serif" w:hAnsi="PT Astra Serif"/>
          <w:b/>
        </w:rPr>
      </w:pPr>
      <w:r>
        <w:rPr>
          <w:rFonts w:ascii="PT Astra Serif" w:hAnsi="PT Astra Serif"/>
          <w:b/>
        </w:rPr>
      </w:r>
    </w:p>
    <w:p>
      <w:pPr>
        <w:pStyle w:val="Normal"/>
        <w:tabs>
          <w:tab w:val="clear" w:pos="708"/>
          <w:tab w:val="left" w:pos="1276" w:leader="none"/>
        </w:tabs>
        <w:ind w:firstLine="567"/>
        <w:jc w:val="both"/>
        <w:rPr>
          <w:rFonts w:ascii="PT Astra Serif" w:hAnsi="PT Astra Serif"/>
        </w:rPr>
      </w:pPr>
      <w:r>
        <w:rPr>
          <w:rFonts w:ascii="PT Astra Serif" w:hAnsi="PT Astra Serif"/>
        </w:rPr>
        <w:t xml:space="preserve">7.1. Ни одна из сторон не несет ответственность перед другой Стороной </w:t>
        <w:br/>
        <w:t>за невыполнение обязательств, обусловленное обстоятельствами непреодолимой силы, возникшими помимо воли и желания Сторон и которые нельзя предвидеть и избежать, включая военные действия на территории исполнения Государственного контракта.</w:t>
      </w:r>
    </w:p>
    <w:p>
      <w:pPr>
        <w:pStyle w:val="Normal"/>
        <w:tabs>
          <w:tab w:val="clear" w:pos="708"/>
          <w:tab w:val="left" w:pos="1276" w:leader="none"/>
        </w:tabs>
        <w:ind w:firstLine="567"/>
        <w:jc w:val="both"/>
        <w:rPr>
          <w:rFonts w:ascii="PT Astra Serif" w:hAnsi="PT Astra Serif"/>
        </w:rPr>
      </w:pPr>
      <w:r>
        <w:rPr>
          <w:rFonts w:ascii="PT Astra Serif" w:hAnsi="PT Astra Serif"/>
        </w:rPr>
      </w:r>
    </w:p>
    <w:p>
      <w:pPr>
        <w:pStyle w:val="Normal"/>
        <w:numPr>
          <w:ilvl w:val="0"/>
          <w:numId w:val="2"/>
        </w:numPr>
        <w:jc w:val="center"/>
        <w:rPr>
          <w:rFonts w:ascii="PT Astra Serif" w:hAnsi="PT Astra Serif"/>
          <w:b/>
        </w:rPr>
      </w:pPr>
      <w:r>
        <w:rPr>
          <w:rFonts w:ascii="PT Astra Serif" w:hAnsi="PT Astra Serif"/>
          <w:b/>
        </w:rPr>
        <w:t>Рассмотрение и разрешение споров</w:t>
      </w:r>
    </w:p>
    <w:p>
      <w:pPr>
        <w:pStyle w:val="Normal"/>
        <w:ind w:left="720"/>
        <w:rPr>
          <w:rFonts w:ascii="PT Astra Serif" w:hAnsi="PT Astra Serif"/>
          <w:b/>
        </w:rPr>
      </w:pPr>
      <w:r>
        <w:rPr>
          <w:rFonts w:ascii="PT Astra Serif" w:hAnsi="PT Astra Serif"/>
          <w:b/>
        </w:rPr>
      </w:r>
    </w:p>
    <w:p>
      <w:pPr>
        <w:pStyle w:val="Normal"/>
        <w:ind w:firstLine="567"/>
        <w:jc w:val="both"/>
        <w:rPr>
          <w:rFonts w:ascii="PT Astra Serif" w:hAnsi="PT Astra Serif"/>
        </w:rPr>
      </w:pPr>
      <w:r>
        <w:rPr>
          <w:rFonts w:ascii="PT Astra Serif" w:hAnsi="PT Astra Serif"/>
        </w:rPr>
        <w:t>8.1. 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Ивановской области в порядке, предусмотренном законодательством Российской Федерации.</w:t>
      </w:r>
    </w:p>
    <w:p>
      <w:pPr>
        <w:pStyle w:val="Normal"/>
        <w:ind w:firstLine="567"/>
        <w:jc w:val="both"/>
        <w:rPr>
          <w:rFonts w:ascii="PT Astra Serif" w:hAnsi="PT Astra Serif"/>
        </w:rPr>
      </w:pPr>
      <w:r>
        <w:rPr>
          <w:rFonts w:ascii="PT Astra Serif" w:hAnsi="PT Astra Serif"/>
        </w:rPr>
        <w:t xml:space="preserve">8.2.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w:t>
        <w:br/>
        <w:t>в письменной форме.</w:t>
      </w:r>
    </w:p>
    <w:p>
      <w:pPr>
        <w:pStyle w:val="Normal"/>
        <w:ind w:firstLine="567"/>
        <w:jc w:val="both"/>
        <w:rPr>
          <w:rFonts w:ascii="PT Astra Serif" w:hAnsi="PT Astra Serif"/>
        </w:rPr>
      </w:pPr>
      <w:r>
        <w:rPr>
          <w:rFonts w:ascii="PT Astra Serif" w:hAnsi="PT Astra Serif"/>
        </w:rPr>
      </w:r>
    </w:p>
    <w:p>
      <w:pPr>
        <w:pStyle w:val="Normal"/>
        <w:numPr>
          <w:ilvl w:val="0"/>
          <w:numId w:val="2"/>
        </w:numPr>
        <w:jc w:val="center"/>
        <w:rPr>
          <w:rFonts w:ascii="PT Astra Serif" w:hAnsi="PT Astra Serif"/>
          <w:b/>
        </w:rPr>
      </w:pPr>
      <w:r>
        <w:rPr>
          <w:rFonts w:ascii="PT Astra Serif" w:hAnsi="PT Astra Serif"/>
          <w:b/>
        </w:rPr>
        <w:t>Срок действия и порядок изменения, расторжения Контракта</w:t>
      </w:r>
    </w:p>
    <w:p>
      <w:pPr>
        <w:pStyle w:val="Normal"/>
        <w:ind w:firstLine="567"/>
        <w:jc w:val="both"/>
        <w:rPr>
          <w:rFonts w:ascii="PT Astra Serif" w:hAnsi="PT Astra Serif"/>
        </w:rPr>
      </w:pPr>
      <w:r>
        <w:rPr>
          <w:rFonts w:ascii="PT Astra Serif" w:hAnsi="PT Astra Serif"/>
        </w:rPr>
        <w:t>9.1. Настоящий Контракт вступает в силу с даты его заключения обеими Сторонами и действует по «01»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Normal"/>
        <w:ind w:firstLine="567"/>
        <w:jc w:val="both"/>
        <w:rPr>
          <w:rFonts w:ascii="PT Astra Serif" w:hAnsi="PT Astra Serif"/>
        </w:rPr>
      </w:pPr>
      <w:r>
        <w:rPr>
          <w:rFonts w:ascii="PT Astra Serif" w:hAnsi="PT Astra Serif"/>
        </w:rPr>
        <w:t xml:space="preserve">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b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rmal"/>
        <w:ind w:firstLine="567"/>
        <w:jc w:val="both"/>
        <w:rPr>
          <w:rFonts w:ascii="PT Astra Serif" w:hAnsi="PT Astra Serif"/>
        </w:rPr>
      </w:pPr>
      <w:r>
        <w:rPr>
          <w:rFonts w:ascii="PT Astra Serif" w:hAnsi="PT Astra Serif"/>
        </w:rPr>
        <w:t>9.3.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pPr>
        <w:pStyle w:val="Normal"/>
        <w:ind w:firstLine="567"/>
        <w:jc w:val="both"/>
        <w:rPr>
          <w:rFonts w:ascii="PT Astra Serif" w:hAnsi="PT Astra Serif"/>
        </w:rPr>
      </w:pPr>
      <w:r>
        <w:rPr>
          <w:rFonts w:ascii="PT Astra Serif" w:hAnsi="PT Astra Serif"/>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Normal"/>
        <w:ind w:firstLine="567"/>
        <w:jc w:val="both"/>
        <w:rPr>
          <w:rFonts w:ascii="PT Astra Serif" w:hAnsi="PT Astra Serif"/>
        </w:rPr>
      </w:pPr>
      <w:r>
        <w:rPr>
          <w:rFonts w:ascii="PT Astra Serif" w:hAnsi="PT Astra Serif"/>
        </w:rPr>
        <w:t>9.5. Изменение условий настоящего Контракта при его исполнении не допускается, за исключением случаев, предусмотренных статьей 95 Закона № 44-ФЗ.</w:t>
      </w:r>
    </w:p>
    <w:p>
      <w:pPr>
        <w:pStyle w:val="Normal"/>
        <w:ind w:firstLine="567"/>
        <w:jc w:val="center"/>
        <w:rPr>
          <w:rFonts w:ascii="PT Astra Serif" w:hAnsi="PT Astra Serif"/>
        </w:rPr>
      </w:pPr>
      <w:r>
        <w:rPr>
          <w:rFonts w:ascii="PT Astra Serif" w:hAnsi="PT Astra Serif"/>
        </w:rPr>
      </w:r>
    </w:p>
    <w:p>
      <w:pPr>
        <w:pStyle w:val="Normal"/>
        <w:numPr>
          <w:ilvl w:val="0"/>
          <w:numId w:val="2"/>
        </w:numPr>
        <w:jc w:val="center"/>
        <w:rPr>
          <w:rFonts w:ascii="PT Astra Serif" w:hAnsi="PT Astra Serif"/>
          <w:b/>
        </w:rPr>
      </w:pPr>
      <w:r>
        <w:rPr>
          <w:rFonts w:ascii="PT Astra Serif" w:hAnsi="PT Astra Serif"/>
          <w:b/>
        </w:rPr>
        <w:t>Прочие положения</w:t>
      </w:r>
    </w:p>
    <w:p>
      <w:pPr>
        <w:pStyle w:val="Normal"/>
        <w:ind w:left="360"/>
        <w:rPr>
          <w:rFonts w:ascii="PT Astra Serif" w:hAnsi="PT Astra Serif"/>
          <w:b/>
        </w:rPr>
      </w:pPr>
      <w:r>
        <w:rPr>
          <w:rFonts w:ascii="PT Astra Serif" w:hAnsi="PT Astra Serif"/>
          <w:b/>
        </w:rPr>
      </w:r>
    </w:p>
    <w:p>
      <w:pPr>
        <w:pStyle w:val="Normal"/>
        <w:ind w:firstLine="567"/>
        <w:jc w:val="both"/>
        <w:rPr>
          <w:rFonts w:ascii="PT Astra Serif" w:hAnsi="PT Astra Serif"/>
        </w:rPr>
      </w:pPr>
      <w:r>
        <w:rPr>
          <w:rFonts w:ascii="PT Astra Serif" w:hAnsi="PT Astra Serif"/>
        </w:rPr>
        <w:t>10.1. Во всем, что не оговорено в настоящем Контракте, Стороны руководствуются действующим законодательством Российской Федерации.</w:t>
      </w:r>
    </w:p>
    <w:p>
      <w:pPr>
        <w:pStyle w:val="Normal"/>
        <w:ind w:firstLine="567"/>
        <w:jc w:val="both"/>
        <w:rPr>
          <w:rFonts w:ascii="PT Astra Serif" w:hAnsi="PT Astra Serif"/>
        </w:rPr>
      </w:pPr>
      <w:r>
        <w:rPr>
          <w:rFonts w:ascii="PT Astra Serif" w:hAnsi="PT Astra Serif"/>
        </w:rPr>
        <w:t xml:space="preserve">10.2.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Исполнитель </w:t>
        <w:br/>
        <w:t>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pPr>
        <w:pStyle w:val="Normal"/>
        <w:ind w:firstLine="567"/>
        <w:jc w:val="both"/>
        <w:rPr>
          <w:rFonts w:ascii="PT Astra Serif" w:hAnsi="PT Astra Serif"/>
        </w:rPr>
      </w:pPr>
      <w:r>
        <w:rPr>
          <w:rFonts w:ascii="PT Astra Serif" w:hAnsi="PT Astra Serif"/>
        </w:rPr>
        <w:t xml:space="preserve">10.3.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w:t>
        <w:br/>
        <w:t>под расписку о вручении либо с использованием почтовой связи заказным письмом с уведомлением о вручении по адресам Сторон, указанным в разделе 10 настоящего Контракта, либо с использованием электронной почты на электронные адреса, указанные в разделе 10 настоящего Контракта, либо с использованием факсимильной связи.</w:t>
      </w:r>
    </w:p>
    <w:p>
      <w:pPr>
        <w:pStyle w:val="Normal"/>
        <w:ind w:firstLine="567"/>
        <w:jc w:val="both"/>
        <w:rPr>
          <w:rFonts w:ascii="PT Astra Serif" w:hAnsi="PT Astra Serif"/>
        </w:rPr>
      </w:pPr>
      <w:r>
        <w:rPr>
          <w:rFonts w:ascii="PT Astra Serif" w:hAnsi="PT Astra Serif"/>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10 настоящего Контракта, считается надлежащим уведомлением Сторон.</w:t>
      </w:r>
    </w:p>
    <w:p>
      <w:pPr>
        <w:pStyle w:val="Normal"/>
        <w:ind w:firstLine="567"/>
        <w:jc w:val="both"/>
        <w:rPr>
          <w:rFonts w:ascii="PT Astra Serif" w:hAnsi="PT Astra Serif"/>
        </w:rPr>
      </w:pPr>
      <w:r>
        <w:rPr>
          <w:rFonts w:ascii="PT Astra Serif" w:hAnsi="PT Astra Serif"/>
        </w:rPr>
        <w:t xml:space="preserve">10.4.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w:t>
        <w:br/>
        <w:t>по настоящему Контракту вследствие реорганизации юридического лица в форме преобразования, слияния или присоединения.</w:t>
      </w:r>
    </w:p>
    <w:p>
      <w:pPr>
        <w:pStyle w:val="Normal"/>
        <w:ind w:firstLine="567"/>
        <w:jc w:val="both"/>
        <w:rPr>
          <w:rFonts w:ascii="PT Astra Serif" w:hAnsi="PT Astra Serif"/>
        </w:rPr>
      </w:pPr>
      <w:r>
        <w:rPr>
          <w:rFonts w:ascii="PT Astra Serif" w:hAnsi="PT Astra Serif"/>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pPr>
        <w:pStyle w:val="Normal"/>
        <w:ind w:firstLine="567"/>
        <w:jc w:val="both"/>
        <w:rPr>
          <w:rFonts w:ascii="PT Astra Serif" w:hAnsi="PT Astra Serif"/>
        </w:rPr>
      </w:pPr>
      <w:r>
        <w:rPr>
          <w:rFonts w:ascii="PT Astra Serif" w:hAnsi="PT Astra Serif"/>
        </w:rPr>
        <w:t>10.5.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Normal"/>
        <w:ind w:firstLine="567"/>
        <w:jc w:val="both"/>
        <w:rPr>
          <w:rFonts w:ascii="PT Astra Serif" w:hAnsi="PT Astra Serif"/>
        </w:rPr>
      </w:pPr>
      <w:r>
        <w:rPr>
          <w:rFonts w:ascii="PT Astra Serif" w:hAnsi="PT Astra Serif"/>
        </w:rPr>
        <w:t>10.6. Настоящий Контракт составлен в двух экземплярах, идентичных по содержанию и имеющих одинаковую юридическую силу, один из которых передан Исполнителю, второй - находятся у Государственного заказчика.</w:t>
      </w:r>
    </w:p>
    <w:p>
      <w:pPr>
        <w:pStyle w:val="Normal"/>
        <w:rPr>
          <w:rFonts w:ascii="PT Astra Serif" w:hAnsi="PT Astra Serif"/>
        </w:rPr>
      </w:pPr>
      <w:r>
        <w:rPr>
          <w:rFonts w:ascii="PT Astra Serif" w:hAnsi="PT Astra Serif"/>
        </w:rPr>
      </w:r>
    </w:p>
    <w:p>
      <w:pPr>
        <w:pStyle w:val="Normal"/>
        <w:ind w:left="567"/>
        <w:jc w:val="center"/>
        <w:rPr>
          <w:rFonts w:ascii="PT Astra Serif" w:hAnsi="PT Astra Serif"/>
        </w:rPr>
      </w:pPr>
      <w:r>
        <w:rPr>
          <w:rFonts w:ascii="PT Astra Serif" w:hAnsi="PT Astra Serif"/>
        </w:rPr>
      </w:r>
    </w:p>
    <w:p>
      <w:pPr>
        <w:pStyle w:val="Normal"/>
        <w:spacing w:lineRule="auto" w:line="360"/>
        <w:ind w:right="-1"/>
        <w:jc w:val="center"/>
        <w:rPr>
          <w:rFonts w:ascii="PT Astra Serif" w:hAnsi="PT Astra Serif"/>
          <w:sz w:val="20"/>
          <w:szCs w:val="20"/>
        </w:rPr>
      </w:pPr>
      <w:r>
        <w:rPr>
          <w:rFonts w:ascii="PT Astra Serif" w:hAnsi="PT Astra Serif"/>
          <w:b/>
          <w:sz w:val="26"/>
          <w:szCs w:val="26"/>
        </w:rPr>
        <w:t>11. Юридические адреса, банковские реквизиты Сторон</w:t>
      </w:r>
    </w:p>
    <w:tbl>
      <w:tblPr>
        <w:tblW w:w="5000" w:type="pct"/>
        <w:jc w:val="left"/>
        <w:tblInd w:w="108" w:type="dxa"/>
        <w:tblLayout w:type="fixed"/>
        <w:tblCellMar>
          <w:top w:w="0" w:type="dxa"/>
          <w:left w:w="108" w:type="dxa"/>
          <w:bottom w:w="0" w:type="dxa"/>
          <w:right w:w="108" w:type="dxa"/>
        </w:tblCellMar>
        <w:tblLook w:val="0000"/>
      </w:tblPr>
      <w:tblGrid>
        <w:gridCol w:w="4843"/>
        <w:gridCol w:w="4793"/>
      </w:tblGrid>
      <w:tr>
        <w:trPr>
          <w:trHeight w:val="356" w:hRule="atLeast"/>
        </w:trPr>
        <w:tc>
          <w:tcPr>
            <w:tcW w:w="4843" w:type="dxa"/>
            <w:vMerge w:val="restart"/>
            <w:tcBorders/>
          </w:tcPr>
          <w:p>
            <w:pPr>
              <w:pStyle w:val="Normal"/>
              <w:ind w:right="-1"/>
              <w:jc w:val="center"/>
              <w:rPr>
                <w:rFonts w:ascii="PT Astra Serif" w:hAnsi="PT Astra Serif"/>
                <w:sz w:val="20"/>
                <w:szCs w:val="20"/>
              </w:rPr>
            </w:pPr>
            <w:r>
              <w:rPr>
                <w:rFonts w:ascii="PT Astra Serif" w:hAnsi="PT Astra Serif"/>
                <w:b/>
                <w:sz w:val="26"/>
                <w:szCs w:val="26"/>
              </w:rPr>
              <w:t>Государственный заказчик</w:t>
            </w:r>
          </w:p>
          <w:p>
            <w:pPr>
              <w:pStyle w:val="Normal"/>
              <w:ind w:right="-1"/>
              <w:jc w:val="center"/>
              <w:rPr>
                <w:rFonts w:ascii="PT Astra Serif" w:hAnsi="PT Astra Serif"/>
                <w:b/>
                <w:sz w:val="26"/>
                <w:szCs w:val="26"/>
              </w:rPr>
            </w:pPr>
            <w:r>
              <w:rPr>
                <w:rFonts w:ascii="PT Astra Serif" w:hAnsi="PT Astra Serif"/>
                <w:b/>
                <w:sz w:val="26"/>
                <w:szCs w:val="26"/>
              </w:rPr>
            </w:r>
          </w:p>
          <w:p>
            <w:pPr>
              <w:pStyle w:val="Normal"/>
              <w:ind w:right="-1"/>
              <w:jc w:val="center"/>
              <w:rPr>
                <w:rFonts w:ascii="PT Astra Serif" w:hAnsi="PT Astra Serif"/>
                <w:sz w:val="20"/>
                <w:szCs w:val="20"/>
              </w:rPr>
            </w:pPr>
            <w:r>
              <w:rPr>
                <w:rFonts w:ascii="PT Astra Serif" w:hAnsi="PT Astra Serif"/>
                <w:b/>
                <w:sz w:val="26"/>
                <w:szCs w:val="26"/>
              </w:rPr>
              <w:t>УФСИН России</w:t>
            </w:r>
          </w:p>
          <w:p>
            <w:pPr>
              <w:pStyle w:val="Normal"/>
              <w:ind w:right="-1"/>
              <w:jc w:val="center"/>
              <w:rPr>
                <w:rFonts w:ascii="PT Astra Serif" w:hAnsi="PT Astra Serif"/>
                <w:sz w:val="20"/>
                <w:szCs w:val="20"/>
              </w:rPr>
            </w:pPr>
            <w:r>
              <w:rPr>
                <w:rFonts w:ascii="PT Astra Serif" w:hAnsi="PT Astra Serif"/>
                <w:b/>
                <w:sz w:val="26"/>
                <w:szCs w:val="26"/>
              </w:rPr>
              <w:t>по Ивановской области</w:t>
            </w:r>
          </w:p>
        </w:tc>
        <w:tc>
          <w:tcPr>
            <w:tcW w:w="4793" w:type="dxa"/>
            <w:tcBorders/>
          </w:tcPr>
          <w:p>
            <w:pPr>
              <w:pStyle w:val="Normal"/>
              <w:ind w:right="-1"/>
              <w:jc w:val="center"/>
              <w:rPr>
                <w:rFonts w:ascii="PT Astra Serif" w:hAnsi="PT Astra Serif"/>
                <w:sz w:val="26"/>
                <w:szCs w:val="26"/>
              </w:rPr>
            </w:pPr>
            <w:r>
              <w:rPr>
                <w:rFonts w:ascii="PT Astra Serif" w:hAnsi="PT Astra Serif"/>
                <w:b/>
                <w:sz w:val="26"/>
                <w:szCs w:val="26"/>
              </w:rPr>
              <w:t>Исполнитель</w:t>
            </w:r>
          </w:p>
        </w:tc>
      </w:tr>
      <w:tr>
        <w:trPr>
          <w:trHeight w:val="356" w:hRule="atLeast"/>
        </w:trPr>
        <w:tc>
          <w:tcPr>
            <w:tcW w:w="4843" w:type="dxa"/>
            <w:vMerge w:val="continue"/>
            <w:tcBorders/>
          </w:tcPr>
          <w:p>
            <w:pPr>
              <w:pStyle w:val="Normal"/>
              <w:ind w:right="-1"/>
              <w:jc w:val="center"/>
              <w:rPr>
                <w:rFonts w:ascii="PT Astra Serif" w:hAnsi="PT Astra Serif"/>
                <w:b/>
                <w:sz w:val="26"/>
                <w:szCs w:val="26"/>
              </w:rPr>
            </w:pPr>
            <w:r>
              <w:rPr>
                <w:rFonts w:ascii="PT Astra Serif" w:hAnsi="PT Astra Serif"/>
                <w:b/>
                <w:sz w:val="26"/>
                <w:szCs w:val="26"/>
              </w:rPr>
            </w:r>
          </w:p>
        </w:tc>
        <w:tc>
          <w:tcPr>
            <w:tcW w:w="4793" w:type="dxa"/>
            <w:tcBorders>
              <w:bottom w:val="single" w:sz="4" w:space="0" w:color="000000"/>
            </w:tcBorders>
          </w:tcPr>
          <w:p>
            <w:pPr>
              <w:pStyle w:val="Normal"/>
              <w:ind w:right="-1"/>
              <w:jc w:val="center"/>
              <w:rPr>
                <w:rFonts w:ascii="PT Astra Serif" w:hAnsi="PT Astra Serif"/>
                <w:b/>
                <w:sz w:val="26"/>
                <w:szCs w:val="26"/>
              </w:rPr>
            </w:pPr>
            <w:r>
              <w:rPr>
                <w:rFonts w:ascii="PT Astra Serif" w:hAnsi="PT Astra Serif"/>
                <w:b/>
                <w:sz w:val="26"/>
                <w:szCs w:val="26"/>
              </w:rPr>
            </w:r>
          </w:p>
        </w:tc>
      </w:tr>
      <w:tr>
        <w:trPr>
          <w:trHeight w:val="356" w:hRule="atLeast"/>
        </w:trPr>
        <w:tc>
          <w:tcPr>
            <w:tcW w:w="4843" w:type="dxa"/>
            <w:vMerge w:val="continue"/>
            <w:tcBorders/>
          </w:tcPr>
          <w:p>
            <w:pPr>
              <w:pStyle w:val="Normal"/>
              <w:ind w:right="-1"/>
              <w:jc w:val="center"/>
              <w:rPr>
                <w:rFonts w:ascii="PT Astra Serif" w:hAnsi="PT Astra Serif"/>
                <w:b/>
                <w:sz w:val="26"/>
                <w:szCs w:val="26"/>
              </w:rPr>
            </w:pPr>
            <w:r>
              <w:rPr>
                <w:rFonts w:ascii="PT Astra Serif" w:hAnsi="PT Astra Serif"/>
                <w:b/>
                <w:sz w:val="26"/>
                <w:szCs w:val="26"/>
              </w:rPr>
            </w:r>
          </w:p>
        </w:tc>
        <w:tc>
          <w:tcPr>
            <w:tcW w:w="4793" w:type="dxa"/>
            <w:tcBorders>
              <w:top w:val="single" w:sz="4" w:space="0" w:color="000000"/>
              <w:bottom w:val="single" w:sz="4" w:space="0" w:color="000000"/>
            </w:tcBorders>
          </w:tcPr>
          <w:p>
            <w:pPr>
              <w:pStyle w:val="Normal"/>
              <w:ind w:right="-1"/>
              <w:jc w:val="center"/>
              <w:rPr>
                <w:rFonts w:ascii="PT Astra Serif" w:hAnsi="PT Astra Serif"/>
                <w:b/>
                <w:sz w:val="26"/>
                <w:szCs w:val="26"/>
              </w:rPr>
            </w:pPr>
            <w:r>
              <w:rPr>
                <w:rFonts w:ascii="PT Astra Serif" w:hAnsi="PT Astra Serif"/>
                <w:b/>
                <w:sz w:val="26"/>
                <w:szCs w:val="26"/>
              </w:rPr>
            </w:r>
          </w:p>
        </w:tc>
      </w:tr>
      <w:tr>
        <w:trPr>
          <w:trHeight w:val="356" w:hRule="atLeast"/>
        </w:trPr>
        <w:tc>
          <w:tcPr>
            <w:tcW w:w="4843" w:type="dxa"/>
            <w:vMerge w:val="continue"/>
            <w:tcBorders/>
          </w:tcPr>
          <w:p>
            <w:pPr>
              <w:pStyle w:val="Normal"/>
              <w:ind w:right="-1"/>
              <w:jc w:val="center"/>
              <w:rPr>
                <w:rFonts w:ascii="PT Astra Serif" w:hAnsi="PT Astra Serif"/>
                <w:b/>
                <w:sz w:val="26"/>
                <w:szCs w:val="26"/>
              </w:rPr>
            </w:pPr>
            <w:r>
              <w:rPr>
                <w:rFonts w:ascii="PT Astra Serif" w:hAnsi="PT Astra Serif"/>
                <w:b/>
                <w:sz w:val="26"/>
                <w:szCs w:val="26"/>
              </w:rPr>
            </w:r>
          </w:p>
        </w:tc>
        <w:tc>
          <w:tcPr>
            <w:tcW w:w="4793" w:type="dxa"/>
            <w:tcBorders>
              <w:top w:val="single" w:sz="4" w:space="0" w:color="000000"/>
              <w:bottom w:val="single" w:sz="4" w:space="0" w:color="000000"/>
            </w:tcBorders>
          </w:tcPr>
          <w:p>
            <w:pPr>
              <w:pStyle w:val="Normal"/>
              <w:ind w:right="-1"/>
              <w:jc w:val="center"/>
              <w:rPr>
                <w:rFonts w:ascii="PT Astra Serif" w:hAnsi="PT Astra Serif"/>
                <w:b/>
                <w:sz w:val="26"/>
                <w:szCs w:val="26"/>
              </w:rPr>
            </w:pPr>
            <w:r>
              <w:rPr>
                <w:rFonts w:ascii="PT Astra Serif" w:hAnsi="PT Astra Serif"/>
                <w:b/>
                <w:sz w:val="26"/>
                <w:szCs w:val="26"/>
              </w:rPr>
            </w:r>
          </w:p>
        </w:tc>
      </w:tr>
      <w:tr>
        <w:trPr>
          <w:trHeight w:val="356" w:hRule="atLeast"/>
        </w:trPr>
        <w:tc>
          <w:tcPr>
            <w:tcW w:w="4843" w:type="dxa"/>
            <w:vMerge w:val="continue"/>
            <w:tcBorders/>
          </w:tcPr>
          <w:p>
            <w:pPr>
              <w:pStyle w:val="Normal"/>
              <w:ind w:right="-1"/>
              <w:jc w:val="center"/>
              <w:rPr>
                <w:rFonts w:ascii="PT Astra Serif" w:hAnsi="PT Astra Serif"/>
                <w:b/>
                <w:sz w:val="26"/>
                <w:szCs w:val="26"/>
              </w:rPr>
            </w:pPr>
            <w:r>
              <w:rPr>
                <w:rFonts w:ascii="PT Astra Serif" w:hAnsi="PT Astra Serif"/>
                <w:b/>
                <w:sz w:val="26"/>
                <w:szCs w:val="26"/>
              </w:rPr>
            </w:r>
          </w:p>
        </w:tc>
        <w:tc>
          <w:tcPr>
            <w:tcW w:w="4793" w:type="dxa"/>
            <w:tcBorders>
              <w:top w:val="single" w:sz="4" w:space="0" w:color="000000"/>
              <w:bottom w:val="single" w:sz="4" w:space="0" w:color="000000"/>
            </w:tcBorders>
          </w:tcPr>
          <w:p>
            <w:pPr>
              <w:pStyle w:val="Normal"/>
              <w:ind w:right="-1"/>
              <w:jc w:val="center"/>
              <w:rPr>
                <w:rFonts w:ascii="PT Astra Serif" w:hAnsi="PT Astra Serif"/>
                <w:b/>
                <w:sz w:val="26"/>
                <w:szCs w:val="26"/>
              </w:rPr>
            </w:pPr>
            <w:r>
              <w:rPr>
                <w:rFonts w:ascii="PT Astra Serif" w:hAnsi="PT Astra Serif"/>
                <w:b/>
                <w:sz w:val="26"/>
                <w:szCs w:val="26"/>
              </w:rPr>
            </w:r>
          </w:p>
        </w:tc>
      </w:tr>
      <w:tr>
        <w:trPr>
          <w:trHeight w:val="356" w:hRule="atLeast"/>
        </w:trPr>
        <w:tc>
          <w:tcPr>
            <w:tcW w:w="4843" w:type="dxa"/>
            <w:vMerge w:val="restart"/>
            <w:tcBorders/>
          </w:tcPr>
          <w:p>
            <w:pPr>
              <w:pStyle w:val="Normal"/>
              <w:ind w:right="-1"/>
              <w:rPr>
                <w:rFonts w:ascii="PT Astra Serif" w:hAnsi="PT Astra Serif"/>
                <w:sz w:val="20"/>
                <w:szCs w:val="20"/>
              </w:rPr>
            </w:pPr>
            <w:r>
              <w:rPr>
                <w:rFonts w:ascii="PT Astra Serif" w:hAnsi="PT Astra Serif"/>
                <w:sz w:val="26"/>
                <w:szCs w:val="26"/>
              </w:rPr>
              <w:t>Юридический адрес:</w:t>
            </w:r>
          </w:p>
          <w:p>
            <w:pPr>
              <w:pStyle w:val="Normal"/>
              <w:ind w:right="-1"/>
              <w:rPr>
                <w:rFonts w:ascii="PT Astra Serif" w:hAnsi="PT Astra Serif"/>
                <w:sz w:val="20"/>
                <w:szCs w:val="20"/>
              </w:rPr>
            </w:pPr>
            <w:r>
              <w:rPr>
                <w:rFonts w:ascii="PT Astra Serif" w:hAnsi="PT Astra Serif"/>
                <w:sz w:val="26"/>
                <w:szCs w:val="26"/>
              </w:rPr>
              <w:t xml:space="preserve">153025, Ивановская область,                </w:t>
            </w:r>
          </w:p>
          <w:p>
            <w:pPr>
              <w:pStyle w:val="Normal"/>
              <w:ind w:right="-1"/>
              <w:rPr>
                <w:rFonts w:ascii="PT Astra Serif" w:hAnsi="PT Astra Serif"/>
                <w:sz w:val="20"/>
                <w:szCs w:val="20"/>
              </w:rPr>
            </w:pPr>
            <w:r>
              <w:rPr>
                <w:rFonts w:ascii="PT Astra Serif" w:hAnsi="PT Astra Serif"/>
                <w:sz w:val="26"/>
                <w:szCs w:val="26"/>
              </w:rPr>
              <w:t>г. Иваново, ул. Велижская д. 60</w:t>
            </w:r>
          </w:p>
          <w:p>
            <w:pPr>
              <w:pStyle w:val="Normal"/>
              <w:ind w:right="-1"/>
              <w:rPr>
                <w:rFonts w:ascii="PT Astra Serif" w:hAnsi="PT Astra Serif"/>
                <w:sz w:val="20"/>
                <w:szCs w:val="20"/>
              </w:rPr>
            </w:pPr>
            <w:r>
              <w:rPr>
                <w:rFonts w:ascii="PT Astra Serif" w:hAnsi="PT Astra Serif"/>
                <w:sz w:val="26"/>
                <w:szCs w:val="26"/>
              </w:rPr>
              <w:t>Тел.: (4932) 47-96-55, 47-96-24</w:t>
            </w:r>
          </w:p>
        </w:tc>
        <w:tc>
          <w:tcPr>
            <w:tcW w:w="4793" w:type="dxa"/>
            <w:tcBorders>
              <w:top w:val="single" w:sz="4" w:space="0" w:color="000000"/>
              <w:bottom w:val="single" w:sz="4" w:space="0" w:color="000000"/>
            </w:tcBorders>
          </w:tcPr>
          <w:p>
            <w:pPr>
              <w:pStyle w:val="Normal"/>
              <w:ind w:right="-1"/>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sz w:val="26"/>
                <w:szCs w:val="26"/>
              </w:rPr>
            </w:pPr>
            <w:r>
              <w:rPr>
                <w:rFonts w:ascii="PT Astra Serif" w:hAnsi="PT Astra Serif"/>
                <w:sz w:val="26"/>
                <w:szCs w:val="26"/>
              </w:rPr>
            </w:r>
          </w:p>
        </w:tc>
        <w:tc>
          <w:tcPr>
            <w:tcW w:w="4793" w:type="dxa"/>
            <w:tcBorders>
              <w:top w:val="single" w:sz="4" w:space="0" w:color="000000"/>
              <w:bottom w:val="single" w:sz="4" w:space="0" w:color="000000"/>
            </w:tcBorders>
          </w:tcPr>
          <w:p>
            <w:pPr>
              <w:pStyle w:val="Normal"/>
              <w:ind w:right="-1"/>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sz w:val="26"/>
                <w:szCs w:val="26"/>
              </w:rPr>
            </w:pPr>
            <w:r>
              <w:rPr>
                <w:rFonts w:ascii="PT Astra Serif" w:hAnsi="PT Astra Serif"/>
                <w:sz w:val="26"/>
                <w:szCs w:val="26"/>
              </w:rPr>
            </w:r>
          </w:p>
        </w:tc>
        <w:tc>
          <w:tcPr>
            <w:tcW w:w="4793" w:type="dxa"/>
            <w:tcBorders>
              <w:top w:val="single" w:sz="4" w:space="0" w:color="000000"/>
              <w:bottom w:val="single" w:sz="4" w:space="0" w:color="000000"/>
            </w:tcBorders>
          </w:tcPr>
          <w:p>
            <w:pPr>
              <w:pStyle w:val="Normal"/>
              <w:ind w:right="-1"/>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sz w:val="26"/>
                <w:szCs w:val="26"/>
              </w:rPr>
            </w:pPr>
            <w:r>
              <w:rPr>
                <w:rFonts w:ascii="PT Astra Serif" w:hAnsi="PT Astra Serif"/>
                <w:sz w:val="26"/>
                <w:szCs w:val="26"/>
              </w:rPr>
            </w:r>
          </w:p>
        </w:tc>
        <w:tc>
          <w:tcPr>
            <w:tcW w:w="4793" w:type="dxa"/>
            <w:tcBorders>
              <w:top w:val="single" w:sz="4" w:space="0" w:color="000000"/>
              <w:bottom w:val="single" w:sz="4" w:space="0" w:color="000000"/>
            </w:tcBorders>
          </w:tcPr>
          <w:p>
            <w:pPr>
              <w:pStyle w:val="Normal"/>
              <w:ind w:right="-1"/>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restart"/>
            <w:tcBorders/>
          </w:tcPr>
          <w:p>
            <w:pPr>
              <w:pStyle w:val="Normal"/>
              <w:ind w:right="-1"/>
              <w:rPr>
                <w:rFonts w:ascii="PT Astra Serif" w:hAnsi="PT Astra Serif"/>
                <w:sz w:val="20"/>
                <w:szCs w:val="20"/>
              </w:rPr>
            </w:pPr>
            <w:r>
              <w:rPr>
                <w:rFonts w:ascii="PT Astra Serif" w:hAnsi="PT Astra Serif"/>
                <w:sz w:val="26"/>
                <w:szCs w:val="26"/>
              </w:rPr>
              <w:t>Почтовый адрес:</w:t>
            </w:r>
          </w:p>
          <w:p>
            <w:pPr>
              <w:pStyle w:val="Normal"/>
              <w:ind w:right="-1"/>
              <w:rPr>
                <w:rFonts w:ascii="PT Astra Serif" w:hAnsi="PT Astra Serif"/>
                <w:sz w:val="20"/>
                <w:szCs w:val="20"/>
              </w:rPr>
            </w:pPr>
            <w:r>
              <w:rPr>
                <w:rFonts w:ascii="PT Astra Serif" w:hAnsi="PT Astra Serif"/>
                <w:sz w:val="26"/>
                <w:szCs w:val="26"/>
              </w:rPr>
              <w:t xml:space="preserve">153025, Ивановская область,                </w:t>
            </w:r>
          </w:p>
          <w:p>
            <w:pPr>
              <w:pStyle w:val="Normal"/>
              <w:ind w:right="-1"/>
              <w:rPr>
                <w:rFonts w:ascii="PT Astra Serif" w:hAnsi="PT Astra Serif"/>
                <w:sz w:val="20"/>
                <w:szCs w:val="20"/>
              </w:rPr>
            </w:pPr>
            <w:r>
              <w:rPr>
                <w:rFonts w:ascii="PT Astra Serif" w:hAnsi="PT Astra Serif"/>
                <w:sz w:val="26"/>
                <w:szCs w:val="26"/>
              </w:rPr>
              <w:t>г. Иваново, ул. Велижская д. 60</w:t>
            </w:r>
          </w:p>
          <w:p>
            <w:pPr>
              <w:pStyle w:val="Normal"/>
              <w:ind w:right="-1"/>
              <w:rPr>
                <w:rFonts w:ascii="PT Astra Serif" w:hAnsi="PT Astra Serif"/>
                <w:sz w:val="20"/>
                <w:szCs w:val="20"/>
              </w:rPr>
            </w:pPr>
            <w:r>
              <w:rPr>
                <w:rFonts w:ascii="PT Astra Serif" w:hAnsi="PT Astra Serif"/>
                <w:sz w:val="26"/>
                <w:szCs w:val="26"/>
              </w:rPr>
              <w:t>Тел.: (4932) 47-96-55, 47-96-24</w:t>
            </w:r>
          </w:p>
        </w:tc>
        <w:tc>
          <w:tcPr>
            <w:tcW w:w="4793" w:type="dxa"/>
            <w:tcBorders>
              <w:top w:val="single" w:sz="4" w:space="0" w:color="000000"/>
              <w:bottom w:val="single" w:sz="4" w:space="0" w:color="000000"/>
            </w:tcBorders>
          </w:tcPr>
          <w:p>
            <w:pPr>
              <w:pStyle w:val="Normal"/>
              <w:ind w:right="-1"/>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sz w:val="26"/>
                <w:szCs w:val="26"/>
              </w:rPr>
            </w:pPr>
            <w:r>
              <w:rPr>
                <w:rFonts w:ascii="PT Astra Serif" w:hAnsi="PT Astra Serif"/>
                <w:sz w:val="26"/>
                <w:szCs w:val="26"/>
              </w:rPr>
            </w:r>
          </w:p>
        </w:tc>
        <w:tc>
          <w:tcPr>
            <w:tcW w:w="4793" w:type="dxa"/>
            <w:tcBorders>
              <w:top w:val="single" w:sz="4" w:space="0" w:color="000000"/>
              <w:bottom w:val="single" w:sz="4" w:space="0" w:color="000000"/>
            </w:tcBorders>
          </w:tcPr>
          <w:p>
            <w:pPr>
              <w:pStyle w:val="Normal"/>
              <w:ind w:right="-1"/>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sz w:val="26"/>
                <w:szCs w:val="26"/>
              </w:rPr>
            </w:pPr>
            <w:r>
              <w:rPr>
                <w:rFonts w:ascii="PT Astra Serif" w:hAnsi="PT Astra Serif"/>
                <w:sz w:val="26"/>
                <w:szCs w:val="26"/>
              </w:rPr>
            </w:r>
          </w:p>
        </w:tc>
        <w:tc>
          <w:tcPr>
            <w:tcW w:w="4793" w:type="dxa"/>
            <w:tcBorders>
              <w:top w:val="single" w:sz="4" w:space="0" w:color="000000"/>
              <w:bottom w:val="single" w:sz="4" w:space="0" w:color="000000"/>
            </w:tcBorders>
          </w:tcPr>
          <w:p>
            <w:pPr>
              <w:pStyle w:val="Normal"/>
              <w:ind w:right="-1"/>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sz w:val="26"/>
                <w:szCs w:val="26"/>
              </w:rPr>
            </w:pPr>
            <w:r>
              <w:rPr>
                <w:rFonts w:ascii="PT Astra Serif" w:hAnsi="PT Astra Serif"/>
                <w:sz w:val="26"/>
                <w:szCs w:val="26"/>
              </w:rPr>
            </w:r>
          </w:p>
        </w:tc>
        <w:tc>
          <w:tcPr>
            <w:tcW w:w="4793" w:type="dxa"/>
            <w:tcBorders>
              <w:top w:val="single" w:sz="4" w:space="0" w:color="000000"/>
            </w:tcBorders>
          </w:tcPr>
          <w:p>
            <w:pPr>
              <w:pStyle w:val="Normal"/>
              <w:ind w:right="-1"/>
              <w:rPr>
                <w:rFonts w:ascii="PT Astra Serif" w:hAnsi="PT Astra Serif"/>
                <w:sz w:val="26"/>
                <w:szCs w:val="26"/>
              </w:rPr>
            </w:pPr>
            <w:r>
              <w:rPr>
                <w:rFonts w:ascii="PT Astra Serif" w:hAnsi="PT Astra Serif"/>
                <w:sz w:val="26"/>
                <w:szCs w:val="26"/>
              </w:rPr>
            </w:r>
          </w:p>
        </w:tc>
      </w:tr>
      <w:tr>
        <w:trPr>
          <w:trHeight w:val="356" w:hRule="atLeast"/>
        </w:trPr>
        <w:tc>
          <w:tcPr>
            <w:tcW w:w="4843" w:type="dxa"/>
            <w:tcBorders/>
          </w:tcPr>
          <w:p>
            <w:pPr>
              <w:pStyle w:val="Normal"/>
              <w:ind w:right="-1"/>
              <w:jc w:val="both"/>
              <w:rPr>
                <w:rFonts w:ascii="PT Astra Serif" w:hAnsi="PT Astra Serif"/>
                <w:sz w:val="20"/>
                <w:szCs w:val="20"/>
              </w:rPr>
            </w:pPr>
            <w:r>
              <w:rPr>
                <w:rFonts w:ascii="PT Astra Serif" w:hAnsi="PT Astra Serif"/>
                <w:b/>
                <w:color w:val="000000"/>
                <w:sz w:val="26"/>
                <w:szCs w:val="26"/>
              </w:rPr>
              <w:t>Банковские реквизиты:</w:t>
            </w:r>
          </w:p>
        </w:tc>
        <w:tc>
          <w:tcPr>
            <w:tcW w:w="4793" w:type="dxa"/>
            <w:tcBorders/>
          </w:tcPr>
          <w:p>
            <w:pPr>
              <w:pStyle w:val="Normal"/>
              <w:ind w:right="-1"/>
              <w:rPr>
                <w:rFonts w:ascii="PT Astra Serif" w:hAnsi="PT Astra Serif"/>
                <w:sz w:val="26"/>
                <w:szCs w:val="26"/>
              </w:rPr>
            </w:pPr>
            <w:r>
              <w:rPr>
                <w:rFonts w:ascii="PT Astra Serif" w:hAnsi="PT Astra Serif"/>
                <w:b/>
                <w:color w:val="000000"/>
                <w:sz w:val="26"/>
                <w:szCs w:val="26"/>
              </w:rPr>
              <w:t>Банковские реквизиты:</w:t>
            </w:r>
          </w:p>
        </w:tc>
      </w:tr>
      <w:tr>
        <w:trPr>
          <w:trHeight w:val="356" w:hRule="atLeast"/>
        </w:trPr>
        <w:tc>
          <w:tcPr>
            <w:tcW w:w="4843" w:type="dxa"/>
            <w:vMerge w:val="restart"/>
            <w:tcBorders/>
          </w:tcPr>
          <w:p>
            <w:pPr>
              <w:pStyle w:val="Normal"/>
              <w:spacing w:before="0" w:after="0"/>
              <w:ind w:right="132"/>
              <w:contextualSpacing/>
              <w:rPr>
                <w:bCs/>
              </w:rPr>
            </w:pPr>
            <w:r>
              <w:rPr>
                <w:bCs/>
              </w:rPr>
              <w:t>р/с (номер казначейского счета)</w:t>
            </w:r>
          </w:p>
          <w:p>
            <w:pPr>
              <w:pStyle w:val="Normal"/>
              <w:spacing w:before="0" w:after="0"/>
              <w:ind w:right="132"/>
              <w:contextualSpacing/>
              <w:rPr>
                <w:bCs/>
              </w:rPr>
            </w:pPr>
            <w:r>
              <w:rPr>
                <w:bCs/>
              </w:rPr>
              <w:t>03211643000000013237</w:t>
            </w:r>
          </w:p>
          <w:p>
            <w:pPr>
              <w:pStyle w:val="Normal"/>
              <w:spacing w:before="0" w:after="0"/>
              <w:ind w:right="132"/>
              <w:contextualSpacing/>
              <w:rPr>
                <w:bCs/>
              </w:rPr>
            </w:pPr>
            <w:r>
              <w:rPr>
                <w:bCs/>
              </w:rPr>
              <w:t>ОКЦ №1 Волго-Вятское ГУ Банка России//</w:t>
            </w:r>
          </w:p>
          <w:p>
            <w:pPr>
              <w:pStyle w:val="Normal"/>
              <w:spacing w:before="0" w:after="0"/>
              <w:ind w:right="132"/>
              <w:contextualSpacing/>
              <w:rPr>
                <w:bCs/>
              </w:rPr>
            </w:pPr>
            <w:r>
              <w:rPr>
                <w:bCs/>
              </w:rPr>
              <w:t xml:space="preserve">УФК по Нижегородской области, </w:t>
              <w:br/>
              <w:t>г.Нижний Новгород</w:t>
            </w:r>
          </w:p>
          <w:p>
            <w:pPr>
              <w:pStyle w:val="Normal"/>
              <w:spacing w:before="0" w:after="0"/>
              <w:ind w:right="132"/>
              <w:contextualSpacing/>
              <w:rPr>
                <w:bCs/>
              </w:rPr>
            </w:pPr>
            <w:r>
              <w:rPr>
                <w:bCs/>
              </w:rPr>
              <w:t xml:space="preserve"> </w:t>
            </w:r>
            <w:r>
              <w:rPr>
                <w:bCs/>
              </w:rPr>
              <w:t xml:space="preserve">л/с 03331229660  </w:t>
            </w:r>
          </w:p>
          <w:p>
            <w:pPr>
              <w:pStyle w:val="Normal"/>
              <w:spacing w:before="0" w:after="0"/>
              <w:ind w:right="132"/>
              <w:contextualSpacing/>
              <w:rPr>
                <w:bCs/>
              </w:rPr>
            </w:pPr>
            <w:r>
              <w:rPr>
                <w:bCs/>
              </w:rPr>
              <w:t xml:space="preserve">ИНН 3729022706 КПП 370201001 </w:t>
            </w:r>
          </w:p>
          <w:p>
            <w:pPr>
              <w:pStyle w:val="Normal"/>
              <w:spacing w:before="0" w:after="0"/>
              <w:ind w:right="132"/>
              <w:contextualSpacing/>
              <w:rPr>
                <w:bCs/>
              </w:rPr>
            </w:pPr>
            <w:r>
              <w:rPr>
                <w:bCs/>
              </w:rPr>
              <w:t>БИК 012202102</w:t>
            </w:r>
          </w:p>
          <w:p>
            <w:pPr>
              <w:pStyle w:val="Normal"/>
              <w:spacing w:before="0" w:after="0"/>
              <w:ind w:right="132"/>
              <w:contextualSpacing/>
              <w:rPr>
                <w:bCs/>
              </w:rPr>
            </w:pPr>
            <w:r>
              <w:rPr>
                <w:bCs/>
              </w:rPr>
              <w:t>к/сч (номер банковского счета, входящего</w:t>
              <w:br/>
              <w:t>в состав ЕКС) 40102810745370000024</w:t>
            </w:r>
          </w:p>
          <w:p>
            <w:pPr>
              <w:pStyle w:val="Normal"/>
              <w:ind w:right="-1"/>
              <w:rPr>
                <w:rFonts w:ascii="PT Astra Serif" w:hAnsi="PT Astra Serif"/>
                <w:sz w:val="20"/>
                <w:szCs w:val="20"/>
              </w:rPr>
            </w:pPr>
            <w:r>
              <w:rPr>
                <w:rFonts w:ascii="PT Astra Serif" w:hAnsi="PT Astra Serif"/>
                <w:sz w:val="20"/>
                <w:szCs w:val="20"/>
              </w:rPr>
            </w:r>
          </w:p>
        </w:tc>
        <w:tc>
          <w:tcPr>
            <w:tcW w:w="4793" w:type="dxa"/>
            <w:tcBorders>
              <w:bottom w:val="single" w:sz="4" w:space="0" w:color="000000"/>
            </w:tcBorders>
          </w:tcPr>
          <w:p>
            <w:pPr>
              <w:pStyle w:val="Normal"/>
              <w:widowControl w:val="false"/>
              <w:jc w:val="both"/>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color w:val="000000"/>
                <w:sz w:val="26"/>
                <w:szCs w:val="26"/>
              </w:rPr>
            </w:pPr>
            <w:r>
              <w:rPr>
                <w:rFonts w:ascii="PT Astra Serif" w:hAnsi="PT Astra Serif"/>
                <w:color w:val="000000"/>
                <w:sz w:val="26"/>
                <w:szCs w:val="26"/>
              </w:rPr>
            </w:r>
          </w:p>
        </w:tc>
        <w:tc>
          <w:tcPr>
            <w:tcW w:w="4793" w:type="dxa"/>
            <w:tcBorders>
              <w:top w:val="single" w:sz="4" w:space="0" w:color="000000"/>
              <w:bottom w:val="single" w:sz="4" w:space="0" w:color="000000"/>
            </w:tcBorders>
          </w:tcPr>
          <w:p>
            <w:pPr>
              <w:pStyle w:val="Normal"/>
              <w:widowControl w:val="false"/>
              <w:jc w:val="both"/>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color w:val="000000"/>
                <w:sz w:val="26"/>
                <w:szCs w:val="26"/>
              </w:rPr>
            </w:pPr>
            <w:r>
              <w:rPr>
                <w:rFonts w:ascii="PT Astra Serif" w:hAnsi="PT Astra Serif"/>
                <w:color w:val="000000"/>
                <w:sz w:val="26"/>
                <w:szCs w:val="26"/>
              </w:rPr>
            </w:r>
          </w:p>
        </w:tc>
        <w:tc>
          <w:tcPr>
            <w:tcW w:w="4793" w:type="dxa"/>
            <w:tcBorders>
              <w:top w:val="single" w:sz="4" w:space="0" w:color="000000"/>
              <w:bottom w:val="single" w:sz="4" w:space="0" w:color="000000"/>
            </w:tcBorders>
          </w:tcPr>
          <w:p>
            <w:pPr>
              <w:pStyle w:val="Normal"/>
              <w:widowControl w:val="false"/>
              <w:jc w:val="both"/>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color w:val="000000"/>
                <w:sz w:val="26"/>
                <w:szCs w:val="26"/>
              </w:rPr>
            </w:pPr>
            <w:r>
              <w:rPr>
                <w:rFonts w:ascii="PT Astra Serif" w:hAnsi="PT Astra Serif"/>
                <w:color w:val="000000"/>
                <w:sz w:val="26"/>
                <w:szCs w:val="26"/>
              </w:rPr>
            </w:r>
          </w:p>
        </w:tc>
        <w:tc>
          <w:tcPr>
            <w:tcW w:w="4793" w:type="dxa"/>
            <w:tcBorders>
              <w:top w:val="single" w:sz="4" w:space="0" w:color="000000"/>
              <w:bottom w:val="single" w:sz="4" w:space="0" w:color="000000"/>
            </w:tcBorders>
          </w:tcPr>
          <w:p>
            <w:pPr>
              <w:pStyle w:val="Normal"/>
              <w:widowControl w:val="false"/>
              <w:jc w:val="both"/>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color w:val="000000"/>
                <w:sz w:val="26"/>
                <w:szCs w:val="26"/>
              </w:rPr>
            </w:pPr>
            <w:r>
              <w:rPr>
                <w:rFonts w:ascii="PT Astra Serif" w:hAnsi="PT Astra Serif"/>
                <w:color w:val="000000"/>
                <w:sz w:val="26"/>
                <w:szCs w:val="26"/>
              </w:rPr>
            </w:r>
          </w:p>
        </w:tc>
        <w:tc>
          <w:tcPr>
            <w:tcW w:w="4793" w:type="dxa"/>
            <w:tcBorders>
              <w:top w:val="single" w:sz="4" w:space="0" w:color="000000"/>
              <w:bottom w:val="single" w:sz="4" w:space="0" w:color="000000"/>
            </w:tcBorders>
          </w:tcPr>
          <w:p>
            <w:pPr>
              <w:pStyle w:val="Normal"/>
              <w:widowControl w:val="false"/>
              <w:jc w:val="both"/>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color w:val="000000"/>
                <w:sz w:val="26"/>
                <w:szCs w:val="26"/>
              </w:rPr>
            </w:pPr>
            <w:r>
              <w:rPr>
                <w:rFonts w:ascii="PT Astra Serif" w:hAnsi="PT Astra Serif"/>
                <w:color w:val="000000"/>
                <w:sz w:val="26"/>
                <w:szCs w:val="26"/>
              </w:rPr>
            </w:r>
          </w:p>
        </w:tc>
        <w:tc>
          <w:tcPr>
            <w:tcW w:w="4793" w:type="dxa"/>
            <w:tcBorders>
              <w:top w:val="single" w:sz="4" w:space="0" w:color="000000"/>
              <w:bottom w:val="single" w:sz="4" w:space="0" w:color="000000"/>
            </w:tcBorders>
          </w:tcPr>
          <w:p>
            <w:pPr>
              <w:pStyle w:val="Normal"/>
              <w:widowControl w:val="false"/>
              <w:jc w:val="both"/>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color w:val="000000"/>
                <w:sz w:val="26"/>
                <w:szCs w:val="26"/>
              </w:rPr>
            </w:pPr>
            <w:r>
              <w:rPr>
                <w:rFonts w:ascii="PT Astra Serif" w:hAnsi="PT Astra Serif"/>
                <w:color w:val="000000"/>
                <w:sz w:val="26"/>
                <w:szCs w:val="26"/>
              </w:rPr>
            </w:r>
          </w:p>
        </w:tc>
        <w:tc>
          <w:tcPr>
            <w:tcW w:w="4793" w:type="dxa"/>
            <w:tcBorders>
              <w:top w:val="single" w:sz="4" w:space="0" w:color="000000"/>
              <w:bottom w:val="single" w:sz="4" w:space="0" w:color="000000"/>
            </w:tcBorders>
          </w:tcPr>
          <w:p>
            <w:pPr>
              <w:pStyle w:val="Normal"/>
              <w:widowControl w:val="false"/>
              <w:jc w:val="both"/>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color w:val="000000"/>
                <w:sz w:val="26"/>
                <w:szCs w:val="26"/>
              </w:rPr>
            </w:pPr>
            <w:r>
              <w:rPr>
                <w:rFonts w:ascii="PT Astra Serif" w:hAnsi="PT Astra Serif"/>
                <w:color w:val="000000"/>
                <w:sz w:val="26"/>
                <w:szCs w:val="26"/>
              </w:rPr>
            </w:r>
          </w:p>
        </w:tc>
        <w:tc>
          <w:tcPr>
            <w:tcW w:w="4793" w:type="dxa"/>
            <w:tcBorders>
              <w:top w:val="single" w:sz="4" w:space="0" w:color="000000"/>
              <w:bottom w:val="single" w:sz="4" w:space="0" w:color="000000"/>
            </w:tcBorders>
          </w:tcPr>
          <w:p>
            <w:pPr>
              <w:pStyle w:val="Normal"/>
              <w:widowControl w:val="false"/>
              <w:jc w:val="both"/>
              <w:rPr>
                <w:rFonts w:ascii="PT Astra Serif" w:hAnsi="PT Astra Serif"/>
                <w:sz w:val="26"/>
                <w:szCs w:val="26"/>
              </w:rPr>
            </w:pPr>
            <w:r>
              <w:rPr>
                <w:rFonts w:ascii="PT Astra Serif" w:hAnsi="PT Astra Serif"/>
                <w:sz w:val="26"/>
                <w:szCs w:val="26"/>
              </w:rPr>
            </w:r>
          </w:p>
        </w:tc>
      </w:tr>
      <w:tr>
        <w:trPr>
          <w:trHeight w:val="356" w:hRule="atLeast"/>
        </w:trPr>
        <w:tc>
          <w:tcPr>
            <w:tcW w:w="4843" w:type="dxa"/>
            <w:vMerge w:val="continue"/>
            <w:tcBorders/>
          </w:tcPr>
          <w:p>
            <w:pPr>
              <w:pStyle w:val="Normal"/>
              <w:ind w:right="-1"/>
              <w:rPr>
                <w:rFonts w:ascii="PT Astra Serif" w:hAnsi="PT Astra Serif"/>
                <w:color w:val="000000"/>
                <w:sz w:val="26"/>
                <w:szCs w:val="26"/>
              </w:rPr>
            </w:pPr>
            <w:r>
              <w:rPr>
                <w:rFonts w:ascii="PT Astra Serif" w:hAnsi="PT Astra Serif"/>
                <w:color w:val="000000"/>
                <w:sz w:val="26"/>
                <w:szCs w:val="26"/>
              </w:rPr>
            </w:r>
          </w:p>
        </w:tc>
        <w:tc>
          <w:tcPr>
            <w:tcW w:w="4793" w:type="dxa"/>
            <w:tcBorders>
              <w:top w:val="single" w:sz="4" w:space="0" w:color="000000"/>
            </w:tcBorders>
          </w:tcPr>
          <w:p>
            <w:pPr>
              <w:pStyle w:val="Normal"/>
              <w:widowControl w:val="false"/>
              <w:jc w:val="both"/>
              <w:rPr>
                <w:rFonts w:ascii="PT Astra Serif" w:hAnsi="PT Astra Serif"/>
                <w:sz w:val="26"/>
                <w:szCs w:val="26"/>
              </w:rPr>
            </w:pPr>
            <w:r>
              <w:rPr>
                <w:rFonts w:ascii="PT Astra Serif" w:hAnsi="PT Astra Serif"/>
                <w:sz w:val="26"/>
                <w:szCs w:val="26"/>
              </w:rPr>
            </w:r>
          </w:p>
        </w:tc>
      </w:tr>
      <w:tr>
        <w:trPr>
          <w:trHeight w:val="1291" w:hRule="atLeast"/>
        </w:trPr>
        <w:tc>
          <w:tcPr>
            <w:tcW w:w="4843" w:type="dxa"/>
            <w:tcBorders/>
          </w:tcPr>
          <w:p>
            <w:pPr>
              <w:pStyle w:val="Normal"/>
              <w:widowControl w:val="false"/>
              <w:ind w:right="-1"/>
              <w:jc w:val="center"/>
              <w:rPr>
                <w:rFonts w:ascii="PT Astra Serif" w:hAnsi="PT Astra Serif"/>
                <w:sz w:val="20"/>
                <w:szCs w:val="20"/>
              </w:rPr>
            </w:pPr>
            <w:r>
              <w:rPr>
                <w:rFonts w:ascii="PT Astra Serif" w:hAnsi="PT Astra Serif"/>
                <w:b/>
                <w:sz w:val="26"/>
                <w:szCs w:val="26"/>
              </w:rPr>
              <w:t>ГОСУДАРСТВЕННЫЙ ЗАКАЗЧИК</w:t>
            </w:r>
          </w:p>
          <w:p>
            <w:pPr>
              <w:pStyle w:val="Normal"/>
              <w:widowControl w:val="false"/>
              <w:ind w:hanging="69" w:right="-1"/>
              <w:jc w:val="center"/>
              <w:rPr>
                <w:rFonts w:ascii="PT Astra Serif" w:hAnsi="PT Astra Serif"/>
                <w:b/>
                <w:bCs/>
                <w:sz w:val="26"/>
                <w:szCs w:val="26"/>
              </w:rPr>
            </w:pPr>
            <w:r>
              <w:rPr>
                <w:rFonts w:ascii="PT Astra Serif" w:hAnsi="PT Astra Serif"/>
                <w:b/>
                <w:bCs/>
                <w:sz w:val="26"/>
                <w:szCs w:val="26"/>
              </w:rPr>
            </w:r>
          </w:p>
          <w:p>
            <w:pPr>
              <w:pStyle w:val="Normal"/>
              <w:widowControl w:val="false"/>
              <w:ind w:hanging="69" w:right="-1"/>
              <w:jc w:val="center"/>
              <w:rPr>
                <w:rFonts w:ascii="PT Astra Serif" w:hAnsi="PT Astra Serif"/>
                <w:sz w:val="20"/>
                <w:szCs w:val="20"/>
              </w:rPr>
            </w:pPr>
            <w:r>
              <w:rPr>
                <w:rFonts w:ascii="PT Astra Serif" w:hAnsi="PT Astra Serif"/>
                <w:b/>
                <w:bCs/>
                <w:sz w:val="26"/>
                <w:szCs w:val="26"/>
              </w:rPr>
              <w:t xml:space="preserve">УФСИН России </w:t>
            </w:r>
          </w:p>
          <w:p>
            <w:pPr>
              <w:pStyle w:val="Normal"/>
              <w:widowControl w:val="false"/>
              <w:ind w:right="-1"/>
              <w:jc w:val="center"/>
              <w:rPr>
                <w:rFonts w:ascii="PT Astra Serif" w:hAnsi="PT Astra Serif"/>
                <w:sz w:val="20"/>
                <w:szCs w:val="20"/>
              </w:rPr>
            </w:pPr>
            <w:r>
              <w:rPr>
                <w:rFonts w:ascii="PT Astra Serif" w:hAnsi="PT Astra Serif"/>
                <w:b/>
                <w:bCs/>
                <w:sz w:val="26"/>
                <w:szCs w:val="26"/>
              </w:rPr>
              <w:t>по Ивановской области</w:t>
            </w:r>
          </w:p>
        </w:tc>
        <w:tc>
          <w:tcPr>
            <w:tcW w:w="4793" w:type="dxa"/>
            <w:tcBorders/>
          </w:tcPr>
          <w:p>
            <w:pPr>
              <w:pStyle w:val="Normal"/>
              <w:ind w:right="-1"/>
              <w:jc w:val="center"/>
              <w:rPr>
                <w:rFonts w:ascii="PT Astra Serif" w:hAnsi="PT Astra Serif"/>
                <w:sz w:val="20"/>
                <w:szCs w:val="20"/>
              </w:rPr>
            </w:pPr>
            <w:r>
              <w:rPr>
                <w:rFonts w:ascii="PT Astra Serif" w:hAnsi="PT Astra Serif"/>
                <w:b/>
                <w:sz w:val="26"/>
                <w:szCs w:val="26"/>
              </w:rPr>
              <w:t>ИСПОЛНИТЕЛЬ</w:t>
            </w:r>
          </w:p>
          <w:p>
            <w:pPr>
              <w:pStyle w:val="Normal"/>
              <w:widowControl w:val="false"/>
              <w:ind w:right="-1"/>
              <w:jc w:val="center"/>
              <w:rPr>
                <w:rFonts w:ascii="PT Astra Serif" w:hAnsi="PT Astra Serif"/>
                <w:b/>
                <w:sz w:val="26"/>
                <w:szCs w:val="26"/>
              </w:rPr>
            </w:pPr>
            <w:r>
              <w:rPr>
                <w:rFonts w:ascii="PT Astra Serif" w:hAnsi="PT Astra Serif"/>
                <w:b/>
                <w:sz w:val="26"/>
                <w:szCs w:val="26"/>
              </w:rPr>
              <w:t>_____________________________</w:t>
              <w:br/>
              <w:t>_____________________________</w:t>
            </w:r>
          </w:p>
          <w:p>
            <w:pPr>
              <w:pStyle w:val="Normal"/>
              <w:widowControl w:val="false"/>
              <w:ind w:right="-1"/>
              <w:jc w:val="center"/>
              <w:rPr>
                <w:rFonts w:ascii="PT Astra Serif" w:hAnsi="PT Astra Serif"/>
                <w:b/>
                <w:sz w:val="26"/>
                <w:szCs w:val="26"/>
              </w:rPr>
            </w:pPr>
            <w:r>
              <w:rPr>
                <w:rFonts w:ascii="PT Astra Serif" w:hAnsi="PT Astra Serif"/>
                <w:b/>
                <w:sz w:val="26"/>
                <w:szCs w:val="26"/>
              </w:rPr>
              <w:t>_____________________________</w:t>
            </w:r>
          </w:p>
          <w:p>
            <w:pPr>
              <w:pStyle w:val="Normal"/>
              <w:widowControl w:val="false"/>
              <w:ind w:right="-1"/>
              <w:jc w:val="center"/>
              <w:rPr>
                <w:rFonts w:ascii="PT Astra Serif" w:hAnsi="PT Astra Serif"/>
                <w:b/>
                <w:sz w:val="26"/>
                <w:szCs w:val="26"/>
              </w:rPr>
            </w:pPr>
            <w:r>
              <w:rPr>
                <w:rFonts w:ascii="PT Astra Serif" w:hAnsi="PT Astra Serif"/>
                <w:b/>
                <w:sz w:val="26"/>
                <w:szCs w:val="26"/>
              </w:rPr>
            </w:r>
          </w:p>
        </w:tc>
      </w:tr>
      <w:tr>
        <w:trPr>
          <w:trHeight w:val="789" w:hRule="atLeast"/>
        </w:trPr>
        <w:tc>
          <w:tcPr>
            <w:tcW w:w="4843" w:type="dxa"/>
            <w:tcBorders/>
          </w:tcPr>
          <w:p>
            <w:pPr>
              <w:pStyle w:val="Normal"/>
              <w:widowControl w:val="false"/>
              <w:ind w:right="-1"/>
              <w:rPr>
                <w:rFonts w:ascii="PT Astra Serif" w:hAnsi="PT Astra Serif"/>
                <w:sz w:val="26"/>
                <w:szCs w:val="26"/>
              </w:rPr>
            </w:pPr>
            <w:r>
              <w:rPr>
                <w:rFonts w:ascii="PT Astra Serif" w:hAnsi="PT Astra Serif"/>
                <w:sz w:val="26"/>
                <w:szCs w:val="26"/>
              </w:rPr>
            </w:r>
          </w:p>
          <w:p>
            <w:pPr>
              <w:pStyle w:val="Normal"/>
              <w:widowControl w:val="false"/>
              <w:ind w:right="-1"/>
              <w:jc w:val="center"/>
              <w:rPr>
                <w:rFonts w:ascii="PT Astra Serif" w:hAnsi="PT Astra Serif"/>
                <w:sz w:val="26"/>
                <w:szCs w:val="26"/>
              </w:rPr>
            </w:pPr>
            <w:r>
              <w:rPr>
                <w:rFonts w:ascii="PT Astra Serif" w:hAnsi="PT Astra Serif"/>
                <w:sz w:val="26"/>
                <w:szCs w:val="26"/>
              </w:rPr>
            </w:r>
          </w:p>
          <w:p>
            <w:pPr>
              <w:pStyle w:val="Normal"/>
              <w:widowControl w:val="false"/>
              <w:ind w:right="-1"/>
              <w:jc w:val="center"/>
              <w:rPr>
                <w:rFonts w:ascii="PT Astra Serif" w:hAnsi="PT Astra Serif"/>
                <w:sz w:val="20"/>
                <w:szCs w:val="20"/>
                <w:lang w:val="en-US"/>
              </w:rPr>
            </w:pPr>
            <w:r>
              <w:rPr>
                <w:rFonts w:ascii="PT Astra Serif" w:hAnsi="PT Astra Serif"/>
                <w:b/>
                <w:sz w:val="26"/>
                <w:szCs w:val="26"/>
              </w:rPr>
              <w:t>________</w:t>
              <w:softHyphen/>
              <w:softHyphen/>
              <w:softHyphen/>
              <w:softHyphen/>
              <w:softHyphen/>
              <w:softHyphen/>
              <w:softHyphen/>
              <w:softHyphen/>
              <w:softHyphen/>
              <w:softHyphen/>
              <w:softHyphen/>
              <w:softHyphen/>
              <w:softHyphen/>
              <w:softHyphen/>
            </w:r>
            <w:r>
              <w:rPr>
                <w:rFonts w:ascii="PT Astra Serif" w:hAnsi="PT Astra Serif"/>
                <w:bCs/>
                <w:sz w:val="26"/>
                <w:szCs w:val="26"/>
              </w:rPr>
              <w:t xml:space="preserve">_____     / </w:t>
            </w:r>
          </w:p>
        </w:tc>
        <w:tc>
          <w:tcPr>
            <w:tcW w:w="4793" w:type="dxa"/>
            <w:tcBorders/>
          </w:tcPr>
          <w:p>
            <w:pPr>
              <w:pStyle w:val="Normal"/>
              <w:widowControl w:val="false"/>
              <w:ind w:right="-1"/>
              <w:rPr>
                <w:rFonts w:ascii="PT Astra Serif" w:hAnsi="PT Astra Serif"/>
                <w:b/>
                <w:sz w:val="26"/>
                <w:szCs w:val="26"/>
              </w:rPr>
            </w:pPr>
            <w:r>
              <w:rPr>
                <w:rFonts w:ascii="PT Astra Serif" w:hAnsi="PT Astra Serif"/>
                <w:b/>
                <w:sz w:val="26"/>
                <w:szCs w:val="26"/>
              </w:rPr>
            </w:r>
          </w:p>
          <w:p>
            <w:pPr>
              <w:pStyle w:val="Normal"/>
              <w:widowControl w:val="false"/>
              <w:ind w:right="-1"/>
              <w:jc w:val="center"/>
              <w:rPr>
                <w:rFonts w:ascii="PT Astra Serif" w:hAnsi="PT Astra Serif"/>
                <w:sz w:val="26"/>
                <w:szCs w:val="26"/>
              </w:rPr>
            </w:pPr>
            <w:r>
              <w:rPr>
                <w:rFonts w:ascii="PT Astra Serif" w:hAnsi="PT Astra Serif"/>
                <w:sz w:val="26"/>
                <w:szCs w:val="26"/>
              </w:rPr>
            </w:r>
          </w:p>
          <w:p>
            <w:pPr>
              <w:pStyle w:val="Normal"/>
              <w:widowControl w:val="false"/>
              <w:ind w:right="-1"/>
              <w:jc w:val="center"/>
              <w:rPr>
                <w:rFonts w:ascii="PT Astra Serif" w:hAnsi="PT Astra Serif"/>
                <w:sz w:val="20"/>
                <w:szCs w:val="20"/>
              </w:rPr>
            </w:pPr>
            <w:r>
              <w:rPr>
                <w:rFonts w:ascii="PT Astra Serif" w:hAnsi="PT Astra Serif"/>
                <w:b/>
                <w:sz w:val="26"/>
                <w:szCs w:val="26"/>
              </w:rPr>
              <w:t>________</w:t>
              <w:softHyphen/>
              <w:softHyphen/>
              <w:softHyphen/>
              <w:softHyphen/>
              <w:softHyphen/>
              <w:softHyphen/>
              <w:softHyphen/>
              <w:softHyphen/>
              <w:softHyphen/>
              <w:softHyphen/>
              <w:softHyphen/>
              <w:softHyphen/>
              <w:softHyphen/>
              <w:softHyphen/>
              <w:t xml:space="preserve">_____ /   </w:t>
            </w:r>
          </w:p>
        </w:tc>
      </w:tr>
      <w:tr>
        <w:trPr/>
        <w:tc>
          <w:tcPr>
            <w:tcW w:w="4843" w:type="dxa"/>
            <w:tcBorders/>
          </w:tcPr>
          <w:p>
            <w:pPr>
              <w:pStyle w:val="Normal"/>
              <w:widowControl w:val="false"/>
              <w:ind w:right="-1"/>
              <w:rPr>
                <w:rFonts w:ascii="PT Astra Serif" w:hAnsi="PT Astra Serif"/>
                <w:sz w:val="20"/>
                <w:szCs w:val="20"/>
              </w:rPr>
            </w:pPr>
            <w:r>
              <w:rPr>
                <w:rFonts w:ascii="PT Astra Serif" w:hAnsi="PT Astra Serif"/>
                <w:sz w:val="20"/>
                <w:szCs w:val="20"/>
              </w:rPr>
              <w:t xml:space="preserve">                   </w:t>
            </w:r>
          </w:p>
          <w:p>
            <w:pPr>
              <w:pStyle w:val="Normal"/>
              <w:widowControl w:val="false"/>
              <w:ind w:right="-1"/>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М.П.</w:t>
            </w:r>
          </w:p>
        </w:tc>
        <w:tc>
          <w:tcPr>
            <w:tcW w:w="4793" w:type="dxa"/>
            <w:tcBorders/>
          </w:tcPr>
          <w:p>
            <w:pPr>
              <w:pStyle w:val="Normal"/>
              <w:widowControl w:val="false"/>
              <w:ind w:right="-1"/>
              <w:jc w:val="both"/>
              <w:rPr>
                <w:rFonts w:ascii="PT Astra Serif" w:hAnsi="PT Astra Serif"/>
                <w:sz w:val="20"/>
                <w:szCs w:val="20"/>
              </w:rPr>
            </w:pPr>
            <w:r>
              <w:rPr>
                <w:rFonts w:ascii="PT Astra Serif" w:hAnsi="PT Astra Serif"/>
                <w:sz w:val="20"/>
                <w:szCs w:val="20"/>
              </w:rPr>
              <w:t xml:space="preserve">                                        </w:t>
            </w:r>
          </w:p>
          <w:p>
            <w:pPr>
              <w:pStyle w:val="Normal"/>
              <w:widowControl w:val="false"/>
              <w:ind w:right="-1"/>
              <w:jc w:val="both"/>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М.П.</w:t>
            </w:r>
          </w:p>
        </w:tc>
      </w:tr>
    </w:tbl>
    <w:p>
      <w:pPr>
        <w:sectPr>
          <w:type w:val="nextPage"/>
          <w:pgSz w:w="11906" w:h="16800"/>
          <w:pgMar w:left="1418" w:right="851" w:gutter="0" w:header="0" w:top="851" w:footer="0" w:bottom="851"/>
          <w:pgNumType w:fmt="decimal"/>
          <w:formProt w:val="false"/>
          <w:textDirection w:val="lrTb"/>
          <w:docGrid w:type="default" w:linePitch="100" w:charSpace="0"/>
        </w:sectPr>
      </w:pPr>
    </w:p>
    <w:p>
      <w:pPr>
        <w:pStyle w:val="Normal"/>
        <w:ind w:left="567"/>
        <w:jc w:val="right"/>
        <w:rPr>
          <w:rFonts w:ascii="PT Astra Serif" w:hAnsi="PT Astra Serif"/>
        </w:rPr>
      </w:pPr>
      <w:r>
        <w:rPr>
          <w:rFonts w:ascii="PT Astra Serif" w:hAnsi="PT Astra Serif"/>
        </w:rPr>
        <w:t>Приложение № 1 к Контракту</w:t>
        <w:br/>
        <w:t>от «___»_______ 2026 г. № _______</w:t>
      </w:r>
    </w:p>
    <w:p>
      <w:pPr>
        <w:pStyle w:val="Normal"/>
        <w:ind w:left="567"/>
        <w:rPr>
          <w:rFonts w:ascii="PT Astra Serif" w:hAnsi="PT Astra Serif"/>
        </w:rPr>
      </w:pPr>
      <w:r>
        <w:rPr>
          <w:rFonts w:ascii="PT Astra Serif" w:hAnsi="PT Astra Serif"/>
        </w:rPr>
      </w:r>
    </w:p>
    <w:p>
      <w:pPr>
        <w:pStyle w:val="Normal"/>
        <w:spacing w:lineRule="auto" w:line="276"/>
        <w:jc w:val="center"/>
        <w:rPr>
          <w:b/>
          <w:sz w:val="20"/>
          <w:szCs w:val="20"/>
        </w:rPr>
      </w:pPr>
      <w:r>
        <w:rPr>
          <w:b/>
          <w:sz w:val="20"/>
          <w:szCs w:val="20"/>
        </w:rPr>
        <w:t>ОПИСАНИЕ ОБЪЕКТА ЗАКУПКИ</w:t>
      </w:r>
    </w:p>
    <w:p>
      <w:pPr>
        <w:pStyle w:val="Normal"/>
        <w:jc w:val="both"/>
        <w:rPr>
          <w:bCs/>
          <w:sz w:val="20"/>
          <w:szCs w:val="20"/>
          <w:highlight w:val="yellow"/>
          <w:lang w:eastAsia="ar-SA"/>
        </w:rPr>
      </w:pPr>
      <w:r>
        <w:rPr>
          <w:bCs/>
          <w:sz w:val="20"/>
          <w:szCs w:val="20"/>
          <w:highlight w:val="yellow"/>
          <w:lang w:eastAsia="ar-SA"/>
        </w:rPr>
      </w:r>
    </w:p>
    <w:p>
      <w:pPr>
        <w:pStyle w:val="Normal"/>
        <w:jc w:val="both"/>
        <w:rPr>
          <w:sz w:val="20"/>
          <w:szCs w:val="20"/>
          <w:lang w:eastAsia="ar-SA"/>
        </w:rPr>
      </w:pPr>
      <w:r>
        <w:rPr>
          <w:b/>
          <w:bCs/>
          <w:kern w:val="2"/>
          <w:sz w:val="20"/>
          <w:szCs w:val="20"/>
        </w:rPr>
        <w:t>Наименование оказываемых услуг:</w:t>
      </w:r>
      <w:r>
        <w:rPr>
          <w:sz w:val="20"/>
          <w:szCs w:val="20"/>
        </w:rPr>
        <w:t xml:space="preserve"> оказание дистанционных образовательных услуг по дополнительным профессиональным программам </w:t>
      </w:r>
      <w:r>
        <w:rPr>
          <w:sz w:val="20"/>
          <w:szCs w:val="20"/>
          <w:lang w:eastAsia="ar-SA"/>
        </w:rPr>
        <w:t>обучения требованиям охраны труда работников организации.</w:t>
      </w:r>
    </w:p>
    <w:p>
      <w:pPr>
        <w:pStyle w:val="Normal"/>
        <w:jc w:val="both"/>
        <w:rPr>
          <w:sz w:val="20"/>
          <w:szCs w:val="20"/>
          <w:lang w:eastAsia="ar-SA"/>
        </w:rPr>
      </w:pPr>
      <w:r>
        <w:rPr>
          <w:sz w:val="20"/>
          <w:szCs w:val="20"/>
          <w:lang w:eastAsia="ar-SA"/>
        </w:rPr>
      </w:r>
    </w:p>
    <w:tbl>
      <w:tblPr>
        <w:tblW w:w="10065" w:type="dxa"/>
        <w:jc w:val="left"/>
        <w:tblInd w:w="221" w:type="dxa"/>
        <w:tblLayout w:type="fixed"/>
        <w:tblCellMar>
          <w:top w:w="0" w:type="dxa"/>
          <w:left w:w="108" w:type="dxa"/>
          <w:bottom w:w="0" w:type="dxa"/>
          <w:right w:w="108" w:type="dxa"/>
        </w:tblCellMar>
        <w:tblLook w:val="00a0"/>
      </w:tblPr>
      <w:tblGrid>
        <w:gridCol w:w="4253"/>
        <w:gridCol w:w="5811"/>
      </w:tblGrid>
      <w:tr>
        <w:trPr/>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Наименование товара, работы, услуги</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rPr>
            </w:pPr>
            <w:r>
              <w:rPr>
                <w:sz w:val="20"/>
                <w:szCs w:val="20"/>
              </w:rPr>
              <w:t>Услуги по дополнительному профессиональному образованию</w:t>
            </w:r>
          </w:p>
        </w:tc>
      </w:tr>
      <w:tr>
        <w:trPr/>
        <w:tc>
          <w:tcPr>
            <w:tcW w:w="4253"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sz w:val="20"/>
                <w:szCs w:val="20"/>
              </w:rPr>
              <w:t>Код позиции КТРУ:</w:t>
            </w:r>
          </w:p>
        </w:tc>
        <w:tc>
          <w:tcPr>
            <w:tcW w:w="5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0"/>
                <w:szCs w:val="20"/>
              </w:rPr>
            </w:pPr>
            <w:r>
              <w:rPr>
                <w:sz w:val="20"/>
                <w:szCs w:val="20"/>
              </w:rPr>
              <w:t>85.42.10.000-00000003</w:t>
            </w:r>
          </w:p>
        </w:tc>
      </w:tr>
      <w:tr>
        <w:trPr/>
        <w:tc>
          <w:tcPr>
            <w:tcW w:w="4253"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sz w:val="20"/>
                <w:szCs w:val="20"/>
              </w:rPr>
              <w:t>Единица измерения:</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Чел.</w:t>
            </w:r>
          </w:p>
        </w:tc>
      </w:tr>
      <w:tr>
        <w:trPr/>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Количество:</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16</w:t>
            </w:r>
          </w:p>
        </w:tc>
      </w:tr>
    </w:tbl>
    <w:p>
      <w:pPr>
        <w:pStyle w:val="Normal"/>
        <w:suppressAutoHyphens w:val="true"/>
        <w:jc w:val="center"/>
        <w:rPr>
          <w:sz w:val="26"/>
        </w:rPr>
      </w:pPr>
      <w:r>
        <w:rPr>
          <w:sz w:val="26"/>
        </w:rPr>
      </w:r>
    </w:p>
    <w:p>
      <w:pPr>
        <w:pStyle w:val="Normal"/>
        <w:suppressAutoHyphens w:val="true"/>
        <w:jc w:val="center"/>
        <w:rPr>
          <w:sz w:val="26"/>
        </w:rPr>
      </w:pPr>
      <w:r>
        <w:rPr>
          <w:sz w:val="26"/>
        </w:rPr>
      </w:r>
    </w:p>
    <w:p>
      <w:pPr>
        <w:pStyle w:val="Normal"/>
        <w:suppressAutoHyphens w:val="true"/>
        <w:jc w:val="center"/>
        <w:rPr>
          <w:sz w:val="26"/>
        </w:rPr>
      </w:pPr>
      <w:r>
        <w:rPr>
          <w:sz w:val="26"/>
        </w:rPr>
      </w:r>
    </w:p>
    <w:p>
      <w:pPr>
        <w:pStyle w:val="Normal"/>
        <w:jc w:val="center"/>
        <w:rPr>
          <w:sz w:val="26"/>
          <w:szCs w:val="26"/>
        </w:rPr>
      </w:pPr>
      <w:r>
        <w:rPr>
          <w:sz w:val="26"/>
          <w:szCs w:val="26"/>
        </w:rPr>
        <w:t>Сведения об обучающихся</w:t>
      </w:r>
    </w:p>
    <w:p>
      <w:pPr>
        <w:pStyle w:val="Normal"/>
        <w:jc w:val="center"/>
        <w:rPr>
          <w:b/>
          <w:sz w:val="26"/>
          <w:szCs w:val="26"/>
        </w:rPr>
      </w:pPr>
      <w:r>
        <w:rPr>
          <w:sz w:val="26"/>
          <w:szCs w:val="26"/>
        </w:rPr>
        <w:t>по программе «Общие вопросы охраны труда и функционирования системы управления охраной труда (Программа А)» в объеме не менее 16 часов,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 в объеме не менее 16 часов.</w:t>
      </w:r>
    </w:p>
    <w:p>
      <w:pPr>
        <w:pStyle w:val="Normal"/>
        <w:jc w:val="center"/>
        <w:rPr>
          <w:b/>
          <w:sz w:val="26"/>
          <w:szCs w:val="26"/>
        </w:rPr>
      </w:pPr>
      <w:r>
        <w:rPr>
          <w:b/>
          <w:sz w:val="26"/>
          <w:szCs w:val="26"/>
        </w:rPr>
      </w:r>
    </w:p>
    <w:p>
      <w:pPr>
        <w:pStyle w:val="Normal"/>
        <w:jc w:val="both"/>
        <w:rPr>
          <w:b/>
          <w:sz w:val="26"/>
          <w:szCs w:val="26"/>
        </w:rPr>
      </w:pPr>
      <w:r>
        <w:rPr>
          <w:b/>
          <w:sz w:val="26"/>
          <w:szCs w:val="26"/>
        </w:rPr>
        <w:t xml:space="preserve">1. Ф.И.О.: </w:t>
      </w:r>
    </w:p>
    <w:p>
      <w:pPr>
        <w:pStyle w:val="Normal"/>
        <w:jc w:val="both"/>
        <w:rPr>
          <w:sz w:val="26"/>
          <w:szCs w:val="26"/>
        </w:rPr>
      </w:pPr>
      <w:r>
        <w:rPr>
          <w:sz w:val="26"/>
          <w:szCs w:val="26"/>
        </w:rPr>
        <w:t>Образование: высшее</w:t>
      </w:r>
    </w:p>
    <w:p>
      <w:pPr>
        <w:pStyle w:val="Normal"/>
        <w:jc w:val="both"/>
        <w:rPr>
          <w:sz w:val="26"/>
          <w:szCs w:val="26"/>
        </w:rPr>
      </w:pPr>
      <w:r>
        <w:rPr>
          <w:sz w:val="26"/>
          <w:szCs w:val="26"/>
        </w:rPr>
      </w:r>
    </w:p>
    <w:p>
      <w:pPr>
        <w:pStyle w:val="Normal"/>
        <w:jc w:val="both"/>
        <w:rPr>
          <w:b/>
          <w:sz w:val="26"/>
          <w:szCs w:val="26"/>
        </w:rPr>
      </w:pPr>
      <w:r>
        <w:rPr>
          <w:b/>
          <w:sz w:val="26"/>
          <w:szCs w:val="26"/>
        </w:rPr>
        <w:t xml:space="preserve">2. Ф.И.О.: </w:t>
      </w:r>
    </w:p>
    <w:p>
      <w:pPr>
        <w:pStyle w:val="Normal"/>
        <w:jc w:val="both"/>
        <w:rPr>
          <w:sz w:val="26"/>
          <w:szCs w:val="26"/>
        </w:rPr>
      </w:pPr>
      <w:r>
        <w:rPr>
          <w:sz w:val="26"/>
          <w:szCs w:val="26"/>
        </w:rPr>
        <w:t>Образование: высшее</w:t>
      </w:r>
    </w:p>
    <w:p>
      <w:pPr>
        <w:pStyle w:val="Normal"/>
        <w:suppressAutoHyphens w:val="true"/>
        <w:jc w:val="center"/>
        <w:rPr>
          <w:sz w:val="26"/>
        </w:rPr>
      </w:pPr>
      <w:r>
        <w:rPr>
          <w:sz w:val="26"/>
        </w:rPr>
      </w:r>
    </w:p>
    <w:p>
      <w:pPr>
        <w:pStyle w:val="Normal"/>
        <w:suppressAutoHyphens w:val="true"/>
        <w:jc w:val="center"/>
        <w:rPr>
          <w:b/>
          <w:sz w:val="26"/>
        </w:rPr>
      </w:pPr>
      <w:r>
        <w:rPr>
          <w:b/>
          <w:sz w:val="26"/>
        </w:rPr>
      </w:r>
    </w:p>
    <w:p>
      <w:pPr>
        <w:pStyle w:val="Normal"/>
        <w:suppressAutoHyphens w:val="true"/>
        <w:jc w:val="both"/>
        <w:rPr>
          <w:sz w:val="26"/>
        </w:rPr>
      </w:pPr>
      <w:r>
        <w:rPr>
          <w:sz w:val="26"/>
        </w:rPr>
      </w:r>
    </w:p>
    <w:p>
      <w:pPr>
        <w:pStyle w:val="Normal"/>
        <w:suppressAutoHyphens w:val="true"/>
        <w:jc w:val="both"/>
        <w:rPr>
          <w:sz w:val="26"/>
        </w:rPr>
      </w:pPr>
      <w:r>
        <w:rPr>
          <w:sz w:val="26"/>
        </w:rPr>
      </w:r>
    </w:p>
    <w:p>
      <w:pPr>
        <w:pStyle w:val="Normal"/>
        <w:suppressAutoHyphens w:val="true"/>
        <w:jc w:val="both"/>
        <w:rPr>
          <w:sz w:val="26"/>
        </w:rPr>
      </w:pPr>
      <w:r>
        <w:rPr>
          <w:sz w:val="26"/>
        </w:rPr>
      </w:r>
    </w:p>
    <w:p>
      <w:pPr>
        <w:pStyle w:val="Normal"/>
        <w:suppressAutoHyphens w:val="true"/>
        <w:jc w:val="both"/>
        <w:rPr>
          <w:b/>
          <w:sz w:val="26"/>
        </w:rPr>
      </w:pPr>
      <w:r>
        <w:rPr>
          <w:b/>
          <w:sz w:val="26"/>
        </w:rPr>
      </w:r>
    </w:p>
    <w:p>
      <w:pPr>
        <w:pStyle w:val="Normal"/>
        <w:suppressAutoHyphens w:val="true"/>
        <w:jc w:val="both"/>
        <w:rPr>
          <w:b/>
          <w:sz w:val="26"/>
        </w:rPr>
      </w:pPr>
      <w:r>
        <w:rPr>
          <w:b/>
          <w:sz w:val="26"/>
        </w:rPr>
      </w:r>
    </w:p>
    <w:p>
      <w:pPr>
        <w:pStyle w:val="Normal"/>
        <w:suppressAutoHyphens w:val="true"/>
        <w:jc w:val="both"/>
        <w:rPr>
          <w:b/>
          <w:sz w:val="26"/>
        </w:rPr>
      </w:pPr>
      <w:r>
        <w:rPr>
          <w:b/>
          <w:sz w:val="26"/>
        </w:rPr>
      </w:r>
    </w:p>
    <w:p>
      <w:pPr>
        <w:pStyle w:val="Normal"/>
        <w:suppressAutoHyphens w:val="true"/>
        <w:jc w:val="both"/>
        <w:rPr>
          <w:b/>
          <w:sz w:val="26"/>
        </w:rPr>
      </w:pPr>
      <w:r>
        <w:rPr>
          <w:b/>
          <w:sz w:val="26"/>
        </w:rPr>
      </w:r>
    </w:p>
    <w:p>
      <w:pPr>
        <w:pStyle w:val="Normal"/>
        <w:suppressAutoHyphens w:val="true"/>
        <w:jc w:val="both"/>
        <w:rPr>
          <w:sz w:val="26"/>
        </w:rPr>
      </w:pPr>
      <w:r>
        <w:rPr>
          <w:sz w:val="26"/>
        </w:rPr>
      </w:r>
    </w:p>
    <w:p>
      <w:pPr>
        <w:pStyle w:val="1"/>
        <w:numPr>
          <w:ilvl w:val="0"/>
          <w:numId w:val="0"/>
        </w:numPr>
        <w:spacing w:lineRule="auto" w:line="276"/>
        <w:ind w:left="360"/>
        <w:jc w:val="center"/>
        <w:outlineLvl w:val="0"/>
        <w:rPr>
          <w:rFonts w:ascii="PT Astra Serif" w:hAnsi="PT Astra Serif" w:cs="Times New Roman CYR"/>
          <w:b/>
          <w:bCs/>
          <w:color w:val="000000"/>
          <w:sz w:val="22"/>
          <w:szCs w:val="22"/>
        </w:rPr>
      </w:pPr>
      <w:r>
        <w:rPr>
          <w:rFonts w:cs="Times New Roman CYR" w:ascii="PT Astra Serif" w:hAnsi="PT Astra Serif"/>
          <w:b/>
          <w:bCs/>
          <w:color w:val="000000"/>
          <w:sz w:val="22"/>
          <w:szCs w:val="22"/>
        </w:rPr>
        <w:t>ПОДПИСИ СТОРОН ПО КОНТРАКТУ</w:t>
      </w:r>
    </w:p>
    <w:p>
      <w:pPr>
        <w:pStyle w:val="1"/>
        <w:spacing w:lineRule="auto" w:line="276"/>
        <w:ind w:left="360"/>
        <w:jc w:val="center"/>
        <w:rPr>
          <w:rFonts w:ascii="PT Astra Serif" w:hAnsi="PT Astra Serif" w:cs="Times New Roman CYR"/>
          <w:b/>
          <w:bCs/>
          <w:color w:val="000000"/>
          <w:sz w:val="8"/>
          <w:szCs w:val="22"/>
        </w:rPr>
      </w:pPr>
      <w:r>
        <w:rPr>
          <w:rFonts w:cs="Times New Roman CYR" w:ascii="PT Astra Serif" w:hAnsi="PT Astra Serif"/>
          <w:b/>
          <w:bCs/>
          <w:color w:val="000000"/>
          <w:sz w:val="8"/>
          <w:szCs w:val="22"/>
        </w:rPr>
      </w:r>
    </w:p>
    <w:p>
      <w:pPr>
        <w:pStyle w:val="BodyTextIndent3"/>
        <w:ind w:left="0"/>
        <w:jc w:val="both"/>
        <w:rPr>
          <w:rFonts w:ascii="PT Astra Serif" w:hAnsi="PT Astra Serif"/>
          <w:sz w:val="24"/>
          <w:szCs w:val="24"/>
        </w:rPr>
      </w:pPr>
      <w:r>
        <w:rPr>
          <w:rFonts w:ascii="PT Astra Serif" w:hAnsi="PT Astra Serif"/>
          <w:sz w:val="24"/>
          <w:szCs w:val="24"/>
        </w:rPr>
        <w:t>Государственный заказчик</w:t>
        <w:tab/>
        <w:tab/>
        <w:t xml:space="preserve">                     Исполнитель</w:t>
      </w:r>
    </w:p>
    <w:p>
      <w:pPr>
        <w:pStyle w:val="BodyTextIndent3"/>
        <w:ind w:left="0"/>
        <w:jc w:val="both"/>
        <w:rPr>
          <w:rFonts w:ascii="PT Astra Serif" w:hAnsi="PT Astra Serif"/>
          <w:sz w:val="24"/>
          <w:szCs w:val="24"/>
        </w:rPr>
      </w:pPr>
      <w:r>
        <w:rPr>
          <w:rFonts w:ascii="PT Astra Serif" w:hAnsi="PT Astra Serif"/>
          <w:sz w:val="24"/>
          <w:szCs w:val="24"/>
        </w:rPr>
        <w:t>_________________/____________/</w:t>
      </w:r>
      <w:r>
        <w:rPr>
          <w:rFonts w:ascii="PT Astra Serif" w:hAnsi="PT Astra Serif"/>
          <w:b/>
          <w:sz w:val="24"/>
          <w:szCs w:val="24"/>
        </w:rPr>
        <w:t xml:space="preserve"> </w:t>
      </w:r>
      <w:r>
        <w:rPr>
          <w:rFonts w:ascii="PT Astra Serif" w:hAnsi="PT Astra Serif"/>
          <w:sz w:val="24"/>
          <w:szCs w:val="24"/>
        </w:rPr>
        <w:t xml:space="preserve">              _________________ /____________________. /</w:t>
      </w:r>
    </w:p>
    <w:p>
      <w:pPr>
        <w:pStyle w:val="BodyTextIndent3"/>
        <w:spacing w:before="0" w:after="120"/>
        <w:ind w:firstLine="540" w:left="283"/>
        <w:jc w:val="both"/>
        <w:rPr>
          <w:rFonts w:ascii="PT Astra Serif" w:hAnsi="PT Astra Serif"/>
        </w:rPr>
      </w:pPr>
      <w:r>
        <w:rPr>
          <w:rFonts w:ascii="PT Astra Serif" w:hAnsi="PT Astra Serif"/>
          <w:sz w:val="24"/>
          <w:szCs w:val="24"/>
        </w:rPr>
        <w:t>М.П.</w:t>
        <w:tab/>
        <w:tab/>
        <w:tab/>
        <w:tab/>
        <w:tab/>
        <w:tab/>
        <w:tab/>
        <w:t xml:space="preserve">         М.П.</w:t>
      </w:r>
    </w:p>
    <w:sectPr>
      <w:headerReference w:type="default" r:id="rId2"/>
      <w:footerReference w:type="default" r:id="rId3"/>
      <w:type w:val="nextPage"/>
      <w:pgSz w:w="11906" w:h="16838"/>
      <w:pgMar w:left="1701" w:right="850" w:gutter="0" w:header="708"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FreeSerif">
    <w:charset w:val="01"/>
    <w:family w:val="roman"/>
    <w:pitch w:val="default"/>
  </w:font>
  <w:font w:name="Times New Roman CYR">
    <w:charset w:val="01"/>
    <w:family w:val="roman"/>
    <w:pitch w:val="default"/>
  </w:font>
  <w:font w:name="Tahoma">
    <w:charset w:val="01"/>
    <w:family w:val="roman"/>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szCs w:val="20"/>
      </w:rPr>
    </w:pPr>
    <w:r>
      <w:rPr>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122" w:hanging="555"/>
      </w:pPr>
      <w:rPr>
        <w:rFonts w:cs="Times New Roman"/>
      </w:rPr>
    </w:lvl>
    <w:lvl w:ilvl="2">
      <w:start w:val="1"/>
      <w:numFmt w:val="decimal"/>
      <w:lvlText w:val="%1.%2.%3."/>
      <w:lvlJc w:val="left"/>
      <w:pPr>
        <w:tabs>
          <w:tab w:val="num" w:pos="0"/>
        </w:tabs>
        <w:ind w:left="1494" w:hanging="720"/>
      </w:pPr>
      <w:rPr>
        <w:rFonts w:cs="Times New Roman"/>
      </w:rPr>
    </w:lvl>
    <w:lvl w:ilvl="3">
      <w:start w:val="1"/>
      <w:numFmt w:val="decimal"/>
      <w:lvlText w:val="%1.%2.%3.%4."/>
      <w:lvlJc w:val="left"/>
      <w:pPr>
        <w:tabs>
          <w:tab w:val="num" w:pos="0"/>
        </w:tabs>
        <w:ind w:left="1701" w:hanging="72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475" w:hanging="1080"/>
      </w:pPr>
      <w:rPr>
        <w:rFonts w:cs="Times New Roman"/>
      </w:rPr>
    </w:lvl>
    <w:lvl w:ilvl="6">
      <w:start w:val="1"/>
      <w:numFmt w:val="decimal"/>
      <w:lvlText w:val="%1.%2.%3.%4.%5.%6.%7."/>
      <w:lvlJc w:val="left"/>
      <w:pPr>
        <w:tabs>
          <w:tab w:val="num" w:pos="0"/>
        </w:tabs>
        <w:ind w:left="3042" w:hanging="1440"/>
      </w:pPr>
      <w:rPr>
        <w:rFonts w:cs="Times New Roman"/>
      </w:rPr>
    </w:lvl>
    <w:lvl w:ilvl="7">
      <w:start w:val="1"/>
      <w:numFmt w:val="decimal"/>
      <w:lvlText w:val="%1.%2.%3.%4.%5.%6.%7.%8."/>
      <w:lvlJc w:val="left"/>
      <w:pPr>
        <w:tabs>
          <w:tab w:val="num" w:pos="0"/>
        </w:tabs>
        <w:ind w:left="3249" w:hanging="1440"/>
      </w:pPr>
      <w:rPr>
        <w:rFonts w:cs="Times New Roman"/>
      </w:rPr>
    </w:lvl>
    <w:lvl w:ilvl="8">
      <w:start w:val="1"/>
      <w:numFmt w:val="decimal"/>
      <w:lvlText w:val="%1.%2.%3.%4.%5.%6.%7.%8.%9."/>
      <w:lvlJc w:val="left"/>
      <w:pPr>
        <w:tabs>
          <w:tab w:val="num" w:pos="0"/>
        </w:tabs>
        <w:ind w:left="3816" w:hanging="1800"/>
      </w:pPr>
      <w:rPr>
        <w:rFonts w:cs="Times New Roman"/>
      </w:rPr>
    </w:lvl>
  </w:abstractNum>
  <w:abstractNum w:abstractNumId="2">
    <w:lvl w:ilvl="0">
      <w:start w:val="6"/>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Body Text" w:locked="1" w:uiPriority="0" w:semiHidden="0" w:unhideWhenUsed="0"/>
    <w:lsdException w:name="Subtitle" w:locked="1" w:uiPriority="0" w:semiHidden="0" w:unhideWhenUsed="0" w:qFormat="1"/>
    <w:lsdException w:name="Body Text Indent 3" w:locked="1" w:uiPriority="0" w:semiHidden="0" w:unhideWhenUsed="0"/>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326f6"/>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99"/>
    <w:semiHidden/>
    <w:qFormat/>
    <w:rPr/>
  </w:style>
  <w:style w:type="character" w:styleId="NoSpacingChar" w:customStyle="1">
    <w:name w:val="No Spacing Char"/>
    <w:link w:val="NoSpacing"/>
    <w:uiPriority w:val="99"/>
    <w:qFormat/>
    <w:locked/>
    <w:rsid w:val="005326f6"/>
    <w:rPr>
      <w:sz w:val="22"/>
      <w:lang w:eastAsia="ru-RU"/>
    </w:rPr>
  </w:style>
  <w:style w:type="character" w:styleId="BodyTextChar" w:customStyle="1">
    <w:name w:val="Body Text Char"/>
    <w:basedOn w:val="DefaultParagraphFont"/>
    <w:uiPriority w:val="99"/>
    <w:qFormat/>
    <w:locked/>
    <w:rsid w:val="004353b6"/>
    <w:rPr>
      <w:rFonts w:ascii="Times New Roman" w:hAnsi="Times New Roman" w:cs="Times New Roman"/>
      <w:sz w:val="24"/>
      <w:szCs w:val="24"/>
      <w:lang w:eastAsia="ru-RU"/>
    </w:rPr>
  </w:style>
  <w:style w:type="character" w:styleId="BodyTextIndent3Char" w:customStyle="1">
    <w:name w:val="Body Text Indent 3 Char"/>
    <w:basedOn w:val="DefaultParagraphFont"/>
    <w:link w:val="BodyTextIndent3"/>
    <w:uiPriority w:val="99"/>
    <w:qFormat/>
    <w:locked/>
    <w:rsid w:val="004353b6"/>
    <w:rPr>
      <w:rFonts w:ascii="Times New Roman" w:hAnsi="Times New Roman" w:cs="Times New Roman"/>
      <w:sz w:val="16"/>
      <w:szCs w:val="16"/>
      <w:lang w:eastAsia="ru-RU"/>
    </w:rPr>
  </w:style>
  <w:style w:type="character" w:styleId="DocumentMapChar" w:customStyle="1">
    <w:name w:val="Document Map Char"/>
    <w:basedOn w:val="DefaultParagraphFont"/>
    <w:link w:val="DocumentMap"/>
    <w:uiPriority w:val="99"/>
    <w:semiHidden/>
    <w:qFormat/>
    <w:locked/>
    <w:rsid w:val="004e31dc"/>
    <w:rPr>
      <w:rFonts w:ascii="Times New Roman" w:hAnsi="Times New Roman" w:cs="Times New Roman"/>
      <w:sz w:val="2"/>
    </w:rPr>
  </w:style>
  <w:style w:type="paragraph" w:styleId="Style14">
    <w:name w:val="Заголовок"/>
    <w:basedOn w:val="Normal"/>
    <w:next w:val="BodyText"/>
    <w:qFormat/>
    <w:pPr>
      <w:keepNext w:val="true"/>
      <w:spacing w:before="240" w:after="120"/>
    </w:pPr>
    <w:rPr>
      <w:rFonts w:ascii="FreeSerif" w:hAnsi="FreeSerif" w:eastAsia="WenQuanYi Micro Hei" w:cs="Lohit Devanagari"/>
      <w:sz w:val="28"/>
      <w:szCs w:val="28"/>
    </w:rPr>
  </w:style>
  <w:style w:type="paragraph" w:styleId="BodyText">
    <w:name w:val="Body Text"/>
    <w:basedOn w:val="Normal"/>
    <w:link w:val="BodyTextChar"/>
    <w:uiPriority w:val="99"/>
    <w:rsid w:val="004353b6"/>
    <w:pPr>
      <w:spacing w:before="0" w:after="120"/>
    </w:pPr>
    <w:rPr/>
  </w:style>
  <w:style w:type="paragraph" w:styleId="List">
    <w:name w:val="List"/>
    <w:basedOn w:val="BodyText"/>
    <w:pPr/>
    <w:rPr>
      <w:rFonts w:ascii="FreeSerif" w:hAnsi="FreeSerif" w:cs="Lohit Devanagari"/>
    </w:rPr>
  </w:style>
  <w:style w:type="paragraph" w:styleId="Caption">
    <w:name w:val="Caption"/>
    <w:basedOn w:val="Normal"/>
    <w:qFormat/>
    <w:pPr>
      <w:suppressLineNumbers/>
      <w:spacing w:before="120" w:after="120"/>
    </w:pPr>
    <w:rPr>
      <w:rFonts w:ascii="FreeSerif" w:hAnsi="FreeSerif" w:cs="Lohit Devanagari"/>
      <w:i/>
      <w:iCs/>
      <w:sz w:val="26"/>
      <w:szCs w:val="24"/>
    </w:rPr>
  </w:style>
  <w:style w:type="paragraph" w:styleId="Style15">
    <w:name w:val="Указатель"/>
    <w:basedOn w:val="Normal"/>
    <w:qFormat/>
    <w:pPr>
      <w:suppressLineNumbers/>
    </w:pPr>
    <w:rPr>
      <w:rFonts w:ascii="FreeSerif" w:hAnsi="FreeSerif" w:cs="Lohit Devanagari"/>
    </w:rPr>
  </w:style>
  <w:style w:type="paragraph" w:styleId="NoSpacing">
    <w:name w:val="No Spacing"/>
    <w:link w:val="NoSpacingChar"/>
    <w:uiPriority w:val="99"/>
    <w:qFormat/>
    <w:rsid w:val="005326f6"/>
    <w:pPr>
      <w:widowControl/>
      <w:bidi w:val="0"/>
      <w:spacing w:before="0" w:after="0"/>
      <w:jc w:val="left"/>
    </w:pPr>
    <w:rPr>
      <w:rFonts w:ascii="Calibri" w:hAnsi="Calibri" w:eastAsia="Calibri" w:cs="Times New Roman"/>
      <w:color w:val="auto"/>
      <w:kern w:val="0"/>
      <w:sz w:val="22"/>
      <w:szCs w:val="22"/>
      <w:lang w:val="ru-RU" w:eastAsia="ru-RU" w:bidi="ar-SA"/>
    </w:rPr>
  </w:style>
  <w:style w:type="paragraph" w:styleId="NormalWeb">
    <w:name w:val="Normal (Web)"/>
    <w:basedOn w:val="Normal"/>
    <w:uiPriority w:val="99"/>
    <w:qFormat/>
    <w:rsid w:val="005326f6"/>
    <w:pPr>
      <w:spacing w:beforeAutospacing="1" w:afterAutospacing="1"/>
    </w:pPr>
    <w:rPr/>
  </w:style>
  <w:style w:type="paragraph" w:styleId="Style16" w:customStyle="1">
    <w:name w:val="Нормальный (таблица)"/>
    <w:basedOn w:val="Normal"/>
    <w:next w:val="Normal"/>
    <w:uiPriority w:val="99"/>
    <w:qFormat/>
    <w:rsid w:val="005326f6"/>
    <w:pPr>
      <w:widowControl w:val="false"/>
      <w:jc w:val="both"/>
    </w:pPr>
    <w:rPr>
      <w:rFonts w:ascii="Times New Roman CYR" w:hAnsi="Times New Roman CYR" w:cs="Times New Roman CYR"/>
    </w:rPr>
  </w:style>
  <w:style w:type="paragraph" w:styleId="Style17" w:customStyle="1">
    <w:name w:val="Прижатый влево"/>
    <w:basedOn w:val="Normal"/>
    <w:next w:val="Normal"/>
    <w:uiPriority w:val="99"/>
    <w:qFormat/>
    <w:rsid w:val="005326f6"/>
    <w:pPr>
      <w:widowControl w:val="false"/>
    </w:pPr>
    <w:rPr>
      <w:rFonts w:ascii="Times New Roman CYR" w:hAnsi="Times New Roman CYR" w:cs="Times New Roman CYR"/>
    </w:rPr>
  </w:style>
  <w:style w:type="paragraph" w:styleId="BodyTextIndent3">
    <w:name w:val="Body Text Indent 3"/>
    <w:basedOn w:val="Normal"/>
    <w:link w:val="BodyTextIndent3Char"/>
    <w:uiPriority w:val="99"/>
    <w:qFormat/>
    <w:rsid w:val="004353b6"/>
    <w:pPr>
      <w:spacing w:before="0" w:after="120"/>
      <w:ind w:left="283"/>
    </w:pPr>
    <w:rPr>
      <w:sz w:val="16"/>
      <w:szCs w:val="16"/>
    </w:rPr>
  </w:style>
  <w:style w:type="paragraph" w:styleId="1" w:customStyle="1">
    <w:name w:val="Абзац списка1"/>
    <w:basedOn w:val="Normal"/>
    <w:uiPriority w:val="99"/>
    <w:qFormat/>
    <w:rsid w:val="004353b6"/>
    <w:pPr>
      <w:ind w:left="720"/>
    </w:pPr>
    <w:rPr/>
  </w:style>
  <w:style w:type="paragraph" w:styleId="ListParagraph">
    <w:name w:val="List Paragraph"/>
    <w:basedOn w:val="Normal"/>
    <w:uiPriority w:val="99"/>
    <w:qFormat/>
    <w:rsid w:val="000e37df"/>
    <w:pPr>
      <w:spacing w:before="0" w:after="0"/>
      <w:ind w:left="720"/>
      <w:contextualSpacing/>
    </w:pPr>
    <w:rPr/>
  </w:style>
  <w:style w:type="paragraph" w:styleId="S1" w:customStyle="1">
    <w:name w:val="s_1"/>
    <w:basedOn w:val="Normal"/>
    <w:uiPriority w:val="99"/>
    <w:qFormat/>
    <w:rsid w:val="00fe18e0"/>
    <w:pPr>
      <w:spacing w:beforeAutospacing="1" w:afterAutospacing="1"/>
    </w:pPr>
    <w:rPr>
      <w:rFonts w:eastAsia="Calibri"/>
    </w:rPr>
  </w:style>
  <w:style w:type="paragraph" w:styleId="DocumentMap">
    <w:name w:val="Document Map"/>
    <w:basedOn w:val="Normal"/>
    <w:link w:val="DocumentMapChar"/>
    <w:uiPriority w:val="99"/>
    <w:semiHidden/>
    <w:qFormat/>
    <w:rsid w:val="00ee5db5"/>
    <w:pPr>
      <w:shd w:val="clear" w:color="auto" w:fill="000080"/>
    </w:pPr>
    <w:rPr>
      <w:rFonts w:ascii="Tahoma" w:hAnsi="Tahoma" w:cs="Tahoma"/>
      <w:sz w:val="20"/>
      <w:szCs w:val="20"/>
    </w:rPr>
  </w:style>
  <w:style w:type="paragraph" w:styleId="ConsPlusNormal" w:customStyle="1">
    <w:name w:val="ConsPlusNormal"/>
    <w:uiPriority w:val="99"/>
    <w:qFormat/>
    <w:rsid w:val="00254d9c"/>
    <w:pPr>
      <w:widowControl w:val="false"/>
      <w:bidi w:val="0"/>
      <w:spacing w:before="0" w:after="0"/>
      <w:jc w:val="left"/>
    </w:pPr>
    <w:rPr>
      <w:rFonts w:eastAsia="Times New Roman" w:cs="Calibri" w:ascii="Calibri" w:hAnsi="Calibri"/>
      <w:color w:val="auto"/>
      <w:kern w:val="0"/>
      <w:sz w:val="22"/>
      <w:szCs w:val="22"/>
      <w:lang w:val="ru-RU" w:eastAsia="ru-RU" w:bidi="ar-SA"/>
    </w:rPr>
  </w:style>
  <w:style w:type="paragraph" w:styleId="Style18">
    <w:name w:val="Колонтитул"/>
    <w:basedOn w:val="Normal"/>
    <w:qFormat/>
    <w:pPr/>
    <w:rPr/>
  </w:style>
  <w:style w:type="paragraph" w:styleId="Header">
    <w:name w:val="Header"/>
    <w:basedOn w:val="Style18"/>
    <w:pPr/>
    <w:rPr/>
  </w:style>
  <w:style w:type="paragraph" w:styleId="Footer">
    <w:name w:val="Footer"/>
    <w:basedOn w:val="Style18"/>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99"/>
    <w:rsid w:val="004353b6"/>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Normal_Wordconv.dotm</Template>
  <TotalTime>21</TotalTime>
  <Application>LibreOffice/7.6.7.2$Linux_X86_64 LibreOffice_project/60$Build-2</Application>
  <AppVersion>15.0000</AppVersion>
  <Pages>9</Pages>
  <Words>2697</Words>
  <Characters>20187</Characters>
  <CharactersWithSpaces>23037</CharactersWithSpaces>
  <Paragraphs>145</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2026-02-18T10:00:00Z</dcterms:created>
  <dc:creator>ser</dc:creator>
  <dc:description/>
  <dc:language>ru-RU</dc:language>
  <cp:lastModifiedBy/>
  <cp:lastPrinted>2026-02-13T07:03:00Z</cp:lastPrinted>
  <dcterms:modified xsi:type="dcterms:W3CDTF">2026-08-04T10:53:28Z</dcterms:modified>
  <cp:revision>9</cp:revision>
  <dc:subject/>
  <dc:title>ГОСУДАРСТВЕННЫЙ КОНТРАКТ № _____</dc:title>
</cp:coreProperties>
</file>

<file path=docProps/custom.xml><?xml version="1.0" encoding="utf-8"?>
<Properties xmlns="http://schemas.openxmlformats.org/officeDocument/2006/custom-properties" xmlns:vt="http://schemas.openxmlformats.org/officeDocument/2006/docPropsVTypes"/>
</file>