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ignature"/>
        <w:widowControl w:val="false"/>
        <w:ind w:left="10490"/>
        <w:rPr>
          <w:b/>
          <w:i/>
          <w:i/>
          <w:color w:val="000000"/>
          <w:sz w:val="24"/>
          <w:szCs w:val="24"/>
        </w:rPr>
      </w:pPr>
      <w:r>
        <w:rPr/>
      </w:r>
    </w:p>
    <w:p>
      <w:pPr>
        <w:pStyle w:val="Normal"/>
        <w:widowControl w:val="false"/>
        <w:spacing w:lineRule="exact" w:line="254"/>
        <w:jc w:val="center"/>
        <w:rPr>
          <w:bCs/>
        </w:rPr>
      </w:pPr>
      <w:r>
        <w:rPr>
          <w:bCs/>
        </w:rPr>
      </w:r>
    </w:p>
    <w:p>
      <w:pPr>
        <w:pStyle w:val="Normal"/>
        <w:widowControl w:val="false"/>
        <w:spacing w:lineRule="exact" w:line="254"/>
        <w:jc w:val="center"/>
        <w:rPr>
          <w:b/>
          <w:bCs/>
        </w:rPr>
      </w:pPr>
      <w:r>
        <w:rPr>
          <w:b/>
          <w:bCs/>
        </w:rPr>
        <w:t>Описание объекта закупки</w:t>
      </w:r>
    </w:p>
    <w:p>
      <w:pPr>
        <w:pStyle w:val="Normal"/>
        <w:jc w:val="center"/>
        <w:rPr>
          <w:b/>
          <w:bCs/>
        </w:rPr>
      </w:pPr>
      <w:bookmarkStart w:id="0" w:name="_Toc482275893"/>
      <w:bookmarkStart w:id="1" w:name="_Toc508723811"/>
      <w:bookmarkEnd w:id="0"/>
      <w:bookmarkEnd w:id="1"/>
      <w:r>
        <w:rPr>
          <w:b/>
          <w:bCs/>
        </w:rPr>
        <w:t xml:space="preserve">на поставку расходных материалов для печатной техники взамен вышедших из строя </w:t>
      </w:r>
      <w:r>
        <w:rPr>
          <w:b/>
          <w:bCs/>
          <w:iCs/>
        </w:rPr>
        <w:t>(в сфере информационно-коммуникационных технологий)</w:t>
      </w:r>
    </w:p>
    <w:p>
      <w:pPr>
        <w:pStyle w:val="Normal"/>
        <w:widowControl w:val="false"/>
        <w:spacing w:lineRule="exact" w:line="254"/>
        <w:ind w:right="14"/>
        <w:jc w:val="center"/>
        <w:rPr>
          <w:bCs/>
        </w:rPr>
      </w:pPr>
      <w:r>
        <w:rPr>
          <w:bCs/>
        </w:rPr>
      </w:r>
    </w:p>
    <w:p>
      <w:pPr>
        <w:pStyle w:val="Normal"/>
        <w:widowControl w:val="false"/>
        <w:spacing w:lineRule="exact" w:line="254"/>
        <w:ind w:right="14"/>
        <w:jc w:val="center"/>
        <w:rPr>
          <w:b/>
          <w:bCs/>
        </w:rPr>
      </w:pPr>
      <w:r>
        <w:rPr>
          <w:b/>
          <w:bCs/>
        </w:rPr>
        <w:t>1. НАЗНАЧЕНИЕ И ЦЕЛИ</w:t>
      </w:r>
    </w:p>
    <w:p>
      <w:pPr>
        <w:pStyle w:val="Normal"/>
        <w:widowControl w:val="false"/>
        <w:spacing w:lineRule="exact" w:line="254"/>
        <w:ind w:firstLine="567" w:right="14"/>
        <w:jc w:val="both"/>
        <w:rPr>
          <w:b/>
          <w:bCs/>
          <w:sz w:val="10"/>
          <w:szCs w:val="10"/>
          <w:vertAlign w:val="superscript"/>
        </w:rPr>
      </w:pPr>
      <w:r>
        <w:rPr>
          <w:b/>
          <w:bCs/>
          <w:sz w:val="10"/>
          <w:szCs w:val="10"/>
          <w:vertAlign w:val="superscript"/>
        </w:rPr>
      </w:r>
    </w:p>
    <w:p>
      <w:pPr>
        <w:pStyle w:val="Normal"/>
        <w:widowControl w:val="false"/>
        <w:spacing w:lineRule="exact" w:line="254"/>
        <w:ind w:firstLine="708" w:right="14"/>
        <w:jc w:val="both"/>
        <w:rPr>
          <w:bCs/>
        </w:rPr>
      </w:pPr>
      <w:r>
        <w:rPr>
          <w:lang w:eastAsia="en-US"/>
        </w:rPr>
        <w:t xml:space="preserve">Товар приобретается </w:t>
      </w:r>
      <w:r>
        <w:rPr/>
        <w:t>в целях обеспечения бесперебойного функционирования печатных устройств Главного управления Главного управления МЧС России по Красноярскому краю. ОКПД2 26.20.40.120, КТРУ 20.59.12.120-00000002 (картридж для электрографических печатающих устройств)</w:t>
      </w:r>
      <w:r>
        <w:rPr>
          <w:bCs/>
        </w:rPr>
        <w:t>.</w:t>
      </w:r>
    </w:p>
    <w:p>
      <w:pPr>
        <w:pStyle w:val="Normal"/>
        <w:widowControl w:val="false"/>
        <w:spacing w:lineRule="exact" w:line="254"/>
        <w:ind w:right="14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</w:t>
      </w:r>
    </w:p>
    <w:p>
      <w:pPr>
        <w:pStyle w:val="Normal"/>
        <w:jc w:val="center"/>
        <w:rPr/>
      </w:pPr>
      <w:r>
        <w:rPr>
          <w:b/>
          <w:bCs/>
        </w:rPr>
        <w:t xml:space="preserve">2. </w:t>
      </w:r>
      <w:r>
        <w:rPr>
          <w:rFonts w:eastAsia="Calibri"/>
          <w:b/>
        </w:rPr>
        <w:t>СОСТАВ ТОВАРА И ТЕХНИЧЕСКИЕ ТРЕБОВАНИЯ</w:t>
      </w:r>
    </w:p>
    <w:tbl>
      <w:tblPr>
        <w:tblW w:w="1546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1"/>
        <w:gridCol w:w="2097"/>
        <w:gridCol w:w="1323"/>
        <w:gridCol w:w="2336"/>
        <w:gridCol w:w="1844"/>
        <w:gridCol w:w="2091"/>
        <w:gridCol w:w="1945"/>
        <w:gridCol w:w="2007"/>
        <w:gridCol w:w="1413"/>
      </w:tblGrid>
      <w:tr>
        <w:trPr>
          <w:trHeight w:val="20" w:hRule="atLeast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Наименование товара, работы, услуги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Код позиции</w:t>
            </w:r>
          </w:p>
        </w:tc>
        <w:tc>
          <w:tcPr>
            <w:tcW w:w="8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Характеристики товара, работы, услуги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Количество (объем работы, услуги)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Единица измерения</w:t>
            </w:r>
          </w:p>
        </w:tc>
      </w:tr>
      <w:tr>
        <w:trPr>
          <w:trHeight w:val="20" w:hRule="atLeast"/>
        </w:trPr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9" w:right="-48"/>
              <w:jc w:val="center"/>
              <w:rPr>
                <w:b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Наименование характеристики</w:t>
            </w:r>
          </w:p>
          <w:p>
            <w:pPr>
              <w:pStyle w:val="Normal"/>
              <w:widowControl w:val="false"/>
              <w:ind w:left="-109" w:right="-48"/>
              <w:jc w:val="center"/>
              <w:rPr>
                <w:b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(показателя товара)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9" w:right="-48"/>
              <w:jc w:val="center"/>
              <w:rPr>
                <w:b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Значение характеристики</w:t>
            </w:r>
          </w:p>
          <w:p>
            <w:pPr>
              <w:pStyle w:val="Normal"/>
              <w:widowControl w:val="false"/>
              <w:ind w:left="-109" w:right="-48"/>
              <w:jc w:val="center"/>
              <w:rPr>
                <w:b/>
                <w:bCs/>
                <w:color w:val="000000"/>
                <w:sz w:val="20"/>
                <w:szCs w:val="20"/>
                <w:shd w:fill="FFFFFF" w:val="clear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(показателя товара)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Единица измерения характеристики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shd w:fill="FFFFFF" w:val="clear"/>
              </w:rPr>
              <w:t>Инструкция по заполнению характеристик в заявке</w:t>
            </w:r>
          </w:p>
        </w:tc>
        <w:tc>
          <w:tcPr>
            <w:tcW w:w="20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Картридж для электрографических печатающих устройств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 26.20.40.120 КТРУ 26.59.12.120-00000002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(для какой печатной техники приобретается картридж)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Xerox C230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0" w:after="0"/>
              <w:ind w:hang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</w:tr>
      <w:tr>
        <w:trPr>
          <w:trHeight w:val="320" w:hRule="atLeast"/>
        </w:trPr>
        <w:tc>
          <w:tcPr>
            <w:tcW w:w="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Лазерный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78" w:hRule="atLeast"/>
        </w:trPr>
        <w:tc>
          <w:tcPr>
            <w:tcW w:w="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отпечатка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Пурпурный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78" w:hRule="atLeast"/>
        </w:trPr>
        <w:tc>
          <w:tcPr>
            <w:tcW w:w="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 (при 5% заполнении листа)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≥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Страниц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конкретное значение</w:t>
            </w:r>
          </w:p>
        </w:tc>
        <w:tc>
          <w:tcPr>
            <w:tcW w:w="200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78" w:hRule="atLeast"/>
        </w:trPr>
        <w:tc>
          <w:tcPr>
            <w:tcW w:w="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чипа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4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применений чипа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Многоразовый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79" w:hRule="atLeast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Картридж для электрографических печатающих устройств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 26.20.40.120 КТРУ 26.59.12.120-00000002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(для какой печатной техники приобретается картридж)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Xerox C230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0" w:after="0"/>
              <w:ind w:hang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</w:tr>
      <w:tr>
        <w:trPr>
          <w:trHeight w:val="382" w:hRule="atLeast"/>
        </w:trPr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Лазерный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77" w:hRule="atLeast"/>
        </w:trPr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отпечатка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Желтый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64" w:hRule="atLeast"/>
        </w:trPr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 (при 5% заполнении листа)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≥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Страниц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конкретное значение</w:t>
            </w:r>
          </w:p>
        </w:tc>
        <w:tc>
          <w:tcPr>
            <w:tcW w:w="200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64" w:hRule="atLeast"/>
        </w:trPr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чипа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64" w:hRule="atLeast"/>
        </w:trPr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применений чипа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Многоразовый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Картридж для электрографических печатающих устройств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 26.20.40.120 КТРУ 26.59.12.120-00000002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(для какой печатной техники приобретается картридж)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Xerox C230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0" w:after="0"/>
              <w:ind w:hang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</w:tr>
      <w:tr>
        <w:trPr>
          <w:trHeight w:val="313" w:hRule="atLeast"/>
        </w:trPr>
        <w:tc>
          <w:tcPr>
            <w:tcW w:w="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Лазерный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отпечатка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Черный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 (при 5% заполнении листа)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≥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Страниц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конкретное значение</w:t>
            </w:r>
          </w:p>
        </w:tc>
        <w:tc>
          <w:tcPr>
            <w:tcW w:w="200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чипа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4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применений чипа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Многоразовый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Картридж для электрографических печатающих устройств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 26.20.40.120 КТРУ 26.59.12.120-00000002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(для какой печатной техники приобретается картридж)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Xerox C230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0" w:after="0"/>
              <w:ind w:hanging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</w:tr>
      <w:tr>
        <w:trPr>
          <w:trHeight w:val="313" w:hRule="atLeast"/>
        </w:trPr>
        <w:tc>
          <w:tcPr>
            <w:tcW w:w="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Лазерный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отпечатка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Голубой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 (при 5% заполнении листа)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≥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Страниц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конкретное значение</w:t>
            </w:r>
          </w:p>
        </w:tc>
        <w:tc>
          <w:tcPr>
            <w:tcW w:w="200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411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чипа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4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20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применений чипа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Многоразовый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Картридж для электрографических печатающих устройств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 26.20.40.120 КТРУ 26.59.12.120-00000002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(для какой печатной техники приобретается картридж)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Brother DCP-L2540 DNR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</w:tr>
      <w:tr>
        <w:trPr>
          <w:trHeight w:val="313" w:hRule="atLeast"/>
        </w:trPr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Тонер-картридж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Цвет отпечатка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Черный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не меняется</w:t>
            </w:r>
          </w:p>
        </w:tc>
        <w:tc>
          <w:tcPr>
            <w:tcW w:w="200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3" w:hRule="atLeast"/>
        </w:trPr>
        <w:tc>
          <w:tcPr>
            <w:tcW w:w="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 (при 5% заполнении листа)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24"/>
              <w:spacing w:before="120" w:after="120"/>
              <w:ind w:hanging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≥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2600</w:t>
            </w:r>
          </w:p>
        </w:tc>
        <w:tc>
          <w:tcPr>
            <w:tcW w:w="2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Страниц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конкретное значение</w:t>
            </w:r>
          </w:p>
        </w:tc>
        <w:tc>
          <w:tcPr>
            <w:tcW w:w="200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Style24"/>
        <w:spacing w:before="0" w:after="0"/>
        <w:ind w:hanging="0"/>
        <w:contextualSpacing/>
        <w:jc w:val="center"/>
        <w:rPr>
          <w:b/>
          <w:szCs w:val="24"/>
        </w:rPr>
      </w:pPr>
      <w:r>
        <w:rPr>
          <w:b/>
          <w:szCs w:val="24"/>
        </w:rPr>
      </w:r>
    </w:p>
    <w:p>
      <w:pPr>
        <w:pStyle w:val="Style24"/>
        <w:spacing w:before="0" w:after="0"/>
        <w:ind w:hanging="0"/>
        <w:contextualSpacing/>
        <w:jc w:val="center"/>
        <w:rPr>
          <w:szCs w:val="24"/>
        </w:rPr>
      </w:pPr>
      <w:r>
        <w:rPr>
          <w:b/>
          <w:szCs w:val="24"/>
        </w:rPr>
        <w:t>3. ОБШИЕ ТРЕБОВАНИЯ</w:t>
      </w:r>
    </w:p>
    <w:p>
      <w:pPr>
        <w:pStyle w:val="Style24"/>
        <w:tabs>
          <w:tab w:val="clear" w:pos="708"/>
          <w:tab w:val="left" w:pos="709" w:leader="none"/>
        </w:tabs>
        <w:spacing w:before="0" w:after="0"/>
        <w:ind w:firstLine="709"/>
        <w:contextualSpacing/>
        <w:rPr>
          <w:szCs w:val="24"/>
        </w:rPr>
      </w:pPr>
      <w:r>
        <w:rPr>
          <w:szCs w:val="24"/>
        </w:rPr>
        <w:t>3.1.</w:t>
        <w:tab/>
        <w:t>Качество товара должно соответствовать требованиям к расходным материалам, предъявляемым производителем соответствующих печатных устройств.</w:t>
      </w:r>
    </w:p>
    <w:p>
      <w:pPr>
        <w:pStyle w:val="Style24"/>
        <w:spacing w:before="0" w:after="0"/>
        <w:ind w:firstLine="709"/>
        <w:contextualSpacing/>
        <w:rPr>
          <w:szCs w:val="24"/>
        </w:rPr>
      </w:pPr>
      <w:r>
        <w:rPr>
          <w:szCs w:val="24"/>
        </w:rPr>
        <w:t>3.2.</w:t>
        <w:tab/>
        <w:t>Весь поставляемый Товар должен быть новым (не бывшим в употреблении, в ремонте, у которого не была осуществлена замена составных частей, не были восстановлены потребительские свойства), ранее не использованными (все составные части товара должны быть новыми), не перезаправленными, не восстановленными и не содержать восстановленных элементов, не должны иметь дефектов, связанных с конструкцией, материалами, работой по их изготовлению или функционированием при штатном их использовании. Под восстановлением Товаров понимается Товар вторичного использования либо, при производстве которого использованы бывшие в эксплуатации детали или элементы. Под перезаправленным Товаром понимается Товар, повторно заправленный.</w:t>
      </w:r>
    </w:p>
    <w:p>
      <w:pPr>
        <w:pStyle w:val="Style24"/>
        <w:spacing w:before="0" w:after="0"/>
        <w:ind w:firstLine="709"/>
        <w:contextualSpacing/>
        <w:rPr>
          <w:szCs w:val="24"/>
        </w:rPr>
      </w:pPr>
      <w:r>
        <w:rPr>
          <w:szCs w:val="24"/>
        </w:rPr>
        <w:t>3.3.</w:t>
        <w:tab/>
        <w:t>Картриджи должны обеспечивать качество лазерной печати без дефектов во всех режимах работы указанной печатной техники.</w:t>
      </w:r>
    </w:p>
    <w:p>
      <w:pPr>
        <w:pStyle w:val="Style24"/>
        <w:spacing w:before="0" w:after="0"/>
        <w:ind w:firstLine="709"/>
        <w:contextualSpacing/>
        <w:rPr>
          <w:szCs w:val="24"/>
        </w:rPr>
      </w:pPr>
      <w:r>
        <w:rPr>
          <w:szCs w:val="24"/>
        </w:rPr>
        <w:t>3.4.</w:t>
        <w:tab/>
        <w:t>Корпус картриджа не должен иметь потертостей, царапин, сколов и следов вскрытия. Картриджи должны иметь номера (артикулы), применяемые для указанной печатной техники.</w:t>
      </w:r>
    </w:p>
    <w:p>
      <w:pPr>
        <w:pStyle w:val="Style24"/>
        <w:spacing w:before="120" w:after="120"/>
        <w:ind w:firstLine="709"/>
        <w:contextualSpacing/>
        <w:rPr>
          <w:szCs w:val="24"/>
        </w:rPr>
      </w:pPr>
      <w:r>
        <w:rPr>
          <w:szCs w:val="24"/>
        </w:rPr>
        <w:t>3.5. Картриджи должны быть упакованы в герметичный пакет из полимерного материала. Внутренняя поверхность пакета не должна иметь следов просыпания тонера во внешнюю среду. Упакованный в пакет картридж помещен в индивидуальную картонную коробку, снабженную в зависимости от модели вкладышами (контейнерами), исключающими его перемещение внутри коробки, и не имеющую следов вскрытий, вмятин и порезов, повреждений и обеспечивающую сохранность при погрузке, разгрузке, транспортировке и хранении. На картриджах не должны присутствовать следы тонера. Вся маркировка на упаковку каждого картриджа нанесена типографским способом, обеспечивающим четкость и сохранность маркировки в течение всего срока эксплуатации. Упаковка и маркировка содержит (в случаях, если предусмотрено производителем картриджей):</w:t>
      </w:r>
    </w:p>
    <w:p>
      <w:pPr>
        <w:pStyle w:val="Style24"/>
        <w:spacing w:before="120" w:after="120"/>
        <w:ind w:hanging="0"/>
        <w:contextualSpacing/>
        <w:rPr>
          <w:szCs w:val="24"/>
        </w:rPr>
      </w:pPr>
      <w:r>
        <w:rPr>
          <w:szCs w:val="24"/>
        </w:rPr>
        <w:t>- товарный знак, наименование компании-производителя, наименование одной или более моделей копировальной и множительной техники, в которой может быть использован картридж, номер партии на упаковке и корпусе картриджа, дата изготовления;</w:t>
      </w:r>
    </w:p>
    <w:p>
      <w:pPr>
        <w:pStyle w:val="Style24"/>
        <w:spacing w:before="120" w:after="120"/>
        <w:ind w:hanging="0"/>
        <w:contextualSpacing/>
        <w:rPr>
          <w:szCs w:val="24"/>
        </w:rPr>
      </w:pPr>
      <w:r>
        <w:rPr>
          <w:szCs w:val="24"/>
        </w:rPr>
        <w:t>- голограммы, защитные пломбы, содержащие все элементы защиты от подделок (микротекст, изменяемый под углом зрения цвет логотипа, термополоса).</w:t>
      </w:r>
    </w:p>
    <w:p>
      <w:pPr>
        <w:pStyle w:val="Style24"/>
        <w:spacing w:before="0" w:after="0"/>
        <w:ind w:firstLine="709"/>
        <w:contextualSpacing/>
        <w:rPr>
          <w:szCs w:val="24"/>
        </w:rPr>
      </w:pPr>
      <w:r>
        <w:rPr>
          <w:szCs w:val="24"/>
        </w:rPr>
        <w:t>3.6. Гарантийный срок на поставляемый Товар должен составлять не менее 12 (двенадцати) месяцев с даты подписания документа о приемке Товара. Под гарантией понимается устранение Поставщиком своими силами и за свой счет допущенных по его вине недостатков, выявленных после приемки Товара. Поставщик гарантирует возможность безопасного использования Товара по назначению в течение всего гарантийного срока.</w:t>
      </w:r>
    </w:p>
    <w:p>
      <w:pPr>
        <w:pStyle w:val="Style24"/>
        <w:spacing w:before="0" w:after="0"/>
        <w:ind w:hanging="0"/>
        <w:contextualSpacing/>
        <w:rPr>
          <w:szCs w:val="24"/>
        </w:rPr>
      </w:pPr>
      <w:r>
        <w:rPr>
          <w:szCs w:val="24"/>
        </w:rPr>
        <w:t>В случае обнаружения во время гарантийного срока несоответствия качества Товара (в т.ч. комплектующих) Заказчик вправе потребовать замены Товара.  Поставщик обязан предоставить Заказчику Товар надлежащего качества в течение срока, указанного Заказчиком (но не более 30 дней). Все расходы, связанные с возвратом или заменой дефектного Товара, оплачиваются Поставщиком. При этом гарантийный срок, на замененный Товар, продлевается со дня поставки новых материалов на не менее трех месяцев.</w:t>
      </w:r>
    </w:p>
    <w:p>
      <w:pPr>
        <w:pStyle w:val="Style24"/>
        <w:spacing w:before="0" w:after="0"/>
        <w:ind w:hanging="0"/>
        <w:contextualSpacing/>
        <w:rPr>
          <w:szCs w:val="24"/>
        </w:rPr>
      </w:pPr>
      <w:r>
        <w:rPr>
          <w:szCs w:val="24"/>
        </w:rPr>
        <w:t>При обнаружении скрытых дефектов Товара в период гарантийного срока эксплуатации, возникших по независящим от Заказчика причинам, Поставщик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 товара производятся за счет средств Поставщика, в срок не превышающий 30 (тридцать) календарных дней с момента получения письменного уведомления от Заказчика (в том числе посредством электронной почты в сети интернет с последующим направлением оригинала). Гарантийный срок на Товар в данном случае продлевается на период устранения дефектов.</w:t>
      </w:r>
    </w:p>
    <w:p>
      <w:pPr>
        <w:pStyle w:val="Normal"/>
        <w:spacing w:before="0" w:after="0"/>
        <w:ind w:firstLine="708"/>
        <w:contextualSpacing/>
        <w:jc w:val="both"/>
        <w:rPr/>
      </w:pPr>
      <w:r>
        <w:rPr/>
        <w:t xml:space="preserve">3.7. Доставка поставляемого Товара осуществляется Поставщиком по адресу: Красноярский край, г. Красноярск, ул. Ленинградская, 42. </w:t>
      </w:r>
    </w:p>
    <w:p>
      <w:pPr>
        <w:pStyle w:val="Style24"/>
        <w:spacing w:before="0" w:after="0"/>
        <w:ind w:hanging="0"/>
        <w:contextualSpacing/>
        <w:rPr>
          <w:szCs w:val="24"/>
        </w:rPr>
      </w:pPr>
      <w:r>
        <w:rPr>
          <w:szCs w:val="24"/>
        </w:rPr>
        <w:t>Погрузочно-разгрузочные работы осуществляются силами и за счет Поставщика.</w:t>
      </w:r>
    </w:p>
    <w:p>
      <w:pPr>
        <w:pStyle w:val="Style24"/>
        <w:spacing w:before="0" w:after="0"/>
        <w:ind w:firstLine="708"/>
        <w:contextualSpacing/>
        <w:rPr>
          <w:szCs w:val="24"/>
        </w:rPr>
      </w:pPr>
      <w:r>
        <w:rPr>
          <w:szCs w:val="24"/>
        </w:rPr>
        <w:t>3.8. Характеристики всего Товара должны соответствовать значениям, установленным настоящим техническим заданием.</w:t>
      </w:r>
    </w:p>
    <w:p>
      <w:pPr>
        <w:pStyle w:val="Style24"/>
        <w:spacing w:before="0" w:after="0"/>
        <w:ind w:firstLine="708"/>
        <w:contextualSpacing/>
        <w:rPr>
          <w:szCs w:val="24"/>
        </w:rPr>
      </w:pPr>
      <w:r>
        <w:rPr>
          <w:szCs w:val="24"/>
        </w:rPr>
        <w:t>3.9. Приемка оборудования осуществляется комиссией в составе уполномоченных представителей Заказчика.</w:t>
      </w:r>
    </w:p>
    <w:p>
      <w:pPr>
        <w:pStyle w:val="Style24"/>
        <w:spacing w:before="0" w:after="0"/>
        <w:ind w:firstLine="708"/>
        <w:contextualSpacing/>
        <w:rPr>
          <w:szCs w:val="24"/>
        </w:rPr>
      </w:pPr>
      <w:r>
        <w:rPr>
          <w:szCs w:val="24"/>
        </w:rPr>
        <w:t>3.10. Качество товара должно подтверждаться сертификатами соответствия либо иными документами в соответствии с действующим законодательством. Поставляемый товар должен соответствовать стандартам и требованиям, предъявляемым к товару такого рода.</w:t>
      </w:r>
    </w:p>
    <w:p>
      <w:pPr>
        <w:pStyle w:val="Style24"/>
        <w:spacing w:before="0" w:after="0"/>
        <w:contextualSpacing/>
        <w:rPr>
          <w:szCs w:val="24"/>
        </w:rPr>
      </w:pPr>
      <w:r>
        <w:rPr>
          <w:szCs w:val="24"/>
        </w:rPr>
      </w:r>
    </w:p>
    <w:p>
      <w:pPr>
        <w:pStyle w:val="Style24"/>
        <w:spacing w:before="0" w:after="0"/>
        <w:contextualSpacing/>
        <w:rPr>
          <w:szCs w:val="24"/>
        </w:rPr>
      </w:pPr>
      <w:r>
        <w:rPr>
          <w:szCs w:val="24"/>
        </w:rPr>
      </w:r>
    </w:p>
    <w:p>
      <w:pPr>
        <w:pStyle w:val="Normal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mc:AlternateContent>
          <mc:Choice Requires="wps">
            <w:drawing>
              <wp:anchor behindDoc="0" distT="0" distB="0" distL="0" distR="0" simplePos="0" locked="0" layoutInCell="1" allowOverlap="1" relativeHeight="11" wp14:anchorId="6DC0162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4605" cy="173990"/>
                <wp:effectExtent l="0" t="0" r="0" b="0"/>
                <wp:wrapNone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73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0pt;margin-top:0.05pt;width:1.1pt;height:13.65pt;mso-wrap-style:none;v-text-anchor:middle" wp14:anchorId="6DC0162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3" wp14:anchorId="1520ACE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4605" cy="17399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0" cy="173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0pt;margin-top:0.05pt;width:1.1pt;height:13.65pt;mso-wrap-style:none;v-text-anchor:middle" wp14:anchorId="1520ACE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bookmarkStart w:id="2" w:name="_GoBack_Копия_1"/>
      <w:bookmarkStart w:id="3" w:name="_GoBack_Копия_1"/>
      <w:bookmarkEnd w:id="3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641" w:right="567" w:gutter="0" w:header="709" w:top="766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ahoma">
    <w:charset w:val="01"/>
    <w:family w:val="swiss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swiss"/>
    <w:pitch w:val="default"/>
  </w:font>
  <w:font w:name="Verdana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635" distL="0" distR="0" simplePos="0" locked="0" layoutInCell="0" allowOverlap="1" relativeHeight="8" wp14:anchorId="22CB43D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73990"/>
              <wp:effectExtent l="0" t="0" r="0" b="0"/>
              <wp:wrapSquare wrapText="bothSides"/>
              <wp:docPr id="3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780.25pt;margin-top:0.05pt;width:1.15pt;height:13.65pt;mso-wrap-style:none;v-text-anchor:middle;mso-position-horizontal:right;mso-position-horizontal-relative:margin" wp14:anchorId="22CB43D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635" distL="0" distR="0" simplePos="0" locked="0" layoutInCell="0" allowOverlap="1" relativeHeight="8" wp14:anchorId="22CB43D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73990"/>
              <wp:effectExtent l="0" t="0" r="0" b="0"/>
              <wp:wrapSquare wrapText="bothSides"/>
              <wp:docPr id="4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780.25pt;margin-top:0.05pt;width:1.15pt;height:13.65pt;mso-wrap-style:none;v-text-anchor:middle;mso-position-horizontal:right;mso-position-horizontal-relative:margin" wp14:anchorId="22CB43D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14396920"/>
    </w:sdtPr>
    <w:sdtContent>
      <w:p>
        <w:pPr>
          <w:pStyle w:val="Header"/>
          <w:jc w:val="center"/>
          <w:rPr/>
        </w:pPr>
        <w:r>
          <w:rPr/>
        </w:r>
      </w:p>
    </w:sdtContent>
  </w:sdt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14396920"/>
    </w:sdtPr>
    <w:sdtContent>
      <w:p>
        <w:pPr>
          <w:pStyle w:val="Header"/>
          <w:jc w:val="center"/>
          <w:rPr/>
        </w:pPr>
        <w:r>
          <w:rPr/>
        </w:r>
      </w:p>
    </w:sdtContent>
  </w:sdt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footer" w:locked="1" w:uiPriority="0" w:semiHidden="0" w:unhideWhenUsed="0"/>
    <w:lsdException w:name="caption" w:locked="1" w:uiPriority="0" w:qFormat="1"/>
    <w:lsdException w:name="footnote reference" w:uiPriority="0"/>
    <w:lsdException w:name="page number" w:locked="1" w:uiPriority="0" w:semiHidden="0" w:unhideWhenUsed="0"/>
    <w:lsdException w:name="Title" w:locked="1" w:uiPriority="0" w:semiHidden="0" w:unhideWhenUsed="0" w:qFormat="1"/>
    <w:lsdException w:name="Signature" w:locked="1" w:uiPriority="0" w:semiHidden="0" w:unhideWhenUsed="0"/>
    <w:lsdException w:name="Default Paragraph Font" w:locked="1" w:uiPriority="0" w:semiHidden="0" w:unhideWhenUsed="0"/>
    <w:lsdException w:name="Body Text" w:locked="1" w:semiHidden="0" w:unhideWhenUsed="0"/>
    <w:lsdException w:name="Subtitle" w:locked="1" w:uiPriority="0" w:semiHidden="0" w:unhideWhenUsed="0" w:qFormat="1"/>
    <w:lsdException w:name="Body Text Indent 2" w:uiPriority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251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Style20"/>
    <w:next w:val="BodyText"/>
    <w:link w:val="11"/>
    <w:qFormat/>
    <w:pPr>
      <w:outlineLvl w:val="0"/>
    </w:pPr>
    <w:rPr>
      <w:rFonts w:ascii="Liberation Serif" w:hAnsi="Liberation Serif" w:cs="Tahoma"/>
      <w:b/>
      <w:bCs/>
      <w:sz w:val="48"/>
      <w:szCs w:val="48"/>
    </w:rPr>
  </w:style>
  <w:style w:type="paragraph" w:styleId="Heading4">
    <w:name w:val="heading 4"/>
    <w:basedOn w:val="Style20"/>
    <w:next w:val="BodyText"/>
    <w:qFormat/>
    <w:pPr>
      <w:spacing w:before="120" w:after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Основной текст Знак"/>
    <w:basedOn w:val="DefaultParagraphFont"/>
    <w:uiPriority w:val="99"/>
    <w:qFormat/>
    <w:locked/>
    <w:rsid w:val="007a64e3"/>
    <w:rPr>
      <w:rFonts w:ascii="Times New Roman" w:hAnsi="Times New Roman" w:cs="Times New Roman"/>
      <w:sz w:val="24"/>
      <w:szCs w:val="24"/>
      <w:lang w:eastAsia="ru-RU"/>
    </w:rPr>
  </w:style>
  <w:style w:type="character" w:styleId="Style13" w:customStyle="1">
    <w:name w:val="Подпись Знак"/>
    <w:basedOn w:val="DefaultParagraphFont"/>
    <w:qFormat/>
    <w:locked/>
    <w:rsid w:val="007a64e3"/>
    <w:rPr>
      <w:rFonts w:ascii="Times New Roman" w:hAnsi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locked/>
    <w:rsid w:val="007a64e3"/>
    <w:rPr>
      <w:rFonts w:ascii="Times New Roman" w:hAnsi="Times New Roman" w:cs="Times New Roman"/>
      <w:sz w:val="20"/>
      <w:szCs w:val="20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locked/>
    <w:rsid w:val="007a64e3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qFormat/>
    <w:rsid w:val="007a64e3"/>
    <w:rPr>
      <w:rFonts w:cs="Times New Roman"/>
    </w:rPr>
  </w:style>
  <w:style w:type="character" w:styleId="1" w:customStyle="1">
    <w:name w:val="Гиперссылка1"/>
    <w:basedOn w:val="DefaultParagraphFont"/>
    <w:uiPriority w:val="99"/>
    <w:semiHidden/>
    <w:qFormat/>
    <w:rsid w:val="00383278"/>
    <w:rPr>
      <w:rFonts w:cs="Times New Roman"/>
      <w:color w:val="3272C0"/>
      <w:u w:val="none"/>
      <w:effect w:val="none"/>
      <w:shd w:fill="auto" w:val="clear"/>
    </w:rPr>
  </w:style>
  <w:style w:type="character" w:styleId="Style16" w:customStyle="1">
    <w:name w:val="Текст выноски Знак"/>
    <w:basedOn w:val="DefaultParagraphFont"/>
    <w:uiPriority w:val="99"/>
    <w:semiHidden/>
    <w:qFormat/>
    <w:locked/>
    <w:rsid w:val="002f7931"/>
    <w:rPr>
      <w:rFonts w:ascii="Tahoma" w:hAnsi="Tahoma" w:cs="Tahoma"/>
      <w:sz w:val="16"/>
      <w:szCs w:val="16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a92811"/>
    <w:rPr>
      <w:rFonts w:ascii="Times New Roman" w:hAnsi="Times New Roman" w:eastAsia="Times New Roman"/>
      <w:lang w:val="en-US"/>
    </w:rPr>
  </w:style>
  <w:style w:type="character" w:styleId="11" w:customStyle="1">
    <w:name w:val="Заголовок 1 Знак"/>
    <w:unhideWhenUsed/>
    <w:qFormat/>
    <w:rsid w:val="00a92811"/>
    <w:rPr>
      <w:vertAlign w:val="superscript"/>
    </w:rPr>
  </w:style>
  <w:style w:type="character" w:styleId="Style17" w:customStyle="1">
    <w:name w:val="Символ сноски"/>
    <w:qFormat/>
    <w:rPr>
      <w:vertAlign w:val="superscript"/>
    </w:rPr>
  </w:style>
  <w:style w:type="character" w:styleId="user" w:customStyle="1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18" w:customStyle="1">
    <w:name w:val="Символ концевой сноски"/>
    <w:qFormat/>
    <w:rPr>
      <w:vertAlign w:val="superscript"/>
    </w:rPr>
  </w:style>
  <w:style w:type="character" w:styleId="user1" w:customStyle="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Style19" w:customStyle="1">
    <w:name w:val="Маркеры"/>
    <w:qFormat/>
    <w:rPr>
      <w:rFonts w:ascii="OpenSymbol" w:hAnsi="OpenSymbol" w:eastAsia="OpenSymbol" w:cs="OpenSymbol"/>
    </w:rPr>
  </w:style>
  <w:style w:type="paragraph" w:styleId="Style2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99"/>
    <w:rsid w:val="007a64e3"/>
    <w:pPr>
      <w:jc w:val="both"/>
    </w:pPr>
    <w:rPr>
      <w:sz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ignature">
    <w:name w:val="Signature"/>
    <w:basedOn w:val="Normal"/>
    <w:rsid w:val="007a64e3"/>
    <w:pPr>
      <w:jc w:val="both"/>
    </w:pPr>
    <w:rPr>
      <w:sz w:val="28"/>
      <w:szCs w:val="20"/>
    </w:rPr>
  </w:style>
  <w:style w:type="paragraph" w:styleId="Style22" w:customStyle="1">
    <w:name w:val="Колонтитул"/>
    <w:basedOn w:val="Normal"/>
    <w:qFormat/>
    <w:pPr/>
    <w:rPr/>
  </w:style>
  <w:style w:type="paragraph" w:styleId="Style23" w:customStyle="1">
    <w:name w:val="Верхний и нижний колонтитулы"/>
    <w:basedOn w:val="Normal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rsid w:val="007a64e3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uiPriority w:val="99"/>
    <w:rsid w:val="007a64e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uiPriority w:val="99"/>
    <w:qFormat/>
    <w:rsid w:val="00bc6a37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en-US" w:val="ru-RU" w:bidi="ar-SA"/>
    </w:rPr>
  </w:style>
  <w:style w:type="paragraph" w:styleId="Style41" w:customStyle="1">
    <w:name w:val="Style4"/>
    <w:basedOn w:val="Normal"/>
    <w:uiPriority w:val="99"/>
    <w:qFormat/>
    <w:rsid w:val="00bc6a37"/>
    <w:pPr>
      <w:widowControl w:val="false"/>
      <w:spacing w:lineRule="exact" w:line="403"/>
      <w:jc w:val="center"/>
    </w:pPr>
    <w:rPr/>
  </w:style>
  <w:style w:type="paragraph" w:styleId="ListParagraph">
    <w:name w:val="List Paragraph"/>
    <w:basedOn w:val="Normal"/>
    <w:uiPriority w:val="99"/>
    <w:qFormat/>
    <w:rsid w:val="00bc6a37"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uiPriority w:val="99"/>
    <w:semiHidden/>
    <w:qFormat/>
    <w:rsid w:val="002f7931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qFormat/>
    <w:rsid w:val="002b2c65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2" w:customStyle="1">
    <w:name w:val="Основной текст 22"/>
    <w:basedOn w:val="Normal"/>
    <w:uiPriority w:val="99"/>
    <w:qFormat/>
    <w:rsid w:val="00e45602"/>
    <w:pPr>
      <w:ind w:firstLine="567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qFormat/>
    <w:rsid w:val="00807056"/>
    <w:pPr>
      <w:spacing w:beforeAutospacing="1" w:afterAutospacing="1"/>
    </w:pPr>
    <w:rPr/>
  </w:style>
  <w:style w:type="paragraph" w:styleId="BodyTextIndent2">
    <w:name w:val="Body Text Indent 2"/>
    <w:basedOn w:val="Normal"/>
    <w:link w:val="2"/>
    <w:qFormat/>
    <w:rsid w:val="00a92811"/>
    <w:pPr>
      <w:spacing w:lineRule="auto" w:line="480" w:before="0" w:after="120"/>
      <w:ind w:left="283"/>
    </w:pPr>
    <w:rPr>
      <w:sz w:val="20"/>
      <w:szCs w:val="20"/>
      <w:lang w:val="en-US"/>
    </w:rPr>
  </w:style>
  <w:style w:type="paragraph" w:styleId="12" w:customStyle="1">
    <w:name w:val="Знак Знак1 Знак Знак Знак Знак Знак Знак Знак Знак Знак Знак Знак Знак Знак Знак Знак Знак Знак Знак"/>
    <w:basedOn w:val="Normal"/>
    <w:qFormat/>
    <w:rsid w:val="00a92811"/>
    <w:pPr>
      <w:spacing w:lineRule="auto" w:line="276" w:before="0" w:after="200"/>
    </w:pPr>
    <w:rPr>
      <w:rFonts w:ascii="Calibri" w:hAnsi="Calibri" w:eastAsia="Calibri"/>
      <w:sz w:val="20"/>
      <w:szCs w:val="20"/>
      <w:vertAlign w:val="superscript"/>
    </w:rPr>
  </w:style>
  <w:style w:type="paragraph" w:styleId="21" w:customStyle="1">
    <w:name w:val="Знак2 Знак Знак"/>
    <w:basedOn w:val="Normal"/>
    <w:qFormat/>
    <w:rsid w:val="00bc5580"/>
    <w:pPr>
      <w:tabs>
        <w:tab w:val="clear" w:pos="708"/>
        <w:tab w:val="left" w:pos="720" w:leader="none"/>
      </w:tabs>
      <w:spacing w:lineRule="exact" w:line="240" w:before="0" w:after="160"/>
      <w:ind w:hanging="720" w:left="720"/>
    </w:pPr>
    <w:rPr>
      <w:rFonts w:ascii="Verdana" w:hAnsi="Verdana" w:cs="Verdana"/>
      <w:sz w:val="20"/>
      <w:szCs w:val="20"/>
      <w:lang w:val="en-US" w:eastAsia="en-US"/>
    </w:rPr>
  </w:style>
  <w:style w:type="paragraph" w:styleId="Style24" w:customStyle="1">
    <w:name w:val="_Основной текст"/>
    <w:basedOn w:val="Normal"/>
    <w:qFormat/>
    <w:rsid w:val="00bc5580"/>
    <w:pPr>
      <w:spacing w:before="120" w:after="120"/>
      <w:ind w:firstLine="680"/>
      <w:jc w:val="both"/>
    </w:pPr>
    <w:rPr>
      <w:rFonts w:eastAsia="Calibri"/>
      <w:szCs w:val="22"/>
      <w:lang w:eastAsia="en-US"/>
    </w:rPr>
  </w:style>
  <w:style w:type="paragraph" w:styleId="FootnoteText">
    <w:name w:val="footnote text"/>
    <w:basedOn w:val="Normal"/>
    <w:pPr/>
    <w:rPr/>
  </w:style>
  <w:style w:type="paragraph" w:styleId="Style25" w:customStyle="1">
    <w:name w:val="Содержимое врезки"/>
    <w:basedOn w:val="Normal"/>
    <w:qFormat/>
    <w:pPr/>
    <w:rPr/>
  </w:style>
  <w:style w:type="paragraph" w:styleId="Style2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7" w:customStyle="1">
    <w:name w:val="Заголовок таблицы"/>
    <w:basedOn w:val="Style26"/>
    <w:qFormat/>
    <w:pPr>
      <w:jc w:val="center"/>
    </w:pPr>
    <w:rPr>
      <w:b/>
      <w:bCs/>
    </w:rPr>
  </w:style>
  <w:style w:type="paragraph" w:styleId="66" w:customStyle="1">
    <w:name w:val="_Основной текст 66"/>
    <w:basedOn w:val="Normal"/>
    <w:qFormat/>
    <w:pPr>
      <w:widowControl w:val="false"/>
      <w:snapToGrid w:val="false"/>
    </w:pPr>
    <w:rPr>
      <w:color w:val="000000"/>
      <w:sz w:val="20"/>
      <w:szCs w:val="20"/>
    </w:rPr>
  </w:style>
  <w:style w:type="paragraph" w:styleId="user3" w:customStyle="1">
    <w:name w:val="Содержимое врезки (user)"/>
    <w:basedOn w:val="Normal"/>
    <w:qFormat/>
    <w:pPr/>
    <w:rPr/>
  </w:style>
  <w:style w:type="numbering" w:styleId="Style28" w:customStyle="1">
    <w:name w:val="Без списка"/>
    <w:uiPriority w:val="99"/>
    <w:semiHidden/>
    <w:unhideWhenUsed/>
    <w:qFormat/>
  </w:style>
  <w:style w:type="numbering" w:styleId="user4" w:customStyle="1">
    <w:name w:val="Без списка (user)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2"/>
    <w:uiPriority w:val="59"/>
    <w:rsid w:val="00d32bc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BE832-3C7A-4089-809B-DE9815435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Application>LibreOffice/25.2.3.2$Linux_X86_64 LibreOffice_project/520$Build-2</Application>
  <AppVersion>15.0000</AppVersion>
  <Pages>4</Pages>
  <Words>935</Words>
  <Characters>6804</Characters>
  <CharactersWithSpaces>7594</CharactersWithSpaces>
  <Paragraphs>149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2026-08-06T05:01:00Z</dcterms:created>
  <dc:creator>[ГУ КРСК] Юридический отдел (Матушкина Н.М.)</dc:creator>
  <dc:description/>
  <dc:language>ru-RU</dc:language>
  <cp:lastModifiedBy/>
  <cp:lastPrinted>2023-03-01T07:37:00Z</cp:lastPrinted>
  <dcterms:modified xsi:type="dcterms:W3CDTF">2026-08-21T14:07:57Z</dcterms:modified>
  <cp:revision>16</cp:revision>
  <dc:subject/>
  <dc:title>Приложение № 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