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A8" w:rsidRDefault="00E315A8" w:rsidP="00300BA8">
      <w:pPr>
        <w:ind w:firstLine="709"/>
        <w:jc w:val="center"/>
        <w:rPr>
          <w:b/>
        </w:rPr>
      </w:pPr>
      <w:r w:rsidRPr="005C3F4F">
        <w:rPr>
          <w:b/>
        </w:rPr>
        <w:t>ТЕХНИЧЕСКОЕ ЗАДАНИЕ</w:t>
      </w:r>
    </w:p>
    <w:p w:rsidR="00300BA8" w:rsidRDefault="00573D6B" w:rsidP="00300BA8">
      <w:pPr>
        <w:ind w:firstLine="709"/>
        <w:jc w:val="center"/>
        <w:rPr>
          <w:rFonts w:eastAsia="Calibri"/>
          <w:b/>
          <w:bCs/>
          <w:lang w:bidi="ru-RU"/>
        </w:rPr>
      </w:pPr>
      <w:r w:rsidRPr="00D85065">
        <w:rPr>
          <w:rFonts w:eastAsia="Calibri"/>
          <w:b/>
          <w:bCs/>
          <w:lang w:bidi="ru-RU"/>
        </w:rPr>
        <w:t xml:space="preserve">на </w:t>
      </w:r>
      <w:r w:rsidR="00F0038F" w:rsidRPr="00F0038F">
        <w:rPr>
          <w:rFonts w:eastAsia="Calibri"/>
          <w:b/>
          <w:bCs/>
          <w:lang w:bidi="ru-RU"/>
        </w:rPr>
        <w:t>оказание услуг по передаче неисключительных (пользовательских)</w:t>
      </w:r>
    </w:p>
    <w:p w:rsidR="00573D6B" w:rsidRPr="00300BA8" w:rsidRDefault="00F0038F" w:rsidP="00300BA8">
      <w:pPr>
        <w:ind w:firstLine="709"/>
        <w:jc w:val="center"/>
        <w:rPr>
          <w:b/>
        </w:rPr>
      </w:pPr>
      <w:r>
        <w:rPr>
          <w:rFonts w:eastAsia="Calibri"/>
          <w:b/>
          <w:bCs/>
          <w:lang w:bidi="ru-RU"/>
        </w:rPr>
        <w:t xml:space="preserve">прав (лицензий) </w:t>
      </w:r>
      <w:r w:rsidRPr="00F0038F">
        <w:rPr>
          <w:rFonts w:eastAsia="Calibri"/>
          <w:b/>
          <w:bCs/>
          <w:lang w:bidi="ru-RU"/>
        </w:rPr>
        <w:t>на право использования</w:t>
      </w:r>
      <w:r w:rsidR="00300BA8">
        <w:rPr>
          <w:rFonts w:eastAsia="Calibri"/>
          <w:b/>
          <w:bCs/>
          <w:lang w:bidi="ru-RU"/>
        </w:rPr>
        <w:t xml:space="preserve"> </w:t>
      </w:r>
      <w:r w:rsidR="00703E5E" w:rsidRPr="00703E5E">
        <w:rPr>
          <w:rFonts w:eastAsia="Calibri"/>
          <w:b/>
          <w:bCs/>
          <w:lang w:bidi="ru-RU"/>
        </w:rPr>
        <w:t>средства доверенной загрузки</w:t>
      </w:r>
      <w:r w:rsidR="002910FD">
        <w:rPr>
          <w:rFonts w:eastAsia="Calibri"/>
          <w:b/>
          <w:bCs/>
          <w:lang w:bidi="ru-RU"/>
        </w:rPr>
        <w:t xml:space="preserve"> и поставке установочного комплекта программного обеспечения</w:t>
      </w:r>
    </w:p>
    <w:p w:rsidR="00573D6B" w:rsidRPr="00573D6B" w:rsidRDefault="00573D6B" w:rsidP="00573D6B">
      <w:pPr>
        <w:ind w:firstLine="709"/>
        <w:jc w:val="center"/>
        <w:rPr>
          <w:b/>
        </w:rPr>
      </w:pPr>
    </w:p>
    <w:p w:rsidR="00E315A8" w:rsidRPr="005C3F4F" w:rsidRDefault="00E315A8" w:rsidP="00573D6B">
      <w:pPr>
        <w:jc w:val="center"/>
        <w:rPr>
          <w:b/>
        </w:rPr>
      </w:pPr>
      <w:r w:rsidRPr="005C3F4F">
        <w:rPr>
          <w:b/>
        </w:rPr>
        <w:t>1</w:t>
      </w:r>
      <w:r w:rsidRPr="005C3F4F">
        <w:t>.</w:t>
      </w:r>
      <w:r w:rsidRPr="005C3F4F">
        <w:rPr>
          <w:b/>
        </w:rPr>
        <w:t xml:space="preserve"> Общие сведения</w:t>
      </w:r>
    </w:p>
    <w:p w:rsidR="005A3897" w:rsidRPr="00F0038F" w:rsidRDefault="00E315A8" w:rsidP="00F0038F">
      <w:pPr>
        <w:ind w:firstLine="709"/>
        <w:jc w:val="both"/>
        <w:rPr>
          <w:rFonts w:eastAsia="Calibri"/>
          <w:lang w:bidi="ru-RU"/>
        </w:rPr>
      </w:pPr>
      <w:bookmarkStart w:id="0" w:name="_Toc52976625"/>
      <w:r w:rsidRPr="005C3F4F">
        <w:rPr>
          <w:b/>
        </w:rPr>
        <w:t>1.1.</w:t>
      </w:r>
      <w:r w:rsidR="005A3897" w:rsidRPr="005C3F4F">
        <w:t> </w:t>
      </w:r>
      <w:r w:rsidRPr="005C3F4F">
        <w:rPr>
          <w:b/>
        </w:rPr>
        <w:t xml:space="preserve">Наименование </w:t>
      </w:r>
      <w:bookmarkEnd w:id="0"/>
      <w:r w:rsidRPr="005C3F4F">
        <w:rPr>
          <w:b/>
        </w:rPr>
        <w:t>объекта закупки:</w:t>
      </w:r>
      <w:r w:rsidR="005C3F4F">
        <w:t xml:space="preserve"> </w:t>
      </w:r>
      <w:bookmarkStart w:id="1" w:name="_Hlk67043916"/>
      <w:r w:rsidR="00F0038F" w:rsidRPr="00F0038F">
        <w:rPr>
          <w:rFonts w:eastAsia="Calibri"/>
          <w:lang w:bidi="ru-RU"/>
        </w:rPr>
        <w:t xml:space="preserve">оказание услуг по передаче неисключительных (пользовательских) прав (лицензий) на право использования </w:t>
      </w:r>
      <w:r w:rsidR="007A100B" w:rsidRPr="005D5DAC">
        <w:t>средств</w:t>
      </w:r>
      <w:r w:rsidR="00703E5E">
        <w:t>а</w:t>
      </w:r>
      <w:r w:rsidR="007A100B">
        <w:t xml:space="preserve"> доверенной загрузки</w:t>
      </w:r>
      <w:r w:rsidR="007A100B" w:rsidRPr="005D5DAC">
        <w:t xml:space="preserve"> (далее – СДЗ)</w:t>
      </w:r>
      <w:r w:rsidR="002910FD">
        <w:t xml:space="preserve"> и поставке </w:t>
      </w:r>
      <w:r w:rsidR="002910FD" w:rsidRPr="002910FD">
        <w:t>установочного комплекта программного обеспечения</w:t>
      </w:r>
      <w:r w:rsidR="002910FD">
        <w:t xml:space="preserve"> (далее – УКПО)</w:t>
      </w:r>
      <w:r w:rsidR="005A3897" w:rsidRPr="005C3F4F">
        <w:t>.</w:t>
      </w:r>
    </w:p>
    <w:p w:rsidR="00E315A8" w:rsidRPr="005C3F4F" w:rsidRDefault="00E315A8" w:rsidP="00E315A8">
      <w:pPr>
        <w:ind w:firstLine="709"/>
        <w:jc w:val="both"/>
      </w:pPr>
      <w:bookmarkStart w:id="2" w:name="_Toc52976626"/>
      <w:bookmarkEnd w:id="1"/>
      <w:r w:rsidRPr="005C3F4F">
        <w:rPr>
          <w:b/>
        </w:rPr>
        <w:t>1.</w:t>
      </w:r>
      <w:r w:rsidR="00703E5E">
        <w:rPr>
          <w:b/>
        </w:rPr>
        <w:t>2</w:t>
      </w:r>
      <w:r w:rsidRPr="005C3F4F">
        <w:rPr>
          <w:b/>
        </w:rPr>
        <w:t xml:space="preserve">. </w:t>
      </w:r>
      <w:bookmarkEnd w:id="2"/>
      <w:r w:rsidRPr="005C3F4F">
        <w:rPr>
          <w:b/>
        </w:rPr>
        <w:t xml:space="preserve">Заказчик: </w:t>
      </w:r>
      <w:r w:rsidRPr="005C3F4F">
        <w:t xml:space="preserve">Федеральное агентство водных ресурсов. </w:t>
      </w:r>
    </w:p>
    <w:p w:rsidR="00E315A8" w:rsidRPr="005C3F4F" w:rsidRDefault="00E315A8" w:rsidP="00E315A8">
      <w:pPr>
        <w:ind w:firstLine="709"/>
        <w:jc w:val="both"/>
      </w:pPr>
      <w:bookmarkStart w:id="3" w:name="_Toc52976627"/>
      <w:r w:rsidRPr="005C3F4F">
        <w:rPr>
          <w:b/>
        </w:rPr>
        <w:t>1.</w:t>
      </w:r>
      <w:r w:rsidR="00703E5E">
        <w:rPr>
          <w:b/>
        </w:rPr>
        <w:t>3</w:t>
      </w:r>
      <w:r w:rsidRPr="005C3F4F">
        <w:rPr>
          <w:b/>
        </w:rPr>
        <w:t xml:space="preserve">. Место </w:t>
      </w:r>
      <w:bookmarkEnd w:id="3"/>
      <w:r w:rsidR="005A3897" w:rsidRPr="005C3F4F">
        <w:rPr>
          <w:b/>
        </w:rPr>
        <w:t>оказания услуги</w:t>
      </w:r>
      <w:r w:rsidRPr="005C3F4F">
        <w:t>: г. Москва, ул. Кедрова д.8 к.1.</w:t>
      </w:r>
    </w:p>
    <w:p w:rsidR="005A3897" w:rsidRPr="005C3F4F" w:rsidRDefault="00E315A8" w:rsidP="005A3897">
      <w:pPr>
        <w:ind w:firstLine="709"/>
        <w:jc w:val="both"/>
      </w:pPr>
      <w:bookmarkStart w:id="4" w:name="_Toc52976628"/>
      <w:r w:rsidRPr="005C3F4F">
        <w:rPr>
          <w:b/>
        </w:rPr>
        <w:t>1.</w:t>
      </w:r>
      <w:r w:rsidR="00703E5E">
        <w:rPr>
          <w:b/>
        </w:rPr>
        <w:t>4</w:t>
      </w:r>
      <w:r w:rsidRPr="005C3F4F">
        <w:rPr>
          <w:b/>
        </w:rPr>
        <w:t>. Сро</w:t>
      </w:r>
      <w:bookmarkEnd w:id="4"/>
      <w:r w:rsidR="005A3897" w:rsidRPr="005C3F4F">
        <w:rPr>
          <w:b/>
        </w:rPr>
        <w:t>к оказания услуги</w:t>
      </w:r>
      <w:r w:rsidRPr="005C3F4F">
        <w:rPr>
          <w:b/>
        </w:rPr>
        <w:t>:</w:t>
      </w:r>
      <w:r w:rsidR="005A3897" w:rsidRPr="005C3F4F">
        <w:rPr>
          <w:b/>
        </w:rPr>
        <w:t xml:space="preserve"> </w:t>
      </w:r>
      <w:r w:rsidR="005A3897" w:rsidRPr="005C3F4F">
        <w:t xml:space="preserve">в течение </w:t>
      </w:r>
      <w:r w:rsidR="00703E5E">
        <w:t>10</w:t>
      </w:r>
      <w:r w:rsidR="005A3897" w:rsidRPr="005C3F4F">
        <w:t xml:space="preserve"> (</w:t>
      </w:r>
      <w:r w:rsidR="00703E5E">
        <w:t>десяти</w:t>
      </w:r>
      <w:r w:rsidR="005A3897" w:rsidRPr="005C3F4F">
        <w:t xml:space="preserve">) </w:t>
      </w:r>
      <w:r w:rsidR="00703E5E">
        <w:t>календарных</w:t>
      </w:r>
      <w:r w:rsidR="005A3897" w:rsidRPr="005C3F4F">
        <w:t xml:space="preserve"> дней </w:t>
      </w:r>
      <w:r w:rsidR="005A3897" w:rsidRPr="005C3F4F">
        <w:br/>
        <w:t xml:space="preserve">с даты заключения государственного контракта Исполнитель обязан передать Заказчику </w:t>
      </w:r>
      <w:r w:rsidR="007A100B">
        <w:t>СДЗ</w:t>
      </w:r>
      <w:r w:rsidR="002910FD">
        <w:t xml:space="preserve"> и УКПО</w:t>
      </w:r>
      <w:r w:rsidR="005A3897" w:rsidRPr="005C3F4F">
        <w:t xml:space="preserve">. </w:t>
      </w:r>
    </w:p>
    <w:p w:rsidR="005A3897" w:rsidRPr="005C3F4F" w:rsidRDefault="005A3897" w:rsidP="005A3897">
      <w:pPr>
        <w:ind w:firstLine="709"/>
        <w:jc w:val="both"/>
      </w:pPr>
      <w:r w:rsidRPr="005C3F4F">
        <w:t>Дата начала действия лицензионного ключа</w:t>
      </w:r>
      <w:r w:rsidR="002910FD">
        <w:t xml:space="preserve"> для СДЗ</w:t>
      </w:r>
      <w:r w:rsidRPr="005C3F4F">
        <w:t xml:space="preserve"> должна соответствовать дате активации ключа</w:t>
      </w:r>
      <w:r w:rsidR="002910FD">
        <w:t xml:space="preserve"> СДЗ (далее – лицензионный ключ)</w:t>
      </w:r>
      <w:r w:rsidRPr="005C3F4F">
        <w:t>.</w:t>
      </w:r>
    </w:p>
    <w:p w:rsidR="005A3897" w:rsidRPr="005C3F4F" w:rsidRDefault="005A3897" w:rsidP="005A3897">
      <w:pPr>
        <w:ind w:firstLine="709"/>
        <w:jc w:val="both"/>
      </w:pPr>
      <w:r w:rsidRPr="005C3F4F">
        <w:t xml:space="preserve">Передача </w:t>
      </w:r>
      <w:r w:rsidR="00D17D8F" w:rsidRPr="005C3F4F">
        <w:t>файла</w:t>
      </w:r>
      <w:r w:rsidR="002910FD">
        <w:t xml:space="preserve"> лицензионного ключа</w:t>
      </w:r>
      <w:r w:rsidR="00D17D8F" w:rsidRPr="005C3F4F">
        <w:t xml:space="preserve">, лицензионного соглашения </w:t>
      </w:r>
      <w:r w:rsidR="009F036D" w:rsidRPr="005C3F4F">
        <w:br/>
      </w:r>
      <w:r w:rsidR="00D17D8F" w:rsidRPr="005C3F4F">
        <w:t xml:space="preserve">с правообладателем программного обеспечения </w:t>
      </w:r>
      <w:r w:rsidRPr="005C3F4F">
        <w:t xml:space="preserve">осуществляется Исполнителем </w:t>
      </w:r>
      <w:r w:rsidR="005C3F4F">
        <w:br/>
      </w:r>
      <w:r w:rsidRPr="005C3F4F">
        <w:t xml:space="preserve">в электронном виде на электронный адрес </w:t>
      </w:r>
      <w:r w:rsidR="00D17D8F" w:rsidRPr="005C3F4F">
        <w:t>З</w:t>
      </w:r>
      <w:r w:rsidRPr="005C3F4F">
        <w:t>аказчика: </w:t>
      </w:r>
      <w:proofErr w:type="spellStart"/>
      <w:r w:rsidR="00D17D8F" w:rsidRPr="005C3F4F">
        <w:rPr>
          <w:lang w:val="en-US"/>
        </w:rPr>
        <w:t>najmitdinov</w:t>
      </w:r>
      <w:proofErr w:type="spellEnd"/>
      <w:r w:rsidR="00D17D8F" w:rsidRPr="005C3F4F">
        <w:t>.</w:t>
      </w:r>
      <w:r w:rsidR="00D17D8F" w:rsidRPr="005C3F4F">
        <w:rPr>
          <w:lang w:val="en-US"/>
        </w:rPr>
        <w:t>t</w:t>
      </w:r>
      <w:r w:rsidR="00D17D8F" w:rsidRPr="005C3F4F">
        <w:t>@</w:t>
      </w:r>
      <w:proofErr w:type="spellStart"/>
      <w:r w:rsidR="00D17D8F" w:rsidRPr="005C3F4F">
        <w:t>favr.ru</w:t>
      </w:r>
      <w:proofErr w:type="spellEnd"/>
      <w:r w:rsidRPr="005C3F4F">
        <w:t xml:space="preserve">, </w:t>
      </w:r>
      <w:r w:rsidR="005C3F4F">
        <w:br/>
      </w:r>
      <w:r w:rsidRPr="005C3F4F">
        <w:t>с последующей передачей</w:t>
      </w:r>
      <w:r w:rsidR="002910FD">
        <w:t xml:space="preserve"> УКПО,</w:t>
      </w:r>
      <w:r w:rsidRPr="005C3F4F">
        <w:t xml:space="preserve"> сертификатов, свидетельств, подтверждающих оригинальность программного обеспечения</w:t>
      </w:r>
      <w:r w:rsidR="002910FD">
        <w:t xml:space="preserve">  и иных </w:t>
      </w:r>
      <w:proofErr w:type="gramStart"/>
      <w:r w:rsidR="002910FD">
        <w:t>документов</w:t>
      </w:r>
      <w:proofErr w:type="gramEnd"/>
      <w:r w:rsidR="002910FD">
        <w:t xml:space="preserve"> предусмотренных настоящим Техническим заданием</w:t>
      </w:r>
      <w:r w:rsidRPr="005C3F4F">
        <w:t>, по адресу, указанному в п. 1.4. настоящего Технического задания.</w:t>
      </w:r>
    </w:p>
    <w:p w:rsidR="002C337C" w:rsidRPr="005C3F4F" w:rsidRDefault="002C337C" w:rsidP="005A3897">
      <w:pPr>
        <w:ind w:firstLine="709"/>
        <w:jc w:val="both"/>
      </w:pPr>
      <w:r w:rsidRPr="005C3F4F">
        <w:rPr>
          <w:b/>
        </w:rPr>
        <w:t>1.</w:t>
      </w:r>
      <w:r w:rsidR="00703E5E">
        <w:rPr>
          <w:b/>
        </w:rPr>
        <w:t>5</w:t>
      </w:r>
      <w:r w:rsidRPr="005C3F4F">
        <w:rPr>
          <w:b/>
        </w:rPr>
        <w:t xml:space="preserve">. </w:t>
      </w:r>
      <w:r w:rsidRPr="00BC1C83">
        <w:rPr>
          <w:b/>
        </w:rPr>
        <w:t>Код ОКПД 2</w:t>
      </w:r>
      <w:r w:rsidRPr="005C3F4F">
        <w:rPr>
          <w:b/>
        </w:rPr>
        <w:t xml:space="preserve"> (КТРУ): </w:t>
      </w:r>
      <w:r w:rsidRPr="005C3F4F">
        <w:t>58.29.</w:t>
      </w:r>
      <w:r w:rsidR="00703E5E">
        <w:t>50</w:t>
      </w:r>
      <w:r w:rsidRPr="005C3F4F">
        <w:t>.000</w:t>
      </w:r>
      <w:r w:rsidR="00703E5E">
        <w:t xml:space="preserve"> </w:t>
      </w:r>
      <w:r w:rsidRPr="005C3F4F">
        <w:t>«</w:t>
      </w:r>
      <w:r w:rsidR="00703E5E" w:rsidRPr="00703E5E">
        <w:t xml:space="preserve">Услуги по предоставлению лицензий </w:t>
      </w:r>
      <w:r w:rsidR="00703E5E">
        <w:br/>
      </w:r>
      <w:r w:rsidR="00703E5E" w:rsidRPr="00703E5E">
        <w:t>на право использовать компьютерное программное обеспечение</w:t>
      </w:r>
      <w:r w:rsidRPr="005C3F4F">
        <w:t>» (58.29.11.000-0000000</w:t>
      </w:r>
      <w:r w:rsidR="00703E5E">
        <w:t>4</w:t>
      </w:r>
      <w:r w:rsidRPr="005C3F4F">
        <w:rPr>
          <w:b/>
        </w:rPr>
        <w:t xml:space="preserve"> </w:t>
      </w:r>
      <w:r w:rsidRPr="005C3F4F">
        <w:t>«Программное обеспечение»).</w:t>
      </w:r>
    </w:p>
    <w:p w:rsidR="002C337C" w:rsidRPr="005C3F4F" w:rsidRDefault="002C337C" w:rsidP="005A3897">
      <w:pPr>
        <w:ind w:firstLine="709"/>
        <w:jc w:val="both"/>
      </w:pPr>
      <w:r w:rsidRPr="005C3F4F">
        <w:rPr>
          <w:b/>
        </w:rPr>
        <w:t>1.</w:t>
      </w:r>
      <w:r w:rsidR="00703E5E">
        <w:rPr>
          <w:b/>
        </w:rPr>
        <w:t>6</w:t>
      </w:r>
      <w:r w:rsidRPr="005C3F4F">
        <w:rPr>
          <w:b/>
        </w:rPr>
        <w:t>. Источник финансирования:</w:t>
      </w:r>
      <w:r w:rsidRPr="005C3F4F">
        <w:t xml:space="preserve"> Средства федерального бюджета.</w:t>
      </w:r>
    </w:p>
    <w:p w:rsidR="002C337C" w:rsidRPr="005C3F4F" w:rsidRDefault="002C337C" w:rsidP="005A3897">
      <w:pPr>
        <w:ind w:firstLine="709"/>
        <w:jc w:val="both"/>
      </w:pPr>
    </w:p>
    <w:p w:rsidR="00792AD9" w:rsidRPr="00792AD9" w:rsidRDefault="00EC5FB1" w:rsidP="00792AD9">
      <w:pPr>
        <w:ind w:firstLine="709"/>
        <w:jc w:val="center"/>
        <w:rPr>
          <w:b/>
        </w:rPr>
      </w:pPr>
      <w:r w:rsidRPr="005C3F4F">
        <w:rPr>
          <w:b/>
        </w:rPr>
        <w:t>2. Описание объекта закупки</w:t>
      </w:r>
    </w:p>
    <w:p w:rsidR="00792AD9" w:rsidRDefault="00792AD9" w:rsidP="00D068FD"/>
    <w:tbl>
      <w:tblPr>
        <w:tblStyle w:val="a5"/>
        <w:tblW w:w="9356" w:type="dxa"/>
        <w:tblInd w:w="7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26"/>
        <w:gridCol w:w="1701"/>
        <w:gridCol w:w="283"/>
        <w:gridCol w:w="1134"/>
        <w:gridCol w:w="2552"/>
        <w:gridCol w:w="56"/>
        <w:gridCol w:w="1645"/>
        <w:gridCol w:w="1559"/>
      </w:tblGrid>
      <w:tr w:rsidR="00315807" w:rsidRPr="006D5A8A" w:rsidTr="006D5A8A">
        <w:trPr>
          <w:trHeight w:val="25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6D5A8A">
              <w:rPr>
                <w:b/>
                <w:color w:val="000000" w:themeColor="text1"/>
              </w:rPr>
              <w:t>Наименование объекта закупки,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6D5A8A">
              <w:rPr>
                <w:b/>
                <w:color w:val="000000" w:themeColor="text1"/>
              </w:rPr>
              <w:t>Тип объекта закупки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</w:rPr>
            </w:pPr>
            <w:r w:rsidRPr="006D5A8A">
              <w:rPr>
                <w:b/>
                <w:color w:val="000000" w:themeColor="text1"/>
              </w:rPr>
              <w:t>Позиции по КТРУ, ОКПД2</w:t>
            </w:r>
          </w:p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</w:rPr>
            </w:pPr>
            <w:r w:rsidRPr="006D5A8A">
              <w:rPr>
                <w:b/>
                <w:color w:val="000000" w:themeColor="text1"/>
              </w:rPr>
              <w:t>Товарный знак</w:t>
            </w:r>
          </w:p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b/>
                <w:color w:val="000000" w:themeColor="text1"/>
              </w:rPr>
            </w:pPr>
            <w:r w:rsidRPr="006D5A8A">
              <w:rPr>
                <w:b/>
                <w:color w:val="000000" w:themeColor="text1"/>
              </w:rPr>
              <w:t>Количество (объем) и единица измерения товара, работы, услуги</w:t>
            </w:r>
          </w:p>
        </w:tc>
      </w:tr>
      <w:tr w:rsidR="00315807" w:rsidRPr="006D5A8A" w:rsidTr="006D5A8A">
        <w:trPr>
          <w:trHeight w:val="239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Программное обеспечение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Услуга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Программное обеспечение (58.29.11.000-000</w:t>
            </w:r>
            <w:r w:rsidRPr="006D5A8A">
              <w:rPr>
                <w:color w:val="000000" w:themeColor="text1"/>
                <w:highlight w:val="white"/>
              </w:rPr>
              <w:t>00004)</w:t>
            </w:r>
          </w:p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 xml:space="preserve">Услуги по предоставлению лицензий на право использовать компьютерное программное обеспечение (58.29.50.000)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proofErr w:type="spellStart"/>
            <w:r w:rsidRPr="006D5A8A">
              <w:rPr>
                <w:rStyle w:val="a7"/>
                <w:color w:val="000000" w:themeColor="text1"/>
                <w:highlight w:val="white"/>
                <w:vertAlign w:val="baseline"/>
              </w:rPr>
              <w:t>ViPNet</w:t>
            </w:r>
            <w:proofErr w:type="spellEnd"/>
            <w:r w:rsidRPr="006D5A8A">
              <w:rPr>
                <w:rStyle w:val="a7"/>
                <w:color w:val="000000" w:themeColor="text1"/>
                <w:highlight w:val="white"/>
                <w:vertAlign w:val="baseline"/>
              </w:rPr>
              <w:t xml:space="preserve"> </w:t>
            </w:r>
            <w:proofErr w:type="spellStart"/>
            <w:r w:rsidRPr="006D5A8A">
              <w:rPr>
                <w:rStyle w:val="a7"/>
                <w:color w:val="000000" w:themeColor="text1"/>
                <w:highlight w:val="white"/>
                <w:vertAlign w:val="baseline"/>
              </w:rPr>
              <w:t>SafeBoot</w:t>
            </w:r>
            <w:proofErr w:type="spellEnd"/>
            <w:r w:rsidRPr="006D5A8A">
              <w:rPr>
                <w:rStyle w:val="a7"/>
                <w:color w:val="000000" w:themeColor="text1"/>
                <w:highlight w:val="white"/>
                <w:vertAlign w:val="baseline"/>
              </w:rPr>
              <w:t xml:space="preserve"> 3 </w:t>
            </w:r>
            <w:r w:rsidR="00792AD9" w:rsidRPr="006D5A8A">
              <w:rPr>
                <w:color w:val="000000"/>
              </w:rPr>
              <w:t>исполнение 1 (ФСБ+ФСТЭК)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8502AF" w:rsidP="001241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 xml:space="preserve">условных единиц </w:t>
            </w:r>
            <w:r w:rsidRPr="006D5A8A">
              <w:rPr>
                <w:color w:val="000000" w:themeColor="text1"/>
              </w:rPr>
              <w:br/>
              <w:t>(</w:t>
            </w:r>
            <w:proofErr w:type="spellStart"/>
            <w:r w:rsidRPr="006D5A8A">
              <w:rPr>
                <w:color w:val="000000" w:themeColor="text1"/>
              </w:rPr>
              <w:t>усл</w:t>
            </w:r>
            <w:proofErr w:type="spellEnd"/>
            <w:r w:rsidRPr="006D5A8A">
              <w:rPr>
                <w:color w:val="000000" w:themeColor="text1"/>
              </w:rPr>
              <w:t>. ед.)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89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Характеристики объекта закупки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Наименование характеристики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Значение характеристики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Единица измерения характеристики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Вид лицензии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tabs>
                <w:tab w:val="left" w:pos="709"/>
              </w:tabs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Простая (неисключительная)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315807" w:rsidRPr="006D5A8A" w:rsidTr="006D5A8A">
        <w:trPr>
          <w:trHeight w:val="47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  <w:highlight w:val="white"/>
              </w:rPr>
              <w:t>(03.11) Средства защиты каналов передачи данных, в том числе криптографическими методами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tabs>
                <w:tab w:val="left" w:pos="709"/>
              </w:tabs>
              <w:jc w:val="center"/>
              <w:rPr>
                <w:color w:val="000000" w:themeColor="text1"/>
                <w:vertAlign w:val="superscript"/>
              </w:rPr>
            </w:pPr>
            <w:r w:rsidRPr="006D5A8A">
              <w:rPr>
                <w:color w:val="000000" w:themeColor="text1"/>
              </w:rPr>
              <w:t>Способ предоставления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  <w:highlight w:val="white"/>
              </w:rPr>
              <w:t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Срок действия лицензии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бессрочная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  <w:p w:rsidR="00315807" w:rsidRPr="006D5A8A" w:rsidRDefault="00315807" w:rsidP="00124199"/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vertAlign w:val="superscript"/>
              </w:rPr>
            </w:pPr>
            <w:r w:rsidRPr="006D5A8A">
              <w:rPr>
                <w:color w:val="000000" w:themeColor="text1"/>
              </w:rPr>
              <w:t>Тип издания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6D5A8A" w:rsidP="00124199">
            <w:pP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(исполнение 1</w:t>
            </w:r>
            <w:r w:rsidR="00315807" w:rsidRPr="006D5A8A">
              <w:rPr>
                <w:color w:val="000000"/>
                <w:highlight w:val="white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F0038F" w:rsidRPr="006D5A8A" w:rsidTr="006D5A8A">
        <w:trPr>
          <w:trHeight w:val="27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2</w:t>
            </w:r>
          </w:p>
          <w:p w:rsidR="00315807" w:rsidRPr="006D5A8A" w:rsidRDefault="00315807" w:rsidP="00124199"/>
          <w:p w:rsidR="00315807" w:rsidRPr="006D5A8A" w:rsidRDefault="00315807" w:rsidP="00124199"/>
          <w:p w:rsidR="00315807" w:rsidRPr="006D5A8A" w:rsidRDefault="00315807" w:rsidP="00124199"/>
          <w:p w:rsidR="00315807" w:rsidRPr="006D5A8A" w:rsidRDefault="00315807" w:rsidP="00124199"/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Наименование объекта закупки,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Тип объекта закупки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Позиции по КТРУ, ОКПД2</w:t>
            </w:r>
          </w:p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Товарный знак</w:t>
            </w:r>
          </w:p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Количество (объем) и единица измерения товара, работы, услуги</w:t>
            </w:r>
          </w:p>
        </w:tc>
      </w:tr>
      <w:tr w:rsidR="00F0038F" w:rsidRPr="006D5A8A" w:rsidTr="006D5A8A">
        <w:trPr>
          <w:trHeight w:val="25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Установочный комплект программного обеспечения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Товар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</w:rPr>
              <w:t>Программное обеспечение (58.29.</w:t>
            </w:r>
            <w:r w:rsidR="006D5A8A" w:rsidRPr="008502AF">
              <w:rPr>
                <w:color w:val="000000" w:themeColor="text1"/>
              </w:rPr>
              <w:t>11</w:t>
            </w:r>
            <w:r w:rsidRPr="006D5A8A">
              <w:rPr>
                <w:color w:val="000000" w:themeColor="text1"/>
              </w:rPr>
              <w:t>.000-000</w:t>
            </w:r>
            <w:r w:rsidRPr="006D5A8A">
              <w:rPr>
                <w:color w:val="000000" w:themeColor="text1"/>
                <w:highlight w:val="white"/>
              </w:rPr>
              <w:t>0000</w:t>
            </w:r>
            <w:r w:rsidR="006D5A8A" w:rsidRPr="006D5A8A">
              <w:rPr>
                <w:color w:val="000000" w:themeColor="text1"/>
                <w:highlight w:val="white"/>
              </w:rPr>
              <w:t>4</w:t>
            </w:r>
            <w:r w:rsidRPr="006D5A8A">
              <w:rPr>
                <w:color w:val="000000" w:themeColor="text1"/>
                <w:highlight w:val="white"/>
              </w:rPr>
              <w:t>)</w:t>
            </w:r>
          </w:p>
          <w:p w:rsidR="00315807" w:rsidRPr="006D5A8A" w:rsidRDefault="00315807" w:rsidP="006D5A8A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/>
              </w:rPr>
              <w:t>Обеспечение программное прикладное прочее на электронном носителе</w:t>
            </w:r>
            <w:r w:rsidRPr="006D5A8A">
              <w:rPr>
                <w:color w:val="000000" w:themeColor="text1"/>
              </w:rPr>
              <w:t xml:space="preserve">  (58.29.</w:t>
            </w:r>
            <w:r w:rsidR="006D5A8A" w:rsidRPr="006D5A8A">
              <w:rPr>
                <w:color w:val="000000" w:themeColor="text1"/>
              </w:rPr>
              <w:t>50</w:t>
            </w:r>
            <w:r w:rsidRPr="006D5A8A">
              <w:rPr>
                <w:color w:val="000000" w:themeColor="text1"/>
              </w:rPr>
              <w:t xml:space="preserve">.000)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/>
                <w:highlight w:val="green"/>
              </w:rPr>
            </w:pPr>
            <w:proofErr w:type="spellStart"/>
            <w:r w:rsidRPr="006D5A8A">
              <w:rPr>
                <w:color w:val="000000"/>
                <w:highlight w:val="white"/>
              </w:rPr>
              <w:t>ViPNet</w:t>
            </w:r>
            <w:proofErr w:type="spellEnd"/>
            <w:r w:rsidRPr="006D5A8A">
              <w:rPr>
                <w:color w:val="000000"/>
                <w:highlight w:val="white"/>
              </w:rPr>
              <w:t xml:space="preserve"> </w:t>
            </w:r>
            <w:r w:rsidR="00B85626" w:rsidRPr="006D5A8A">
              <w:rPr>
                <w:color w:val="000000"/>
                <w:highlight w:val="white"/>
              </w:rPr>
              <w:br/>
            </w:r>
            <w:proofErr w:type="spellStart"/>
            <w:r w:rsidRPr="006D5A8A">
              <w:rPr>
                <w:color w:val="000000"/>
                <w:highlight w:val="white"/>
              </w:rPr>
              <w:t>SafeBoot</w:t>
            </w:r>
            <w:proofErr w:type="spellEnd"/>
            <w:r w:rsidRPr="006D5A8A">
              <w:rPr>
                <w:color w:val="000000"/>
                <w:highlight w:val="white"/>
              </w:rPr>
              <w:t xml:space="preserve"> 3 </w:t>
            </w:r>
            <w:r w:rsidR="00792AD9" w:rsidRPr="006D5A8A">
              <w:rPr>
                <w:color w:val="000000"/>
              </w:rPr>
              <w:t xml:space="preserve">исполнение </w:t>
            </w:r>
            <w:r w:rsidR="00300BA8" w:rsidRPr="006D5A8A">
              <w:rPr>
                <w:color w:val="000000"/>
              </w:rPr>
              <w:t>1</w:t>
            </w:r>
            <w:r w:rsidR="00792AD9" w:rsidRPr="006D5A8A">
              <w:rPr>
                <w:color w:val="000000"/>
              </w:rPr>
              <w:t xml:space="preserve"> (</w:t>
            </w:r>
            <w:r w:rsidR="00300BA8" w:rsidRPr="006D5A8A">
              <w:rPr>
                <w:color w:val="000000"/>
              </w:rPr>
              <w:t>ФСБ+</w:t>
            </w:r>
            <w:r w:rsidR="00792AD9" w:rsidRPr="006D5A8A">
              <w:rPr>
                <w:color w:val="000000"/>
              </w:rPr>
              <w:t>ФСТЭК)</w:t>
            </w:r>
          </w:p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8502AF" w:rsidP="00DF1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6D5A8A">
              <w:rPr>
                <w:color w:val="000000" w:themeColor="text1"/>
              </w:rPr>
              <w:t xml:space="preserve"> </w:t>
            </w:r>
            <w:r w:rsidR="00315807" w:rsidRPr="006D5A8A">
              <w:rPr>
                <w:color w:val="000000" w:themeColor="text1"/>
              </w:rPr>
              <w:t>штук (шт.)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Характеристики объекта закупки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Наименование характеристики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Значение характеристики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Единица измерения характеристики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white"/>
              </w:rPr>
            </w:pPr>
            <w:r w:rsidRPr="006D5A8A">
              <w:rPr>
                <w:color w:val="000000" w:themeColor="text1"/>
                <w:highlight w:val="white"/>
              </w:rPr>
              <w:t>(03.11) Средства защиты каналов передачи данных, в том числе криптографическими методами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tabs>
                <w:tab w:val="left" w:pos="709"/>
              </w:tabs>
              <w:jc w:val="center"/>
              <w:rPr>
                <w:color w:val="000000" w:themeColor="text1"/>
                <w:vertAlign w:val="superscript"/>
              </w:rPr>
            </w:pPr>
            <w:r w:rsidRPr="006D5A8A">
              <w:rPr>
                <w:color w:val="000000" w:themeColor="text1"/>
              </w:rPr>
              <w:t>Способ предоставления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  <w:highlight w:val="yellow"/>
              </w:rPr>
            </w:pPr>
            <w:r w:rsidRPr="006D5A8A">
              <w:rPr>
                <w:color w:val="000000" w:themeColor="text1"/>
                <w:highlight w:val="white"/>
              </w:rPr>
              <w:t>Экземпляр на материальном носителе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  <w:tr w:rsidR="00315807" w:rsidRPr="006D5A8A" w:rsidTr="006D5A8A">
        <w:trPr>
          <w:trHeight w:val="276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807" w:rsidRPr="006D5A8A" w:rsidRDefault="00315807" w:rsidP="0012419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300BA8">
            <w:pPr>
              <w:jc w:val="center"/>
              <w:rPr>
                <w:color w:val="000000" w:themeColor="text1"/>
                <w:vertAlign w:val="superscript"/>
              </w:rPr>
            </w:pPr>
            <w:r w:rsidRPr="006D5A8A">
              <w:rPr>
                <w:color w:val="000000" w:themeColor="text1"/>
              </w:rPr>
              <w:t>Тип издания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300BA8">
            <w:pPr>
              <w:jc w:val="center"/>
              <w:rPr>
                <w:highlight w:val="white"/>
              </w:rPr>
            </w:pPr>
            <w:r w:rsidRPr="006D5A8A">
              <w:rPr>
                <w:color w:val="000000"/>
                <w:highlight w:val="white"/>
              </w:rPr>
              <w:t xml:space="preserve">(исполнение </w:t>
            </w:r>
            <w:r w:rsidR="00300BA8" w:rsidRPr="006D5A8A">
              <w:rPr>
                <w:color w:val="000000"/>
                <w:highlight w:val="white"/>
              </w:rPr>
              <w:t>1</w:t>
            </w:r>
            <w:r w:rsidRPr="006D5A8A">
              <w:rPr>
                <w:color w:val="000000"/>
                <w:highlight w:val="white"/>
              </w:rPr>
              <w:t>) с сертификационными документами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5807" w:rsidRPr="006D5A8A" w:rsidRDefault="00315807" w:rsidP="00124199">
            <w:pPr>
              <w:jc w:val="center"/>
              <w:rPr>
                <w:color w:val="000000" w:themeColor="text1"/>
              </w:rPr>
            </w:pPr>
            <w:r w:rsidRPr="006D5A8A">
              <w:rPr>
                <w:color w:val="000000" w:themeColor="text1"/>
              </w:rPr>
              <w:t>-</w:t>
            </w:r>
          </w:p>
        </w:tc>
      </w:tr>
    </w:tbl>
    <w:p w:rsidR="00315807" w:rsidRDefault="00315807" w:rsidP="00D068FD"/>
    <w:p w:rsidR="006D5A8A" w:rsidRPr="005C3F4F" w:rsidRDefault="006D5A8A" w:rsidP="00D068FD"/>
    <w:p w:rsidR="00D17D8F" w:rsidRPr="005C3F4F" w:rsidRDefault="00D17D8F" w:rsidP="00350C20">
      <w:pPr>
        <w:ind w:firstLine="708"/>
        <w:jc w:val="both"/>
        <w:rPr>
          <w:rFonts w:cstheme="minorHAnsi"/>
          <w:b/>
          <w:bCs/>
          <w:color w:val="000000"/>
        </w:rPr>
      </w:pPr>
      <w:r w:rsidRPr="005C3F4F">
        <w:rPr>
          <w:b/>
        </w:rPr>
        <w:t xml:space="preserve">3. </w:t>
      </w:r>
      <w:r w:rsidRPr="005C3F4F">
        <w:rPr>
          <w:rFonts w:cstheme="minorHAnsi"/>
          <w:b/>
          <w:bCs/>
          <w:color w:val="000000"/>
        </w:rPr>
        <w:t>Общие требования к оказанию услуг, к передаваемым неисключительным правам и их количеству</w:t>
      </w:r>
    </w:p>
    <w:p w:rsidR="00BC1C83" w:rsidRDefault="00BC1C83" w:rsidP="00BC1C83">
      <w:pPr>
        <w:jc w:val="both"/>
      </w:pP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>3.1. Оказание услуг осуществляется, в том числе, в соответствии с:</w:t>
      </w:r>
    </w:p>
    <w:p w:rsidR="006D5A8A" w:rsidRPr="006D5A8A" w:rsidRDefault="00BC1C83" w:rsidP="006D5A8A">
      <w:pPr>
        <w:pStyle w:val="a4"/>
        <w:numPr>
          <w:ilvl w:val="0"/>
          <w:numId w:val="25"/>
        </w:numPr>
        <w:jc w:val="both"/>
        <w:rPr>
          <w:color w:val="000000"/>
        </w:rPr>
      </w:pPr>
      <w:r w:rsidRPr="00C35191">
        <w:rPr>
          <w:color w:val="000000"/>
        </w:rPr>
        <w:t>Гражданским кодексом Российской Федерации;</w:t>
      </w:r>
    </w:p>
    <w:p w:rsidR="00BC1C83" w:rsidRPr="006D5A8A" w:rsidRDefault="00BC1C83" w:rsidP="006D5A8A">
      <w:pPr>
        <w:pStyle w:val="a4"/>
        <w:numPr>
          <w:ilvl w:val="0"/>
          <w:numId w:val="25"/>
        </w:numPr>
        <w:ind w:left="0" w:firstLine="708"/>
        <w:jc w:val="both"/>
        <w:rPr>
          <w:color w:val="000000"/>
        </w:rPr>
      </w:pPr>
      <w:r w:rsidRPr="006D5A8A">
        <w:rPr>
          <w:color w:val="000000"/>
        </w:rPr>
        <w:t xml:space="preserve">Федеральным законом от 05.04.2013 № 44 – ФЗ «О контрактной системе </w:t>
      </w:r>
      <w:r w:rsidR="006D5A8A" w:rsidRPr="006D5A8A">
        <w:rPr>
          <w:color w:val="000000"/>
        </w:rPr>
        <w:br/>
      </w:r>
      <w:r w:rsidRPr="006D5A8A">
        <w:rPr>
          <w:color w:val="000000"/>
        </w:rPr>
        <w:t xml:space="preserve">в сфере закупок товаров, работ, услуг для обеспечения государственных </w:t>
      </w:r>
      <w:r w:rsidR="006D5A8A" w:rsidRPr="006D5A8A">
        <w:rPr>
          <w:color w:val="000000"/>
        </w:rPr>
        <w:br/>
      </w:r>
      <w:r w:rsidRPr="006D5A8A">
        <w:rPr>
          <w:color w:val="000000"/>
        </w:rPr>
        <w:t>и муниципальных нужд»;</w:t>
      </w:r>
    </w:p>
    <w:p w:rsidR="00BC1C83" w:rsidRPr="00C35191" w:rsidRDefault="00BC1C83" w:rsidP="006D5A8A">
      <w:pPr>
        <w:pStyle w:val="a4"/>
        <w:numPr>
          <w:ilvl w:val="0"/>
          <w:numId w:val="25"/>
        </w:numPr>
        <w:ind w:left="0" w:firstLine="708"/>
        <w:jc w:val="both"/>
        <w:rPr>
          <w:color w:val="000000"/>
        </w:rPr>
      </w:pPr>
      <w:r w:rsidRPr="00C35191">
        <w:rPr>
          <w:color w:val="000000"/>
        </w:rPr>
        <w:t>Федеральным законом от 27.07.2006 № 152 – ФЗ «О персональных данных»;</w:t>
      </w:r>
    </w:p>
    <w:p w:rsidR="00BC1C83" w:rsidRPr="00B62A62" w:rsidRDefault="00BC1C83" w:rsidP="006D5A8A">
      <w:pPr>
        <w:pStyle w:val="a4"/>
        <w:numPr>
          <w:ilvl w:val="0"/>
          <w:numId w:val="25"/>
        </w:numPr>
        <w:ind w:left="0" w:firstLine="708"/>
        <w:jc w:val="both"/>
        <w:rPr>
          <w:color w:val="000000"/>
        </w:rPr>
      </w:pPr>
      <w:r w:rsidRPr="00BC7797">
        <w:t>Постановлением Правительства Росси</w:t>
      </w:r>
      <w:r w:rsidR="00C35191">
        <w:t xml:space="preserve">йской Федерации от 01.11.2012 </w:t>
      </w:r>
      <w:r w:rsidR="006D5A8A" w:rsidRPr="006D5A8A">
        <w:br/>
      </w:r>
      <w:r w:rsidR="00C35191">
        <w:t xml:space="preserve">№ </w:t>
      </w:r>
      <w:r w:rsidRPr="00BC7797">
        <w:t>1119</w:t>
      </w:r>
      <w:r w:rsidR="00C35191">
        <w:t xml:space="preserve"> </w:t>
      </w:r>
      <w:r w:rsidRPr="00BC7797">
        <w:t xml:space="preserve">«Об утверждении требований к защите персональных данных при их обработке </w:t>
      </w:r>
      <w:r w:rsidR="00B85626">
        <w:br/>
      </w:r>
      <w:r w:rsidRPr="00BC7797">
        <w:t>в информационны</w:t>
      </w:r>
      <w:r w:rsidR="00B62A62">
        <w:t>х системах персональных данных»;</w:t>
      </w:r>
    </w:p>
    <w:p w:rsidR="00B62A62" w:rsidRPr="00B62A62" w:rsidRDefault="00B62A62" w:rsidP="006D5A8A">
      <w:pPr>
        <w:pStyle w:val="a4"/>
        <w:numPr>
          <w:ilvl w:val="0"/>
          <w:numId w:val="25"/>
        </w:numPr>
        <w:ind w:left="0" w:firstLine="708"/>
        <w:jc w:val="both"/>
      </w:pPr>
      <w:r w:rsidRPr="00B85626">
        <w:t>Едины</w:t>
      </w:r>
      <w:r>
        <w:t>м</w:t>
      </w:r>
      <w:r w:rsidRPr="00B85626">
        <w:t xml:space="preserve"> реестр</w:t>
      </w:r>
      <w:r>
        <w:t>ом</w:t>
      </w:r>
      <w:r w:rsidRPr="00B85626">
        <w:t xml:space="preserve"> российского программного обеспечения </w:t>
      </w:r>
      <w:hyperlink r:id="rId5" w:history="1">
        <w:r w:rsidRPr="00B62A62">
          <w:rPr>
            <w:rStyle w:val="a6"/>
            <w:color w:val="000000" w:themeColor="text1"/>
          </w:rPr>
          <w:t>https://reestr.digital.gov.ru/</w:t>
        </w:r>
      </w:hyperlink>
      <w:r w:rsidRPr="00B62A62">
        <w:rPr>
          <w:color w:val="000000" w:themeColor="text1"/>
        </w:rPr>
        <w:t xml:space="preserve"> </w:t>
      </w:r>
      <w:r w:rsidRPr="00B85626">
        <w:t>на основании постановления Прав</w:t>
      </w:r>
      <w:r>
        <w:t xml:space="preserve">ительства Российской Федерации </w:t>
      </w:r>
      <w:r w:rsidRPr="00B85626">
        <w:t>от 23.12.2024 № 1875.</w:t>
      </w: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 xml:space="preserve">3.2. Неисключительные права на использование </w:t>
      </w:r>
      <w:r w:rsidR="00B62A62" w:rsidRPr="005D5DAC">
        <w:t>СДЗ</w:t>
      </w:r>
      <w:r w:rsidR="00B62A62" w:rsidRPr="00BC7797">
        <w:rPr>
          <w:color w:val="000000"/>
        </w:rPr>
        <w:t xml:space="preserve"> </w:t>
      </w:r>
      <w:r w:rsidRPr="00BC7797">
        <w:rPr>
          <w:color w:val="000000"/>
        </w:rPr>
        <w:t>должны включать в себя права доступа и её использования в соответствии с функциональным назначением.</w:t>
      </w: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 xml:space="preserve">3.3. Исполнитель гарантирует, что на дату заключения государственного контракта ему принадлежат все действительные права на распространение прав использования </w:t>
      </w:r>
      <w:r w:rsidR="00B62A62" w:rsidRPr="005D5DAC">
        <w:t>СДЗ</w:t>
      </w:r>
      <w:r w:rsidRPr="00BC7797">
        <w:rPr>
          <w:color w:val="000000"/>
        </w:rPr>
        <w:t>.</w:t>
      </w: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 xml:space="preserve">3.4. В случае если к </w:t>
      </w:r>
      <w:r w:rsidR="00350C20">
        <w:rPr>
          <w:color w:val="000000"/>
        </w:rPr>
        <w:t>З</w:t>
      </w:r>
      <w:r w:rsidRPr="00BC7797">
        <w:rPr>
          <w:color w:val="000000"/>
        </w:rPr>
        <w:t xml:space="preserve">аказчику по вине </w:t>
      </w:r>
      <w:r w:rsidR="00350C20">
        <w:rPr>
          <w:color w:val="000000"/>
        </w:rPr>
        <w:t>И</w:t>
      </w:r>
      <w:r w:rsidRPr="00BC7797">
        <w:rPr>
          <w:color w:val="000000"/>
        </w:rPr>
        <w:t xml:space="preserve">сполнителя будут предъявлены претензии, иски третьих лиц, связанные с нарушением их исключительных прав, исполнитель принимает на себя обязательства по принятию, рассмотрению таких претензий, исков, </w:t>
      </w:r>
      <w:r w:rsidR="00350C20">
        <w:rPr>
          <w:color w:val="000000"/>
        </w:rPr>
        <w:br/>
      </w:r>
      <w:r w:rsidRPr="00BC7797">
        <w:rPr>
          <w:color w:val="000000"/>
        </w:rPr>
        <w:t xml:space="preserve">а также возмещает заказчику все расходы и весь ущерб, понесённые в связи </w:t>
      </w:r>
      <w:r w:rsidR="00350C20">
        <w:rPr>
          <w:color w:val="000000"/>
        </w:rPr>
        <w:br/>
      </w:r>
      <w:r w:rsidRPr="00BC7797">
        <w:rPr>
          <w:color w:val="000000"/>
        </w:rPr>
        <w:t>с предъявленными претензиями, исками.</w:t>
      </w: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 xml:space="preserve">3.5. </w:t>
      </w:r>
      <w:r w:rsidR="00B62A62" w:rsidRPr="005D5DAC">
        <w:t>СДЗ</w:t>
      </w:r>
      <w:r w:rsidRPr="00BC7797">
        <w:rPr>
          <w:b/>
        </w:rPr>
        <w:t xml:space="preserve"> </w:t>
      </w:r>
      <w:r w:rsidRPr="00BC7797">
        <w:rPr>
          <w:rFonts w:eastAsia="Calibri"/>
          <w:lang w:eastAsia="en-US"/>
        </w:rPr>
        <w:t xml:space="preserve">внесён в единый реестр российских программ для электронных вычислительных машин и баз данных (реестровая запись от 03.05.2017 № </w:t>
      </w:r>
      <w:r w:rsidRPr="00BC7797">
        <w:rPr>
          <w:color w:val="333333"/>
          <w:shd w:val="clear" w:color="auto" w:fill="FBFCFC"/>
        </w:rPr>
        <w:t>3442</w:t>
      </w:r>
      <w:r w:rsidRPr="00BC7797">
        <w:rPr>
          <w:rFonts w:eastAsia="Calibri"/>
          <w:lang w:eastAsia="en-US"/>
        </w:rPr>
        <w:t>).</w:t>
      </w:r>
    </w:p>
    <w:p w:rsidR="00BC1C83" w:rsidRPr="00BC7797" w:rsidRDefault="00BC1C83" w:rsidP="007668C0">
      <w:pPr>
        <w:ind w:firstLine="709"/>
        <w:jc w:val="both"/>
        <w:rPr>
          <w:color w:val="000000"/>
        </w:rPr>
      </w:pPr>
      <w:r w:rsidRPr="00BC7797">
        <w:rPr>
          <w:color w:val="000000"/>
        </w:rPr>
        <w:t xml:space="preserve">3.6. Территория использования </w:t>
      </w:r>
      <w:r w:rsidR="00B62A62" w:rsidRPr="005D5DAC">
        <w:t>СДЗ</w:t>
      </w:r>
      <w:r w:rsidRPr="00BC7797">
        <w:rPr>
          <w:color w:val="000000"/>
        </w:rPr>
        <w:t>, неисключительные права на которое предоставляются – Российская Федерация.</w:t>
      </w:r>
    </w:p>
    <w:p w:rsidR="0093748D" w:rsidRDefault="0093748D" w:rsidP="00B62A62">
      <w:pPr>
        <w:ind w:firstLine="709"/>
        <w:jc w:val="both"/>
      </w:pPr>
      <w:r w:rsidRPr="00B85626">
        <w:t>3</w:t>
      </w:r>
      <w:r w:rsidR="007A100B">
        <w:t>.</w:t>
      </w:r>
      <w:r w:rsidR="009C2BCE">
        <w:t>7</w:t>
      </w:r>
      <w:r w:rsidRPr="00B85626">
        <w:t xml:space="preserve">.  </w:t>
      </w:r>
      <w:r w:rsidR="00B62A62">
        <w:t>СДЗ может быть использовано при создании защищенных государственных информационных систем до 1 класса защищенности включительно.</w:t>
      </w:r>
    </w:p>
    <w:p w:rsidR="00B62A62" w:rsidRDefault="00B62A62" w:rsidP="00B62A62">
      <w:pPr>
        <w:ind w:firstLine="709"/>
        <w:jc w:val="both"/>
      </w:pPr>
      <w:r>
        <w:t>3.</w:t>
      </w:r>
      <w:r w:rsidR="009C2BCE">
        <w:t>8</w:t>
      </w:r>
      <w:r>
        <w:t>. Поставка СДЗ:</w:t>
      </w:r>
    </w:p>
    <w:p w:rsidR="00B62A62" w:rsidRDefault="00B62A62" w:rsidP="009C2BCE">
      <w:pPr>
        <w:pStyle w:val="a4"/>
        <w:numPr>
          <w:ilvl w:val="0"/>
          <w:numId w:val="46"/>
        </w:numPr>
        <w:ind w:left="0" w:firstLine="709"/>
        <w:jc w:val="both"/>
      </w:pPr>
      <w:r>
        <w:t xml:space="preserve">в форме передачи неисключительного права на использование </w:t>
      </w:r>
      <w:r w:rsidR="006D5A8A">
        <w:t>СДЗ</w:t>
      </w:r>
      <w:r>
        <w:t xml:space="preserve"> уровня базовой системы ввода-вывода (программное обеспечение);</w:t>
      </w:r>
    </w:p>
    <w:p w:rsidR="00B62A62" w:rsidRDefault="00B62A62" w:rsidP="009C2BCE">
      <w:pPr>
        <w:pStyle w:val="a4"/>
        <w:numPr>
          <w:ilvl w:val="0"/>
          <w:numId w:val="46"/>
        </w:numPr>
        <w:ind w:left="0" w:firstLine="709"/>
        <w:jc w:val="both"/>
      </w:pPr>
      <w:r>
        <w:t>наличие установочного комплекта,</w:t>
      </w:r>
      <w:r w:rsidR="009C2BCE">
        <w:t xml:space="preserve"> </w:t>
      </w:r>
      <w:r w:rsidR="002F3525">
        <w:t xml:space="preserve">копий </w:t>
      </w:r>
      <w:r>
        <w:t>действующ</w:t>
      </w:r>
      <w:r w:rsidR="002F3525">
        <w:t>их</w:t>
      </w:r>
      <w:r>
        <w:t xml:space="preserve"> сертификат</w:t>
      </w:r>
      <w:r w:rsidR="002F3525">
        <w:t>ов</w:t>
      </w:r>
      <w:r>
        <w:t xml:space="preserve"> ФСБ</w:t>
      </w:r>
      <w:r w:rsidR="002F3525">
        <w:t xml:space="preserve"> России</w:t>
      </w:r>
      <w:r>
        <w:t xml:space="preserve"> и ФСТЭК России; </w:t>
      </w:r>
    </w:p>
    <w:p w:rsidR="00B62A62" w:rsidRPr="00B85626" w:rsidRDefault="00B62A62" w:rsidP="00B62A62">
      <w:pPr>
        <w:pStyle w:val="a4"/>
        <w:numPr>
          <w:ilvl w:val="0"/>
          <w:numId w:val="46"/>
        </w:numPr>
        <w:jc w:val="both"/>
      </w:pPr>
      <w:r>
        <w:t>наличие сертификата активации сервиса прямой технической поддержки.</w:t>
      </w:r>
    </w:p>
    <w:p w:rsidR="0093748D" w:rsidRPr="004262FE" w:rsidRDefault="0093748D" w:rsidP="0093748D">
      <w:pPr>
        <w:pStyle w:val="a4"/>
        <w:tabs>
          <w:tab w:val="left" w:pos="851"/>
        </w:tabs>
        <w:ind w:left="709"/>
        <w:jc w:val="both"/>
        <w:rPr>
          <w:highlight w:val="yellow"/>
        </w:rPr>
      </w:pPr>
    </w:p>
    <w:p w:rsidR="00E315A8" w:rsidRPr="007A100B" w:rsidRDefault="00F6448A" w:rsidP="006D5A8A">
      <w:pPr>
        <w:pStyle w:val="1"/>
        <w:numPr>
          <w:ilvl w:val="0"/>
          <w:numId w:val="0"/>
        </w:numPr>
        <w:spacing w:before="0" w:after="0"/>
        <w:ind w:firstLine="709"/>
        <w:rPr>
          <w:sz w:val="24"/>
          <w:szCs w:val="24"/>
          <w:lang w:val="ru-RU"/>
        </w:rPr>
      </w:pPr>
      <w:r w:rsidRPr="007A100B">
        <w:rPr>
          <w:sz w:val="24"/>
          <w:szCs w:val="24"/>
          <w:lang w:val="ru-RU"/>
        </w:rPr>
        <w:t>4</w:t>
      </w:r>
      <w:r w:rsidR="00E315A8" w:rsidRPr="007A100B">
        <w:rPr>
          <w:sz w:val="24"/>
          <w:szCs w:val="24"/>
          <w:lang w:val="ru-RU"/>
        </w:rPr>
        <w:t xml:space="preserve">. </w:t>
      </w:r>
      <w:r w:rsidRPr="007A100B">
        <w:rPr>
          <w:sz w:val="24"/>
          <w:szCs w:val="24"/>
          <w:lang w:val="ru-RU"/>
        </w:rPr>
        <w:t>Дополнительные т</w:t>
      </w:r>
      <w:r w:rsidR="00E315A8" w:rsidRPr="007A100B">
        <w:rPr>
          <w:sz w:val="24"/>
          <w:szCs w:val="24"/>
          <w:lang w:val="ru-RU"/>
        </w:rPr>
        <w:t xml:space="preserve">ребования к </w:t>
      </w:r>
      <w:r w:rsidR="00350C20">
        <w:rPr>
          <w:sz w:val="24"/>
          <w:szCs w:val="24"/>
          <w:lang w:val="ru-RU"/>
        </w:rPr>
        <w:t>СДЗ</w:t>
      </w:r>
      <w:r w:rsidR="00BC1C83" w:rsidRPr="007A100B">
        <w:rPr>
          <w:sz w:val="24"/>
          <w:szCs w:val="24"/>
          <w:lang w:val="ru-RU"/>
        </w:rPr>
        <w:t xml:space="preserve"> </w:t>
      </w:r>
    </w:p>
    <w:p w:rsidR="008E2013" w:rsidRDefault="00F6448A" w:rsidP="008E2013">
      <w:pPr>
        <w:ind w:firstLine="709"/>
        <w:jc w:val="both"/>
      </w:pPr>
      <w:r w:rsidRPr="007A100B">
        <w:t>4</w:t>
      </w:r>
      <w:r w:rsidR="00E315A8" w:rsidRPr="007A100B">
        <w:t xml:space="preserve">.1. </w:t>
      </w:r>
      <w:r w:rsidR="007A100B">
        <w:t xml:space="preserve">СДЗ должно представлять собой программное средство, которое встраивается </w:t>
      </w:r>
      <w:r w:rsidR="006D5A8A">
        <w:br/>
      </w:r>
      <w:r w:rsidR="007A100B">
        <w:t>в базовую систему ввода-вывода (BIOS) и осуществляет блокирование попыток несанкционированной загрузки нештатной операционной системы (далее – ОС), предоставляет доступ к информационным ресурсам в случае успешной проверки подлинности загружаемой ОС и прав на основе идентификации и аутентификации пользователя.</w:t>
      </w:r>
    </w:p>
    <w:p w:rsidR="008E2013" w:rsidRPr="008E2013" w:rsidRDefault="007A100B" w:rsidP="008E2013">
      <w:pPr>
        <w:ind w:firstLine="709"/>
        <w:jc w:val="both"/>
      </w:pPr>
      <w:r>
        <w:t xml:space="preserve">4.2. </w:t>
      </w:r>
      <w:r w:rsidR="008E2013" w:rsidRPr="008E2013">
        <w:t>СДЗ должно обеспечивать:</w:t>
      </w:r>
    </w:p>
    <w:p w:rsidR="008E2013" w:rsidRPr="006D5A8A" w:rsidRDefault="008E2013" w:rsidP="006D5A8A">
      <w:pPr>
        <w:pStyle w:val="a4"/>
        <w:numPr>
          <w:ilvl w:val="0"/>
          <w:numId w:val="44"/>
        </w:numPr>
        <w:ind w:left="0" w:firstLine="708"/>
        <w:jc w:val="both"/>
        <w:rPr>
          <w:bCs/>
        </w:rPr>
      </w:pPr>
      <w:r w:rsidRPr="006D5A8A">
        <w:rPr>
          <w:rFonts w:hint="eastAsia"/>
          <w:bCs/>
        </w:rPr>
        <w:lastRenderedPageBreak/>
        <w:t>идентификацию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и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аутентификацию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пользователя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до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выполнения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действий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по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загрузке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ОС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или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администратора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СДЗ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до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выполнения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действий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по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управлению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средством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доверенной</w:t>
      </w:r>
      <w:r w:rsidRPr="006D5A8A">
        <w:rPr>
          <w:bCs/>
        </w:rPr>
        <w:t xml:space="preserve"> </w:t>
      </w:r>
      <w:r w:rsidRPr="006D5A8A">
        <w:rPr>
          <w:rFonts w:hint="eastAsia"/>
          <w:bCs/>
        </w:rPr>
        <w:t>загрузки</w:t>
      </w:r>
      <w:r w:rsidRPr="006D5A8A">
        <w:rPr>
          <w:bCs/>
        </w:rPr>
        <w:t>;</w:t>
      </w:r>
    </w:p>
    <w:p w:rsidR="008E2013" w:rsidRPr="008E2013" w:rsidRDefault="008E2013" w:rsidP="008E2013">
      <w:pPr>
        <w:pStyle w:val="a4"/>
        <w:numPr>
          <w:ilvl w:val="0"/>
          <w:numId w:val="40"/>
        </w:numPr>
        <w:ind w:left="1069"/>
        <w:jc w:val="both"/>
        <w:rPr>
          <w:bCs/>
        </w:rPr>
      </w:pPr>
      <w:r w:rsidRPr="008E2013">
        <w:rPr>
          <w:bCs/>
        </w:rPr>
        <w:t>поддержку следующих способов аутентификации: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по паролю;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по электронному идентификатору (сертификат на электронном идентификаторе);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по электронному идентификатору и паролю;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по коду на электронном идентификаторе;</w:t>
      </w:r>
    </w:p>
    <w:p w:rsidR="008E2013" w:rsidRPr="008E2013" w:rsidRDefault="008E2013" w:rsidP="008E2013">
      <w:pPr>
        <w:pStyle w:val="a4"/>
        <w:numPr>
          <w:ilvl w:val="0"/>
          <w:numId w:val="39"/>
        </w:numPr>
        <w:jc w:val="both"/>
        <w:rPr>
          <w:bCs/>
        </w:rPr>
      </w:pPr>
      <w:r w:rsidRPr="008E2013">
        <w:rPr>
          <w:bCs/>
        </w:rPr>
        <w:t>поддержку: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электронных идентификаторов в формате </w:t>
      </w:r>
      <w:proofErr w:type="spellStart"/>
      <w:r w:rsidR="008E2013" w:rsidRPr="008E2013">
        <w:t>USB-токенов</w:t>
      </w:r>
      <w:proofErr w:type="spellEnd"/>
      <w:r w:rsidR="008E2013" w:rsidRPr="008E2013">
        <w:t xml:space="preserve">: </w:t>
      </w:r>
      <w:proofErr w:type="spellStart"/>
      <w:r w:rsidR="008E2013" w:rsidRPr="008E2013">
        <w:t>Рутокен</w:t>
      </w:r>
      <w:proofErr w:type="spellEnd"/>
      <w:r w:rsidR="008E2013" w:rsidRPr="008E2013">
        <w:t xml:space="preserve"> ЭЦП, </w:t>
      </w:r>
      <w:proofErr w:type="spellStart"/>
      <w:r w:rsidR="008E2013" w:rsidRPr="008E2013">
        <w:t>Рутокен</w:t>
      </w:r>
      <w:proofErr w:type="spellEnd"/>
      <w:r w:rsidR="008E2013" w:rsidRPr="008E2013">
        <w:t xml:space="preserve"> ЭЦП 2.0, </w:t>
      </w:r>
      <w:proofErr w:type="spellStart"/>
      <w:r w:rsidR="008E2013" w:rsidRPr="008E2013">
        <w:t>Рутокен</w:t>
      </w:r>
      <w:proofErr w:type="spellEnd"/>
      <w:r w:rsidR="008E2013" w:rsidRPr="008E2013">
        <w:t xml:space="preserve"> ЭЦП 3.0, </w:t>
      </w:r>
      <w:proofErr w:type="spellStart"/>
      <w:r w:rsidR="008E2013" w:rsidRPr="008E2013">
        <w:t>Рутокен</w:t>
      </w:r>
      <w:proofErr w:type="spellEnd"/>
      <w:r w:rsidR="008E2013" w:rsidRPr="008E2013">
        <w:t xml:space="preserve"> </w:t>
      </w:r>
      <w:proofErr w:type="spellStart"/>
      <w:r w:rsidR="008E2013" w:rsidRPr="008E2013">
        <w:t>Lite</w:t>
      </w:r>
      <w:proofErr w:type="spellEnd"/>
      <w:r w:rsidR="008E2013" w:rsidRPr="008E2013">
        <w:t xml:space="preserve">, </w:t>
      </w:r>
      <w:proofErr w:type="spellStart"/>
      <w:r w:rsidR="008E2013" w:rsidRPr="008E2013">
        <w:t>Rutoken</w:t>
      </w:r>
      <w:proofErr w:type="spellEnd"/>
      <w:r w:rsidR="008E2013" w:rsidRPr="008E2013">
        <w:t xml:space="preserve"> S, </w:t>
      </w:r>
      <w:proofErr w:type="spellStart"/>
      <w:r w:rsidR="008E2013" w:rsidRPr="008E2013">
        <w:t>JaCarta</w:t>
      </w:r>
      <w:proofErr w:type="spellEnd"/>
      <w:r w:rsidR="008E2013" w:rsidRPr="008E2013">
        <w:t xml:space="preserve"> LT, </w:t>
      </w:r>
      <w:proofErr w:type="spellStart"/>
      <w:r w:rsidR="008E2013" w:rsidRPr="008E2013">
        <w:t>JaCarta</w:t>
      </w:r>
      <w:proofErr w:type="spellEnd"/>
      <w:r w:rsidR="008E2013" w:rsidRPr="008E2013">
        <w:t xml:space="preserve"> PKI, </w:t>
      </w:r>
      <w:proofErr w:type="spellStart"/>
      <w:r w:rsidR="008E2013" w:rsidRPr="008E2013">
        <w:t>JaCarta</w:t>
      </w:r>
      <w:proofErr w:type="spellEnd"/>
      <w:r w:rsidR="008E2013" w:rsidRPr="008E2013">
        <w:t xml:space="preserve"> PRO, JaCarta-2 ГОСТ, Jacarta-2 SE, </w:t>
      </w:r>
      <w:proofErr w:type="spellStart"/>
      <w:r w:rsidR="008E2013" w:rsidRPr="008E2013">
        <w:t>JaCarta</w:t>
      </w:r>
      <w:proofErr w:type="spellEnd"/>
      <w:r w:rsidR="008E2013" w:rsidRPr="008E2013">
        <w:t xml:space="preserve"> PKI/ГОСТ, JaCarta-2 PKI/ГОСТ, </w:t>
      </w:r>
      <w:proofErr w:type="spellStart"/>
      <w:r w:rsidR="008E2013" w:rsidRPr="008E2013">
        <w:t>Guardant</w:t>
      </w:r>
      <w:proofErr w:type="spellEnd"/>
      <w:r w:rsidR="008E2013" w:rsidRPr="008E2013">
        <w:t xml:space="preserve"> ID, </w:t>
      </w:r>
      <w:proofErr w:type="spellStart"/>
      <w:r w:rsidR="008E2013" w:rsidRPr="008E2013">
        <w:t>Guardant</w:t>
      </w:r>
      <w:proofErr w:type="spellEnd"/>
      <w:r w:rsidR="008E2013" w:rsidRPr="008E2013">
        <w:t xml:space="preserve"> ID версия 2, </w:t>
      </w:r>
      <w:proofErr w:type="spellStart"/>
      <w:r w:rsidR="008E2013" w:rsidRPr="008E2013">
        <w:t>Рутокен</w:t>
      </w:r>
      <w:proofErr w:type="spellEnd"/>
      <w:r w:rsidR="008E2013" w:rsidRPr="008E2013">
        <w:t xml:space="preserve"> ЭЦП PKI;</w:t>
      </w:r>
    </w:p>
    <w:p w:rsidR="008E2013" w:rsidRPr="006D5A8A" w:rsidRDefault="008E2013" w:rsidP="006D5A8A">
      <w:pPr>
        <w:pStyle w:val="a4"/>
        <w:numPr>
          <w:ilvl w:val="0"/>
          <w:numId w:val="47"/>
        </w:numPr>
        <w:tabs>
          <w:tab w:val="num" w:pos="0"/>
        </w:tabs>
        <w:jc w:val="both"/>
        <w:rPr>
          <w:bCs/>
        </w:rPr>
      </w:pPr>
      <w:r w:rsidRPr="006D5A8A">
        <w:rPr>
          <w:bCs/>
        </w:rPr>
        <w:t>возможность выключения системы и блокировки учетной записи пользователя при превышении установленного количества неуспешных попыток аутентификации;</w:t>
      </w:r>
    </w:p>
    <w:p w:rsidR="008E2013" w:rsidRPr="006D5A8A" w:rsidRDefault="008E2013" w:rsidP="006D5A8A">
      <w:pPr>
        <w:pStyle w:val="a4"/>
        <w:numPr>
          <w:ilvl w:val="0"/>
          <w:numId w:val="47"/>
        </w:numPr>
        <w:tabs>
          <w:tab w:val="num" w:pos="0"/>
        </w:tabs>
        <w:jc w:val="both"/>
        <w:rPr>
          <w:bCs/>
        </w:rPr>
      </w:pPr>
      <w:r w:rsidRPr="006D5A8A">
        <w:rPr>
          <w:bCs/>
        </w:rPr>
        <w:t>блокирование загрузки ОС: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rPr>
          <w:rFonts w:hint="eastAsia"/>
        </w:rPr>
        <w:t>при</w:t>
      </w:r>
      <w:r w:rsidR="008E2013" w:rsidRPr="008E2013">
        <w:t xml:space="preserve"> </w:t>
      </w:r>
      <w:r w:rsidR="008E2013" w:rsidRPr="008E2013">
        <w:rPr>
          <w:rFonts w:hint="eastAsia"/>
        </w:rPr>
        <w:t>выявлении</w:t>
      </w:r>
      <w:r w:rsidR="008E2013" w:rsidRPr="008E2013">
        <w:t xml:space="preserve"> </w:t>
      </w:r>
      <w:r w:rsidR="008E2013" w:rsidRPr="008E2013">
        <w:rPr>
          <w:rFonts w:hint="eastAsia"/>
        </w:rPr>
        <w:t>несанкционированных</w:t>
      </w:r>
      <w:r w:rsidR="008E2013" w:rsidRPr="008E2013">
        <w:t xml:space="preserve"> </w:t>
      </w:r>
      <w:r w:rsidR="008E2013" w:rsidRPr="008E2013">
        <w:rPr>
          <w:rFonts w:hint="eastAsia"/>
        </w:rPr>
        <w:t>попыток</w:t>
      </w:r>
      <w:r w:rsidR="008E2013" w:rsidRPr="008E2013">
        <w:t xml:space="preserve"> </w:t>
      </w:r>
      <w:r w:rsidR="008E2013" w:rsidRPr="008E2013">
        <w:rPr>
          <w:rFonts w:hint="eastAsia"/>
        </w:rPr>
        <w:t>загрузки</w:t>
      </w:r>
      <w:r w:rsidR="008E2013" w:rsidRPr="008E2013">
        <w:t xml:space="preserve"> </w:t>
      </w:r>
      <w:r w:rsidR="008E2013" w:rsidRPr="008E2013">
        <w:rPr>
          <w:rFonts w:hint="eastAsia"/>
        </w:rPr>
        <w:t>ОС</w:t>
      </w:r>
      <w:r w:rsidR="008E2013" w:rsidRPr="008E2013">
        <w:t xml:space="preserve"> </w:t>
      </w:r>
      <w:r>
        <w:br/>
      </w:r>
      <w:r w:rsidR="008E2013" w:rsidRPr="008E2013">
        <w:rPr>
          <w:rFonts w:hint="eastAsia"/>
        </w:rPr>
        <w:t>и</w:t>
      </w:r>
      <w:r w:rsidR="008E2013" w:rsidRPr="008E2013">
        <w:t xml:space="preserve"> </w:t>
      </w:r>
      <w:r w:rsidR="008E2013" w:rsidRPr="008E2013">
        <w:rPr>
          <w:rFonts w:hint="eastAsia"/>
        </w:rPr>
        <w:t>аутентификации</w:t>
      </w:r>
      <w:r w:rsidR="008E2013" w:rsidRPr="008E2013">
        <w:t xml:space="preserve"> </w:t>
      </w:r>
      <w:r w:rsidR="008E2013" w:rsidRPr="008E2013">
        <w:rPr>
          <w:rFonts w:hint="eastAsia"/>
        </w:rPr>
        <w:t>пользователя</w:t>
      </w:r>
      <w:r w:rsidR="008E2013" w:rsidRPr="008E2013">
        <w:t>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rPr>
          <w:rFonts w:hint="eastAsia"/>
        </w:rPr>
        <w:t>при</w:t>
      </w:r>
      <w:r w:rsidR="008E2013" w:rsidRPr="008E2013">
        <w:t xml:space="preserve"> </w:t>
      </w:r>
      <w:r w:rsidR="008E2013" w:rsidRPr="008E2013">
        <w:rPr>
          <w:rFonts w:hint="eastAsia"/>
        </w:rPr>
        <w:t>выявлении</w:t>
      </w:r>
      <w:r w:rsidR="008E2013" w:rsidRPr="008E2013">
        <w:t xml:space="preserve"> </w:t>
      </w:r>
      <w:r w:rsidR="008E2013" w:rsidRPr="008E2013">
        <w:rPr>
          <w:rFonts w:hint="eastAsia"/>
        </w:rPr>
        <w:t>попыток</w:t>
      </w:r>
      <w:r w:rsidR="008E2013" w:rsidRPr="008E2013">
        <w:t xml:space="preserve"> </w:t>
      </w:r>
      <w:r w:rsidR="008E2013" w:rsidRPr="008E2013">
        <w:rPr>
          <w:rFonts w:hint="eastAsia"/>
        </w:rPr>
        <w:t>загрузки</w:t>
      </w:r>
      <w:r w:rsidR="008E2013" w:rsidRPr="008E2013">
        <w:t xml:space="preserve"> </w:t>
      </w:r>
      <w:r w:rsidR="008E2013" w:rsidRPr="008E2013">
        <w:rPr>
          <w:rFonts w:hint="eastAsia"/>
        </w:rPr>
        <w:t>нештатной</w:t>
      </w:r>
      <w:r w:rsidR="008E2013" w:rsidRPr="008E2013">
        <w:t xml:space="preserve"> </w:t>
      </w:r>
      <w:r w:rsidR="008E2013" w:rsidRPr="008E2013">
        <w:rPr>
          <w:rFonts w:hint="eastAsia"/>
        </w:rPr>
        <w:t>ОС</w:t>
      </w:r>
      <w:r w:rsidR="008E2013" w:rsidRPr="008E2013">
        <w:t>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при превышении числа неудачных попыток аутентификации пользователя;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при нарушении целостности СДЗ;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при нарушении целостности загружаемой программной среды;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при критичных типах сбоев и ошибок;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при обнаружении несанкционированного изменения состава аппаратных компонентов;</w:t>
      </w:r>
    </w:p>
    <w:p w:rsidR="008E2013" w:rsidRPr="006D5A8A" w:rsidRDefault="008E2013" w:rsidP="006D5A8A">
      <w:pPr>
        <w:pStyle w:val="a4"/>
        <w:numPr>
          <w:ilvl w:val="0"/>
          <w:numId w:val="49"/>
        </w:numPr>
        <w:tabs>
          <w:tab w:val="num" w:pos="0"/>
        </w:tabs>
        <w:ind w:left="1134" w:hanging="283"/>
        <w:jc w:val="both"/>
        <w:rPr>
          <w:bCs/>
        </w:rPr>
      </w:pPr>
      <w:r w:rsidRPr="006D5A8A">
        <w:rPr>
          <w:bCs/>
        </w:rPr>
        <w:t>реализацию механизмов защиты: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блокирование несанкционированного входа в </w:t>
      </w:r>
      <w:r w:rsidR="008E2013" w:rsidRPr="008E2013">
        <w:rPr>
          <w:lang w:val="en-US"/>
        </w:rPr>
        <w:t>BIOS</w:t>
      </w:r>
      <w:r w:rsidR="008E2013" w:rsidRPr="008E2013">
        <w:t xml:space="preserve"> </w:t>
      </w:r>
      <w:r w:rsidR="008E2013" w:rsidRPr="008E2013">
        <w:rPr>
          <w:lang w:val="en-US"/>
        </w:rPr>
        <w:t>Setup</w:t>
      </w:r>
      <w:r w:rsidR="008E2013" w:rsidRPr="008E2013">
        <w:t xml:space="preserve"> с помощью специальных клавиш;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эмуляция </w:t>
      </w:r>
      <w:r w:rsidR="008E2013" w:rsidRPr="008E2013">
        <w:rPr>
          <w:lang w:val="en-US"/>
        </w:rPr>
        <w:t>NVRAM;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контроль программных прерываний системного режима управления (SMI);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блокировка </w:t>
      </w:r>
      <w:r w:rsidR="008E2013" w:rsidRPr="008E2013">
        <w:rPr>
          <w:lang w:val="en-US"/>
        </w:rPr>
        <w:t>ACPI</w:t>
      </w:r>
      <w:r w:rsidR="008E2013" w:rsidRPr="008E2013">
        <w:t>-таблиц</w:t>
      </w:r>
      <w:r w:rsidR="008E2013" w:rsidRPr="008E2013">
        <w:rPr>
          <w:lang w:val="en-US"/>
        </w:rPr>
        <w:t xml:space="preserve"> WPBT</w:t>
      </w:r>
      <w:r w:rsidR="008E2013" w:rsidRPr="008E2013">
        <w:t>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защита дисков от записи со стороны компонентов </w:t>
      </w:r>
      <w:r w:rsidR="008E2013" w:rsidRPr="008E2013">
        <w:rPr>
          <w:lang w:val="en-US"/>
        </w:rPr>
        <w:t>BIOS</w:t>
      </w:r>
      <w:r w:rsidR="008E2013" w:rsidRPr="008E2013">
        <w:t xml:space="preserve"> на ранней стадии загрузки;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блокировка встроенных средств обновления </w:t>
      </w:r>
      <w:r w:rsidR="008E2013" w:rsidRPr="008E2013">
        <w:rPr>
          <w:lang w:val="en-US"/>
        </w:rPr>
        <w:t>BIOS</w:t>
      </w:r>
      <w:r w:rsidR="008E2013" w:rsidRPr="008E2013">
        <w:t>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>блокировка клавиатуры на стадии загрузчика ОС;</w:t>
      </w:r>
    </w:p>
    <w:p w:rsidR="008E2013" w:rsidRPr="008E2013" w:rsidRDefault="006D5A8A" w:rsidP="006D5A8A">
      <w:pPr>
        <w:numPr>
          <w:ilvl w:val="1"/>
          <w:numId w:val="13"/>
        </w:numPr>
        <w:tabs>
          <w:tab w:val="clear" w:pos="1531"/>
          <w:tab w:val="num" w:pos="0"/>
        </w:tabs>
        <w:ind w:left="0" w:firstLine="1247"/>
        <w:jc w:val="both"/>
      </w:pPr>
      <w:r>
        <w:t xml:space="preserve">  </w:t>
      </w:r>
      <w:r w:rsidR="008E2013" w:rsidRPr="008E2013">
        <w:t xml:space="preserve">блокирование выполнения PCI </w:t>
      </w:r>
      <w:proofErr w:type="spellStart"/>
      <w:r w:rsidR="008E2013" w:rsidRPr="008E2013">
        <w:t>Option</w:t>
      </w:r>
      <w:proofErr w:type="spellEnd"/>
      <w:r w:rsidR="008E2013" w:rsidRPr="008E2013">
        <w:t xml:space="preserve"> ROM.</w:t>
      </w:r>
    </w:p>
    <w:p w:rsidR="008E2013" w:rsidRPr="008E2013" w:rsidRDefault="008E2013" w:rsidP="008E2013">
      <w:pPr>
        <w:pStyle w:val="a4"/>
        <w:numPr>
          <w:ilvl w:val="0"/>
          <w:numId w:val="39"/>
        </w:numPr>
        <w:jc w:val="both"/>
        <w:rPr>
          <w:bCs/>
        </w:rPr>
      </w:pPr>
      <w:r w:rsidRPr="008E2013">
        <w:rPr>
          <w:bCs/>
        </w:rPr>
        <w:t>контроль целостности: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загружаемой ОС;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ПО СДЗ;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параметров реестра ОС Windows;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файлов на файловых системах FAT32, NTFS, EXT2, EXT3 и EXT4;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загрузочных секторов на носителях информации;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таблиц ACPI;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таблиц </w:t>
      </w:r>
      <w:r w:rsidRPr="008E2013">
        <w:rPr>
          <w:lang w:val="en-US"/>
        </w:rPr>
        <w:t>GPT</w:t>
      </w:r>
      <w:r w:rsidRPr="008E2013">
        <w:t>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зашифрованных дисков LUKS;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таблиц SMBIOS;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карты распределения памяти;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ресурсов конфигурационного пространства PCI/</w:t>
      </w:r>
      <w:proofErr w:type="spellStart"/>
      <w:r w:rsidRPr="008E2013">
        <w:t>PCIe</w:t>
      </w:r>
      <w:proofErr w:type="spellEnd"/>
      <w:r w:rsidRPr="008E2013">
        <w:t xml:space="preserve">; 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lastRenderedPageBreak/>
        <w:t>CMOS (содержимого энергонезависимой памяти</w:t>
      </w:r>
      <w:r w:rsidRPr="008E2013">
        <w:rPr>
          <w:bCs/>
        </w:rPr>
        <w:t>);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 xml:space="preserve">модулей </w:t>
      </w:r>
      <w:r w:rsidRPr="008E2013">
        <w:rPr>
          <w:lang w:val="en-US"/>
        </w:rPr>
        <w:t>UEFI</w:t>
      </w:r>
      <w:r w:rsidRPr="008E2013">
        <w:t>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переменных NVRAM;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системных таблиц UEFI;</w:t>
      </w:r>
    </w:p>
    <w:p w:rsidR="008E2013" w:rsidRPr="008E2013" w:rsidRDefault="008E2013" w:rsidP="008E2013">
      <w:pPr>
        <w:numPr>
          <w:ilvl w:val="1"/>
          <w:numId w:val="13"/>
        </w:numPr>
        <w:jc w:val="both"/>
      </w:pPr>
      <w:r w:rsidRPr="008E2013">
        <w:t>дисковых устройств.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возможность со стороны администраторов СДЗ управлять режимом выполнения функций безопасности СДЗ и данными (данными СДЗ), используемыми функциями безопасности СДЗ;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поддержку определенных ролей (учетных записей пользователей) для СДЗ </w:t>
      </w:r>
      <w:r w:rsidR="006D5A8A">
        <w:rPr>
          <w:bCs/>
        </w:rPr>
        <w:br/>
      </w:r>
      <w:r w:rsidRPr="008E2013">
        <w:rPr>
          <w:bCs/>
        </w:rPr>
        <w:t>и их ассоциации с конкретными администраторами СЗД и пользователями ИС;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возможность тестирования (самотестирования) функций безопасности СДЗ, проверки целостности программного обеспечения (далее – ПО) СДЗ и целостности данных СДЗ;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возможность контроля состава компонентов аппаратного обеспечения средства вычислительной техники, основываясь на их идентификационной информации;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наличие программного датчика случайных чисел (далее – ДСЧ) </w:t>
      </w:r>
      <w:r w:rsidR="006D5A8A">
        <w:rPr>
          <w:bCs/>
        </w:rPr>
        <w:br/>
      </w:r>
      <w:r w:rsidRPr="008E2013">
        <w:rPr>
          <w:bCs/>
        </w:rPr>
        <w:t>с возможностью инициализации биологическим ДСЧ и с помощью внешней гаммы;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контроль завершенности транзакций в журналах файловых систем NTFS, EXT3, EXT4;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защиту от несанкционированного удаления СДЗ путем перезаписи BIOS, защиты от чтения BIOS и изменения UEFI</w:t>
      </w:r>
      <w:r w:rsidRPr="008E2013">
        <w:rPr>
          <w:bCs/>
        </w:rPr>
        <w:noBreakHyphen/>
        <w:t>переменных;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возможность регистрации возникновения событий, относящихся </w:t>
      </w:r>
      <w:r w:rsidR="006D5A8A">
        <w:rPr>
          <w:bCs/>
        </w:rPr>
        <w:br/>
      </w:r>
      <w:r w:rsidRPr="008E2013">
        <w:rPr>
          <w:bCs/>
        </w:rPr>
        <w:t>к безопасности и контролируемых СДЗ;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возможность реагирования на обнаружение событий, указывающих </w:t>
      </w:r>
      <w:r w:rsidR="006D5A8A">
        <w:rPr>
          <w:bCs/>
        </w:rPr>
        <w:br/>
      </w:r>
      <w:r w:rsidRPr="008E2013">
        <w:rPr>
          <w:bCs/>
        </w:rPr>
        <w:t>на возможное нарушение безопасности;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ограничение доступа к чтению записей аудита; 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выборочный просмотр данных аудита (фильтрация данных аудита); 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 xml:space="preserve">выявление модификаций записей аудита, защита хранимых записей аудита от несанкционированного удаления, а также поддержка сохранности записей аудита </w:t>
      </w:r>
      <w:r w:rsidR="006D5A8A">
        <w:rPr>
          <w:bCs/>
        </w:rPr>
        <w:br/>
      </w:r>
      <w:r w:rsidRPr="008E2013">
        <w:rPr>
          <w:bCs/>
        </w:rPr>
        <w:t>при переполнении журнала аудита или сбое;</w:t>
      </w:r>
    </w:p>
    <w:p w:rsidR="008E2013" w:rsidRPr="008E2013" w:rsidRDefault="008E2013" w:rsidP="006D5A8A">
      <w:pPr>
        <w:pStyle w:val="a4"/>
        <w:numPr>
          <w:ilvl w:val="0"/>
          <w:numId w:val="42"/>
        </w:numPr>
        <w:ind w:left="0" w:firstLine="708"/>
        <w:jc w:val="both"/>
        <w:rPr>
          <w:bCs/>
        </w:rPr>
      </w:pPr>
      <w:r w:rsidRPr="008E2013">
        <w:rPr>
          <w:bCs/>
        </w:rPr>
        <w:t>генерация предупреждения при переполнении журнала аудита и запись поверх самых ранних хранимых записей аудита;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>поддержка бездискового режима;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 xml:space="preserve">поддержка доступа к содержимому томов </w:t>
      </w:r>
      <w:r w:rsidRPr="008E2013">
        <w:rPr>
          <w:bCs/>
          <w:lang w:val="en-US"/>
        </w:rPr>
        <w:t>Logical</w:t>
      </w:r>
      <w:r w:rsidRPr="008E2013">
        <w:rPr>
          <w:bCs/>
        </w:rPr>
        <w:t xml:space="preserve"> </w:t>
      </w:r>
      <w:r w:rsidRPr="008E2013">
        <w:rPr>
          <w:bCs/>
          <w:lang w:val="en-US"/>
        </w:rPr>
        <w:t>Volume</w:t>
      </w:r>
      <w:r w:rsidRPr="008E2013">
        <w:rPr>
          <w:bCs/>
        </w:rPr>
        <w:t xml:space="preserve"> </w:t>
      </w:r>
      <w:r w:rsidRPr="008E2013">
        <w:rPr>
          <w:bCs/>
          <w:lang w:val="en-US"/>
        </w:rPr>
        <w:t>Manager</w:t>
      </w:r>
      <w:r w:rsidRPr="008E2013">
        <w:rPr>
          <w:bCs/>
        </w:rPr>
        <w:t xml:space="preserve"> (</w:t>
      </w:r>
      <w:r w:rsidRPr="008E2013">
        <w:rPr>
          <w:bCs/>
          <w:lang w:val="en-US"/>
        </w:rPr>
        <w:t>LVM</w:t>
      </w:r>
      <w:r w:rsidRPr="008E2013">
        <w:rPr>
          <w:bCs/>
        </w:rPr>
        <w:t>);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>поддержка настройки системного времени;</w:t>
      </w:r>
    </w:p>
    <w:p w:rsidR="008E2013" w:rsidRPr="00703E5E" w:rsidRDefault="008E2013" w:rsidP="008E2013">
      <w:pPr>
        <w:pStyle w:val="a4"/>
        <w:numPr>
          <w:ilvl w:val="0"/>
          <w:numId w:val="42"/>
        </w:numPr>
        <w:jc w:val="both"/>
        <w:rPr>
          <w:bCs/>
          <w:lang w:val="en-US"/>
        </w:rPr>
      </w:pPr>
      <w:r w:rsidRPr="008E2013">
        <w:rPr>
          <w:bCs/>
        </w:rPr>
        <w:t>поддержка</w:t>
      </w:r>
      <w:r w:rsidRPr="00703E5E">
        <w:rPr>
          <w:bCs/>
          <w:lang w:val="en-US"/>
        </w:rPr>
        <w:t xml:space="preserve"> </w:t>
      </w:r>
      <w:r w:rsidRPr="008E2013">
        <w:rPr>
          <w:bCs/>
          <w:lang w:val="en-US"/>
        </w:rPr>
        <w:t>Linux</w:t>
      </w:r>
      <w:r w:rsidRPr="00703E5E">
        <w:rPr>
          <w:bCs/>
          <w:lang w:val="en-US"/>
        </w:rPr>
        <w:t xml:space="preserve"> </w:t>
      </w:r>
      <w:r w:rsidRPr="008E2013">
        <w:rPr>
          <w:bCs/>
          <w:lang w:val="en-US"/>
        </w:rPr>
        <w:t>Unified</w:t>
      </w:r>
      <w:r w:rsidRPr="00703E5E">
        <w:rPr>
          <w:bCs/>
          <w:lang w:val="en-US"/>
        </w:rPr>
        <w:t xml:space="preserve"> </w:t>
      </w:r>
      <w:r w:rsidRPr="008E2013">
        <w:rPr>
          <w:bCs/>
          <w:lang w:val="en-US"/>
        </w:rPr>
        <w:t>Key</w:t>
      </w:r>
      <w:r w:rsidRPr="00703E5E">
        <w:rPr>
          <w:bCs/>
          <w:lang w:val="en-US"/>
        </w:rPr>
        <w:t xml:space="preserve"> </w:t>
      </w:r>
      <w:r w:rsidRPr="008E2013">
        <w:rPr>
          <w:bCs/>
          <w:lang w:val="en-US"/>
        </w:rPr>
        <w:t>Setup</w:t>
      </w:r>
      <w:r w:rsidRPr="00703E5E">
        <w:rPr>
          <w:bCs/>
          <w:lang w:val="en-US"/>
        </w:rPr>
        <w:t xml:space="preserve"> (</w:t>
      </w:r>
      <w:r w:rsidRPr="008E2013">
        <w:rPr>
          <w:bCs/>
          <w:lang w:val="en-US"/>
        </w:rPr>
        <w:t>LUKS</w:t>
      </w:r>
      <w:r w:rsidRPr="00703E5E">
        <w:rPr>
          <w:bCs/>
          <w:lang w:val="en-US"/>
        </w:rPr>
        <w:t xml:space="preserve">); 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>поддержка аутентификации пользователей по расписанию (графику работы);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>задание политик паролей для групп пользователей;</w:t>
      </w:r>
    </w:p>
    <w:p w:rsidR="008E2013" w:rsidRPr="008E2013" w:rsidRDefault="008E2013" w:rsidP="008E2013">
      <w:pPr>
        <w:pStyle w:val="a4"/>
        <w:numPr>
          <w:ilvl w:val="0"/>
          <w:numId w:val="42"/>
        </w:numPr>
        <w:jc w:val="both"/>
        <w:rPr>
          <w:bCs/>
        </w:rPr>
      </w:pPr>
      <w:r w:rsidRPr="008E2013">
        <w:rPr>
          <w:bCs/>
        </w:rPr>
        <w:t xml:space="preserve">создание и управление различными профилями загрузок, включая загрузчик ОС и список раздельного контроля целостности. </w:t>
      </w:r>
    </w:p>
    <w:p w:rsidR="008E2013" w:rsidRDefault="008E2013" w:rsidP="008E2013">
      <w:pPr>
        <w:ind w:firstLine="709"/>
        <w:jc w:val="both"/>
      </w:pPr>
      <w:bookmarkStart w:id="5" w:name="_Toc224568996"/>
    </w:p>
    <w:p w:rsidR="008E2013" w:rsidRPr="008E2013" w:rsidRDefault="008E2013" w:rsidP="006D5A8A">
      <w:pPr>
        <w:ind w:firstLine="709"/>
        <w:rPr>
          <w:b/>
        </w:rPr>
      </w:pPr>
      <w:r>
        <w:rPr>
          <w:b/>
        </w:rPr>
        <w:t xml:space="preserve">5. </w:t>
      </w:r>
      <w:r w:rsidRPr="008E2013">
        <w:rPr>
          <w:b/>
        </w:rPr>
        <w:t>Дополнительные требования к</w:t>
      </w:r>
      <w:r w:rsidRPr="008E2013">
        <w:t xml:space="preserve"> </w:t>
      </w:r>
      <w:r w:rsidRPr="008E2013">
        <w:rPr>
          <w:b/>
        </w:rPr>
        <w:t>сертификации</w:t>
      </w:r>
    </w:p>
    <w:p w:rsidR="008E2013" w:rsidRPr="008E2013" w:rsidRDefault="008E2013" w:rsidP="008E2013">
      <w:pPr>
        <w:ind w:firstLine="709"/>
        <w:jc w:val="both"/>
      </w:pPr>
      <w:r>
        <w:t xml:space="preserve">5.1 </w:t>
      </w:r>
      <w:r w:rsidRPr="008E2013">
        <w:t xml:space="preserve">Требования к </w:t>
      </w:r>
      <w:bookmarkEnd w:id="5"/>
      <w:r w:rsidRPr="008E2013">
        <w:t>СДЗ должно соответствовать требованиям документов:</w:t>
      </w:r>
    </w:p>
    <w:p w:rsidR="008E2013" w:rsidRPr="008E2013" w:rsidRDefault="008E2013" w:rsidP="008E2013">
      <w:pPr>
        <w:ind w:firstLine="709"/>
        <w:jc w:val="both"/>
        <w:rPr>
          <w:bCs/>
        </w:rPr>
      </w:pPr>
      <w:r w:rsidRPr="008E2013">
        <w:rPr>
          <w:bCs/>
        </w:rPr>
        <w:t xml:space="preserve">«Требования по безопасности информации, устанавливающие уровни доверия </w:t>
      </w:r>
      <w:r w:rsidR="006D5A8A">
        <w:rPr>
          <w:bCs/>
        </w:rPr>
        <w:br/>
      </w:r>
      <w:r w:rsidRPr="008E2013">
        <w:rPr>
          <w:bCs/>
        </w:rPr>
        <w:t>к средствам технической защиты информации и средствам обеспечения безопасности информационных технологий» (ФСТЭК России, 2020) по 2 уровню доверия;</w:t>
      </w:r>
    </w:p>
    <w:p w:rsidR="008E2013" w:rsidRPr="008E2013" w:rsidRDefault="008E2013" w:rsidP="008E2013">
      <w:pPr>
        <w:ind w:firstLine="709"/>
        <w:jc w:val="both"/>
        <w:rPr>
          <w:bCs/>
        </w:rPr>
      </w:pPr>
      <w:r w:rsidRPr="008E2013">
        <w:rPr>
          <w:bCs/>
        </w:rPr>
        <w:t>«Профиль защиты средства доверенной загрузки уровня базовой системы ввода</w:t>
      </w:r>
      <w:r w:rsidRPr="008E2013">
        <w:rPr>
          <w:bCs/>
        </w:rPr>
        <w:noBreakHyphen/>
        <w:t>вывода второго класса защиты ИТ.СДЗ.УБ2.ПЗ» (ФСТЭК России, 2013);</w:t>
      </w:r>
    </w:p>
    <w:p w:rsidR="008E2013" w:rsidRPr="008E2013" w:rsidRDefault="008E2013" w:rsidP="008E2013">
      <w:pPr>
        <w:ind w:firstLine="709"/>
        <w:jc w:val="both"/>
        <w:rPr>
          <w:bCs/>
        </w:rPr>
      </w:pPr>
      <w:r w:rsidRPr="008E2013">
        <w:rPr>
          <w:bCs/>
        </w:rPr>
        <w:t>«Требования к средствам доверенной загрузки» (ФСТЭК России, 2013);</w:t>
      </w:r>
    </w:p>
    <w:p w:rsidR="008E2013" w:rsidRPr="008E2013" w:rsidRDefault="008E2013" w:rsidP="008E2013">
      <w:pPr>
        <w:ind w:firstLine="709"/>
        <w:jc w:val="both"/>
        <w:rPr>
          <w:bCs/>
        </w:rPr>
      </w:pPr>
      <w:r w:rsidRPr="008E2013">
        <w:rPr>
          <w:bCs/>
        </w:rPr>
        <w:t>«Требования к механизмам доверенной загрузки ЭВМ» (ФСБ России, 2020) по классу защиты II и классу сервиса Б.</w:t>
      </w:r>
    </w:p>
    <w:p w:rsidR="00B62A62" w:rsidRDefault="00B62A62" w:rsidP="00E70AE1">
      <w:pPr>
        <w:jc w:val="both"/>
        <w:rPr>
          <w:highlight w:val="yellow"/>
        </w:rPr>
      </w:pPr>
    </w:p>
    <w:p w:rsidR="00350C20" w:rsidRPr="00551454" w:rsidRDefault="006D5A8A" w:rsidP="00350C20">
      <w:pPr>
        <w:spacing w:line="276" w:lineRule="auto"/>
        <w:ind w:firstLine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350C20" w:rsidRPr="00551454">
        <w:rPr>
          <w:rFonts w:cstheme="minorHAnsi"/>
          <w:b/>
          <w:bCs/>
        </w:rPr>
        <w:t>. Оплата услуг</w:t>
      </w:r>
    </w:p>
    <w:p w:rsidR="00350C20" w:rsidRPr="00551454" w:rsidRDefault="00350C20" w:rsidP="00350C20">
      <w:pPr>
        <w:spacing w:line="276" w:lineRule="auto"/>
        <w:ind w:firstLine="709"/>
        <w:jc w:val="both"/>
        <w:rPr>
          <w:rFonts w:cstheme="minorHAnsi"/>
        </w:rPr>
      </w:pPr>
      <w:r w:rsidRPr="00551454">
        <w:rPr>
          <w:rFonts w:cstheme="minorHAnsi"/>
        </w:rPr>
        <w:t xml:space="preserve">Оплата осуществляется по безналичному расчету путем перечисления Заказчиком денежных средств на расчетный счет Исполнителя в течение 7 (семи) рабочих дней с даты завершения приемки, оформленной утвержденным Актом приемки товаров, работ, услуг по ф. 0510452 и подписанным актом об оказании услуг в соответствии с требованиями действующих нормативных документов. </w:t>
      </w:r>
    </w:p>
    <w:p w:rsidR="00350C20" w:rsidRPr="00551454" w:rsidRDefault="00350C20" w:rsidP="00350C20">
      <w:pPr>
        <w:spacing w:line="276" w:lineRule="auto"/>
        <w:ind w:firstLine="709"/>
        <w:jc w:val="both"/>
        <w:rPr>
          <w:rFonts w:cstheme="minorHAnsi"/>
        </w:rPr>
      </w:pPr>
      <w:r w:rsidRPr="00551454">
        <w:rPr>
          <w:rFonts w:cstheme="minorHAnsi"/>
        </w:rPr>
        <w:t xml:space="preserve">Датой завершения приемки считается дата утверждения Акта приемки товаров, работ, услуг по ф. 0510452 и подписания акта об оказании услуг Заказчиком </w:t>
      </w:r>
      <w:r w:rsidR="006D5A8A">
        <w:rPr>
          <w:rFonts w:cstheme="minorHAnsi"/>
        </w:rPr>
        <w:br/>
      </w:r>
      <w:r w:rsidRPr="00551454">
        <w:rPr>
          <w:rFonts w:cstheme="minorHAnsi"/>
        </w:rPr>
        <w:t xml:space="preserve">и Исполнителем. </w:t>
      </w:r>
    </w:p>
    <w:p w:rsidR="00B62A62" w:rsidRDefault="00350C20" w:rsidP="007C591E">
      <w:pPr>
        <w:spacing w:line="276" w:lineRule="auto"/>
        <w:ind w:firstLine="709"/>
        <w:jc w:val="both"/>
        <w:rPr>
          <w:rFonts w:cstheme="minorHAnsi"/>
        </w:rPr>
      </w:pPr>
      <w:r w:rsidRPr="00551454">
        <w:rPr>
          <w:rFonts w:cstheme="minorHAnsi"/>
        </w:rPr>
        <w:t>В цену закупки входит стоимость услуг, страхование, уплата таможенных пошлин, налогов, других обязательств и затрат, связанных с исполнением настоящего Технического задания</w:t>
      </w:r>
      <w:r w:rsidR="00141FE8">
        <w:rPr>
          <w:rFonts w:cstheme="minorHAnsi"/>
        </w:rPr>
        <w:t>.</w:t>
      </w:r>
    </w:p>
    <w:p w:rsidR="007C591E" w:rsidRPr="007C591E" w:rsidRDefault="007C591E" w:rsidP="007C591E">
      <w:pPr>
        <w:spacing w:line="276" w:lineRule="auto"/>
        <w:jc w:val="both"/>
        <w:rPr>
          <w:rFonts w:cstheme="minorHAnsi"/>
        </w:rPr>
        <w:sectPr w:rsidR="007C591E" w:rsidRPr="007C591E" w:rsidSect="001C1A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3F4F" w:rsidRPr="007C591E" w:rsidRDefault="005C3F4F" w:rsidP="007C591E"/>
    <w:sectPr w:rsidR="005C3F4F" w:rsidRPr="007C591E" w:rsidSect="001C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0D3"/>
    <w:multiLevelType w:val="hybridMultilevel"/>
    <w:tmpl w:val="427E6AB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AB32E4"/>
    <w:multiLevelType w:val="multilevel"/>
    <w:tmpl w:val="EB1AEF06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233"/>
        </w:tabs>
        <w:ind w:left="3233" w:hanging="397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D790FCA"/>
    <w:multiLevelType w:val="hybridMultilevel"/>
    <w:tmpl w:val="CBE6B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C20B6B"/>
    <w:multiLevelType w:val="hybridMultilevel"/>
    <w:tmpl w:val="965CAFBE"/>
    <w:lvl w:ilvl="0" w:tplc="12CEF0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1553B5"/>
    <w:multiLevelType w:val="hybridMultilevel"/>
    <w:tmpl w:val="FE0CD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64A0CBE">
      <w:numFmt w:val="bullet"/>
      <w:lvlText w:val="•"/>
      <w:lvlJc w:val="left"/>
      <w:pPr>
        <w:ind w:left="3198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5141D7"/>
    <w:multiLevelType w:val="hybridMultilevel"/>
    <w:tmpl w:val="D91221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79011F5"/>
    <w:multiLevelType w:val="hybridMultilevel"/>
    <w:tmpl w:val="140A05FA"/>
    <w:lvl w:ilvl="0" w:tplc="C4E28A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01C48"/>
    <w:multiLevelType w:val="hybridMultilevel"/>
    <w:tmpl w:val="6BCA86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B85AB8"/>
    <w:multiLevelType w:val="hybridMultilevel"/>
    <w:tmpl w:val="F98875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6345DC7"/>
    <w:multiLevelType w:val="hybridMultilevel"/>
    <w:tmpl w:val="5E30EE12"/>
    <w:lvl w:ilvl="0" w:tplc="DDB637A8">
      <w:start w:val="1"/>
      <w:numFmt w:val="bullet"/>
      <w:suff w:val="space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5F3D59"/>
    <w:multiLevelType w:val="hybridMultilevel"/>
    <w:tmpl w:val="6B4A5FD4"/>
    <w:lvl w:ilvl="0" w:tplc="12CEF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2A7C9B"/>
    <w:multiLevelType w:val="hybridMultilevel"/>
    <w:tmpl w:val="117AF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DB242D"/>
    <w:multiLevelType w:val="hybridMultilevel"/>
    <w:tmpl w:val="0C4CF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DE76F5"/>
    <w:multiLevelType w:val="multilevel"/>
    <w:tmpl w:val="747405A6"/>
    <w:lvl w:ilvl="0">
      <w:start w:val="1"/>
      <w:numFmt w:val="decimal"/>
      <w:pStyle w:val="1"/>
      <w:lvlText w:val="%1 "/>
      <w:lvlJc w:val="left"/>
      <w:pPr>
        <w:ind w:left="-3261" w:hanging="360"/>
      </w:pPr>
    </w:lvl>
    <w:lvl w:ilvl="1">
      <w:start w:val="1"/>
      <w:numFmt w:val="decimal"/>
      <w:pStyle w:val="2"/>
      <w:lvlText w:val="%1.%2 "/>
      <w:lvlJc w:val="left"/>
      <w:pPr>
        <w:ind w:left="0" w:firstLine="0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 "/>
      <w:lvlJc w:val="left"/>
      <w:pPr>
        <w:ind w:left="-2397" w:hanging="504"/>
      </w:pPr>
    </w:lvl>
    <w:lvl w:ilvl="3">
      <w:start w:val="1"/>
      <w:numFmt w:val="decimal"/>
      <w:lvlText w:val="%1.%2.%3.%4."/>
      <w:lvlJc w:val="left"/>
      <w:pPr>
        <w:ind w:left="-1893" w:hanging="648"/>
      </w:pPr>
    </w:lvl>
    <w:lvl w:ilvl="4">
      <w:start w:val="1"/>
      <w:numFmt w:val="decimal"/>
      <w:lvlText w:val="%1.%2.%3.%4.%5."/>
      <w:lvlJc w:val="left"/>
      <w:pPr>
        <w:ind w:left="-1389" w:hanging="792"/>
      </w:pPr>
    </w:lvl>
    <w:lvl w:ilvl="5">
      <w:start w:val="1"/>
      <w:numFmt w:val="decimal"/>
      <w:lvlText w:val="%1.%2.%3.%4.%5.%6."/>
      <w:lvlJc w:val="left"/>
      <w:pPr>
        <w:ind w:left="-885" w:hanging="936"/>
      </w:pPr>
    </w:lvl>
    <w:lvl w:ilvl="6">
      <w:start w:val="1"/>
      <w:numFmt w:val="decimal"/>
      <w:lvlText w:val="%1.%2.%3.%4.%5.%6.%7."/>
      <w:lvlJc w:val="left"/>
      <w:pPr>
        <w:ind w:left="-381" w:hanging="1080"/>
      </w:pPr>
    </w:lvl>
    <w:lvl w:ilvl="7">
      <w:start w:val="1"/>
      <w:numFmt w:val="decimal"/>
      <w:lvlText w:val="%1.%2.%3.%4.%5.%6.%7.%8."/>
      <w:lvlJc w:val="left"/>
      <w:pPr>
        <w:ind w:left="123" w:hanging="1224"/>
      </w:pPr>
    </w:lvl>
    <w:lvl w:ilvl="8">
      <w:start w:val="1"/>
      <w:numFmt w:val="decimal"/>
      <w:lvlText w:val="%1.%2.%3.%4.%5.%6.%7.%8.%9."/>
      <w:lvlJc w:val="left"/>
      <w:pPr>
        <w:ind w:left="699" w:hanging="1440"/>
      </w:pPr>
    </w:lvl>
  </w:abstractNum>
  <w:abstractNum w:abstractNumId="14">
    <w:nsid w:val="2D7D4EC2"/>
    <w:multiLevelType w:val="hybridMultilevel"/>
    <w:tmpl w:val="3F46D3C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EC876C9"/>
    <w:multiLevelType w:val="hybridMultilevel"/>
    <w:tmpl w:val="54AEF064"/>
    <w:lvl w:ilvl="0" w:tplc="12CEF0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FD3793A"/>
    <w:multiLevelType w:val="hybridMultilevel"/>
    <w:tmpl w:val="C254BC16"/>
    <w:lvl w:ilvl="0" w:tplc="12CEF03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7">
    <w:nsid w:val="32A06DCA"/>
    <w:multiLevelType w:val="multilevel"/>
    <w:tmpl w:val="EA7E8A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4ED300F"/>
    <w:multiLevelType w:val="hybridMultilevel"/>
    <w:tmpl w:val="5AE2F3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79C0CC7"/>
    <w:multiLevelType w:val="hybridMultilevel"/>
    <w:tmpl w:val="E9364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17E75"/>
    <w:multiLevelType w:val="hybridMultilevel"/>
    <w:tmpl w:val="3984F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8B578F"/>
    <w:multiLevelType w:val="hybridMultilevel"/>
    <w:tmpl w:val="977AC99E"/>
    <w:lvl w:ilvl="0" w:tplc="C4E28A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E05005"/>
    <w:multiLevelType w:val="hybridMultilevel"/>
    <w:tmpl w:val="2548A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26255A"/>
    <w:multiLevelType w:val="hybridMultilevel"/>
    <w:tmpl w:val="3EA475E0"/>
    <w:lvl w:ilvl="0" w:tplc="12CEF0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6FE4292"/>
    <w:multiLevelType w:val="hybridMultilevel"/>
    <w:tmpl w:val="7CA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F6AFC"/>
    <w:multiLevelType w:val="hybridMultilevel"/>
    <w:tmpl w:val="075CB55C"/>
    <w:lvl w:ilvl="0" w:tplc="C4E28A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EC2EB3"/>
    <w:multiLevelType w:val="multilevel"/>
    <w:tmpl w:val="733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C7C0B"/>
    <w:multiLevelType w:val="hybridMultilevel"/>
    <w:tmpl w:val="0082E398"/>
    <w:lvl w:ilvl="0" w:tplc="A64A0CBE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</w:abstractNum>
  <w:abstractNum w:abstractNumId="28">
    <w:nsid w:val="4EC403F1"/>
    <w:multiLevelType w:val="hybridMultilevel"/>
    <w:tmpl w:val="D98E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F66FA8"/>
    <w:multiLevelType w:val="hybridMultilevel"/>
    <w:tmpl w:val="978416B6"/>
    <w:lvl w:ilvl="0" w:tplc="A64A0CBE">
      <w:numFmt w:val="bullet"/>
      <w:lvlText w:val="•"/>
      <w:lvlJc w:val="left"/>
      <w:pPr>
        <w:ind w:left="3907" w:hanging="141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D8498C"/>
    <w:multiLevelType w:val="hybridMultilevel"/>
    <w:tmpl w:val="94C00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661042"/>
    <w:multiLevelType w:val="hybridMultilevel"/>
    <w:tmpl w:val="D1D457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1905351"/>
    <w:multiLevelType w:val="hybridMultilevel"/>
    <w:tmpl w:val="FEC68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61245D0"/>
    <w:multiLevelType w:val="hybridMultilevel"/>
    <w:tmpl w:val="935A529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57936A82"/>
    <w:multiLevelType w:val="multilevel"/>
    <w:tmpl w:val="824C184C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233"/>
        </w:tabs>
        <w:ind w:left="3233" w:hanging="397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>
    <w:nsid w:val="5ECE5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803DA7"/>
    <w:multiLevelType w:val="hybridMultilevel"/>
    <w:tmpl w:val="9D1A9E6A"/>
    <w:lvl w:ilvl="0" w:tplc="B66CF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06387"/>
    <w:multiLevelType w:val="hybridMultilevel"/>
    <w:tmpl w:val="1CBCB7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C193ADB"/>
    <w:multiLevelType w:val="hybridMultilevel"/>
    <w:tmpl w:val="6CA4378A"/>
    <w:lvl w:ilvl="0" w:tplc="12CEF0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CD03D3D"/>
    <w:multiLevelType w:val="hybridMultilevel"/>
    <w:tmpl w:val="30B4DF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763B88"/>
    <w:multiLevelType w:val="hybridMultilevel"/>
    <w:tmpl w:val="2C703F84"/>
    <w:lvl w:ilvl="0" w:tplc="12CEF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16F0561"/>
    <w:multiLevelType w:val="multilevel"/>
    <w:tmpl w:val="33CA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1D25B82"/>
    <w:multiLevelType w:val="hybridMultilevel"/>
    <w:tmpl w:val="A82C3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A97246"/>
    <w:multiLevelType w:val="hybridMultilevel"/>
    <w:tmpl w:val="5E8455E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4D4462C"/>
    <w:multiLevelType w:val="hybridMultilevel"/>
    <w:tmpl w:val="9D14A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6B26406"/>
    <w:multiLevelType w:val="hybridMultilevel"/>
    <w:tmpl w:val="FE8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0D022C"/>
    <w:multiLevelType w:val="hybridMultilevel"/>
    <w:tmpl w:val="CBDC54BE"/>
    <w:lvl w:ilvl="0" w:tplc="6CC8B6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24AED"/>
    <w:multiLevelType w:val="hybridMultilevel"/>
    <w:tmpl w:val="5B8C79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46"/>
  </w:num>
  <w:num w:numId="8">
    <w:abstractNumId w:val="24"/>
  </w:num>
  <w:num w:numId="9">
    <w:abstractNumId w:val="35"/>
  </w:num>
  <w:num w:numId="10">
    <w:abstractNumId w:val="41"/>
  </w:num>
  <w:num w:numId="11">
    <w:abstractNumId w:val="6"/>
  </w:num>
  <w:num w:numId="12">
    <w:abstractNumId w:val="26"/>
  </w:num>
  <w:num w:numId="13">
    <w:abstractNumId w:val="1"/>
  </w:num>
  <w:num w:numId="14">
    <w:abstractNumId w:val="16"/>
  </w:num>
  <w:num w:numId="15">
    <w:abstractNumId w:val="9"/>
  </w:num>
  <w:num w:numId="16">
    <w:abstractNumId w:val="18"/>
  </w:num>
  <w:num w:numId="17">
    <w:abstractNumId w:val="45"/>
  </w:num>
  <w:num w:numId="18">
    <w:abstractNumId w:val="28"/>
  </w:num>
  <w:num w:numId="19">
    <w:abstractNumId w:val="5"/>
  </w:num>
  <w:num w:numId="20">
    <w:abstractNumId w:val="14"/>
  </w:num>
  <w:num w:numId="21">
    <w:abstractNumId w:val="19"/>
  </w:num>
  <w:num w:numId="22">
    <w:abstractNumId w:val="10"/>
  </w:num>
  <w:num w:numId="23">
    <w:abstractNumId w:val="15"/>
  </w:num>
  <w:num w:numId="24">
    <w:abstractNumId w:val="38"/>
  </w:num>
  <w:num w:numId="25">
    <w:abstractNumId w:val="3"/>
  </w:num>
  <w:num w:numId="26">
    <w:abstractNumId w:val="40"/>
  </w:num>
  <w:num w:numId="27">
    <w:abstractNumId w:val="4"/>
  </w:num>
  <w:num w:numId="28">
    <w:abstractNumId w:val="31"/>
  </w:num>
  <w:num w:numId="29">
    <w:abstractNumId w:val="12"/>
  </w:num>
  <w:num w:numId="30">
    <w:abstractNumId w:val="2"/>
  </w:num>
  <w:num w:numId="31">
    <w:abstractNumId w:val="44"/>
  </w:num>
  <w:num w:numId="32">
    <w:abstractNumId w:val="42"/>
  </w:num>
  <w:num w:numId="33">
    <w:abstractNumId w:val="7"/>
  </w:num>
  <w:num w:numId="34">
    <w:abstractNumId w:val="30"/>
  </w:num>
  <w:num w:numId="35">
    <w:abstractNumId w:val="22"/>
  </w:num>
  <w:num w:numId="36">
    <w:abstractNumId w:val="29"/>
  </w:num>
  <w:num w:numId="37">
    <w:abstractNumId w:val="27"/>
  </w:num>
  <w:num w:numId="38">
    <w:abstractNumId w:val="32"/>
  </w:num>
  <w:num w:numId="39">
    <w:abstractNumId w:val="0"/>
  </w:num>
  <w:num w:numId="40">
    <w:abstractNumId w:val="20"/>
  </w:num>
  <w:num w:numId="41">
    <w:abstractNumId w:val="11"/>
  </w:num>
  <w:num w:numId="42">
    <w:abstractNumId w:val="8"/>
  </w:num>
  <w:num w:numId="43">
    <w:abstractNumId w:val="47"/>
  </w:num>
  <w:num w:numId="44">
    <w:abstractNumId w:val="33"/>
  </w:num>
  <w:num w:numId="45">
    <w:abstractNumId w:val="43"/>
  </w:num>
  <w:num w:numId="46">
    <w:abstractNumId w:val="23"/>
  </w:num>
  <w:num w:numId="47">
    <w:abstractNumId w:val="34"/>
  </w:num>
  <w:num w:numId="48">
    <w:abstractNumId w:val="39"/>
  </w:num>
  <w:num w:numId="4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Нажмитдинов Темур Бахридинович">
    <w15:presenceInfo w15:providerId="AD" w15:userId="S-1-5-21-1418577568-1290903821-1997416611-70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5A8"/>
    <w:rsid w:val="0000045C"/>
    <w:rsid w:val="00011C0D"/>
    <w:rsid w:val="00017096"/>
    <w:rsid w:val="00086474"/>
    <w:rsid w:val="00141FE8"/>
    <w:rsid w:val="00162993"/>
    <w:rsid w:val="00190A1A"/>
    <w:rsid w:val="001C1AEE"/>
    <w:rsid w:val="0020246B"/>
    <w:rsid w:val="00234A64"/>
    <w:rsid w:val="00270406"/>
    <w:rsid w:val="00272543"/>
    <w:rsid w:val="002910FD"/>
    <w:rsid w:val="002C337C"/>
    <w:rsid w:val="002F3525"/>
    <w:rsid w:val="00300BA8"/>
    <w:rsid w:val="00315807"/>
    <w:rsid w:val="00340558"/>
    <w:rsid w:val="00350C20"/>
    <w:rsid w:val="003D6A94"/>
    <w:rsid w:val="004262FE"/>
    <w:rsid w:val="004638AF"/>
    <w:rsid w:val="00573D6B"/>
    <w:rsid w:val="005A3897"/>
    <w:rsid w:val="005C3F4F"/>
    <w:rsid w:val="005D3CC6"/>
    <w:rsid w:val="00614670"/>
    <w:rsid w:val="006729E8"/>
    <w:rsid w:val="006A191C"/>
    <w:rsid w:val="006D5A8A"/>
    <w:rsid w:val="00703E5E"/>
    <w:rsid w:val="00712477"/>
    <w:rsid w:val="007668C0"/>
    <w:rsid w:val="00772FD8"/>
    <w:rsid w:val="00792AD9"/>
    <w:rsid w:val="007A100B"/>
    <w:rsid w:val="007C591E"/>
    <w:rsid w:val="007C783A"/>
    <w:rsid w:val="008502AF"/>
    <w:rsid w:val="00880F92"/>
    <w:rsid w:val="008E2013"/>
    <w:rsid w:val="0093748D"/>
    <w:rsid w:val="00957F40"/>
    <w:rsid w:val="00992CCA"/>
    <w:rsid w:val="009C2BCE"/>
    <w:rsid w:val="009F036D"/>
    <w:rsid w:val="009F0A1A"/>
    <w:rsid w:val="00A17533"/>
    <w:rsid w:val="00A84E9D"/>
    <w:rsid w:val="00B22E34"/>
    <w:rsid w:val="00B62A62"/>
    <w:rsid w:val="00B74A67"/>
    <w:rsid w:val="00B85626"/>
    <w:rsid w:val="00BC1C83"/>
    <w:rsid w:val="00BF412B"/>
    <w:rsid w:val="00C060B9"/>
    <w:rsid w:val="00C35191"/>
    <w:rsid w:val="00CC2F6D"/>
    <w:rsid w:val="00D068FD"/>
    <w:rsid w:val="00D17D8F"/>
    <w:rsid w:val="00DD29F8"/>
    <w:rsid w:val="00DF1692"/>
    <w:rsid w:val="00E2314F"/>
    <w:rsid w:val="00E315A8"/>
    <w:rsid w:val="00E70AE1"/>
    <w:rsid w:val="00E855BA"/>
    <w:rsid w:val="00EC5FB1"/>
    <w:rsid w:val="00F0038F"/>
    <w:rsid w:val="00F6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15A8"/>
    <w:pPr>
      <w:keepNext/>
      <w:keepLines/>
      <w:numPr>
        <w:numId w:val="1"/>
      </w:numPr>
      <w:spacing w:before="120" w:after="120"/>
      <w:ind w:left="360"/>
      <w:outlineLvl w:val="0"/>
    </w:pPr>
    <w:rPr>
      <w:rFonts w:eastAsiaTheme="majorEastAsia" w:cstheme="majorBidi"/>
      <w:b/>
      <w:sz w:val="28"/>
      <w:szCs w:val="32"/>
      <w:u w:color="000000"/>
      <w:lang w:val="en-US"/>
    </w:rPr>
  </w:style>
  <w:style w:type="paragraph" w:styleId="2">
    <w:name w:val="heading 2"/>
    <w:next w:val="a"/>
    <w:link w:val="20"/>
    <w:uiPriority w:val="9"/>
    <w:semiHidden/>
    <w:unhideWhenUsed/>
    <w:qFormat/>
    <w:rsid w:val="00E315A8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ascii="Times New Roman" w:eastAsia="Helvetica Neue" w:hAnsi="Times New Roman" w:cs="Helvetica Neue"/>
      <w:b/>
      <w:bCs/>
      <w:color w:val="000000"/>
      <w:sz w:val="28"/>
      <w:szCs w:val="32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E315A8"/>
    <w:pPr>
      <w:keepNext/>
      <w:keepLines/>
      <w:numPr>
        <w:ilvl w:val="2"/>
        <w:numId w:val="1"/>
      </w:numPr>
      <w:spacing w:before="120" w:after="120" w:line="360" w:lineRule="auto"/>
      <w:ind w:left="504"/>
      <w:outlineLvl w:val="2"/>
    </w:pPr>
    <w:rPr>
      <w:rFonts w:ascii="Times New Roman" w:eastAsia="Arial" w:hAnsi="Times New Roman" w:cs="Arial"/>
      <w:b/>
      <w:sz w:val="28"/>
      <w:szCs w:val="28"/>
      <w:u w:color="434343"/>
      <w:lang w:val="en-US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315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A8"/>
    <w:rPr>
      <w:rFonts w:ascii="Times New Roman" w:eastAsiaTheme="majorEastAsia" w:hAnsi="Times New Roman" w:cstheme="majorBidi"/>
      <w:b/>
      <w:sz w:val="28"/>
      <w:szCs w:val="32"/>
      <w:u w:color="00000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5A8"/>
    <w:rPr>
      <w:rFonts w:ascii="Times New Roman" w:eastAsia="Helvetica Neue" w:hAnsi="Times New Roman" w:cs="Helvetica Neue"/>
      <w:b/>
      <w:bCs/>
      <w:color w:val="000000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15A8"/>
    <w:rPr>
      <w:rFonts w:ascii="Times New Roman" w:eastAsia="Arial" w:hAnsi="Times New Roman" w:cs="Arial"/>
      <w:b/>
      <w:sz w:val="28"/>
      <w:szCs w:val="28"/>
      <w:u w:color="434343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E315A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3">
    <w:name w:val="Абзац списка Знак"/>
    <w:aliases w:val="ТЗ список Знак,it_List1 Знак,Второй абзац списка Знак,Шаг сценария Знак,GOST_TableList Знак,Bullet List Знак,FooterText Знак,numbered Знак,- список Знак,ПАРАГРАФ Знак,List Paragraph Знак,Маркер Знак,UL Знак,Абзац маркированнный Знак"/>
    <w:basedOn w:val="a0"/>
    <w:link w:val="a4"/>
    <w:uiPriority w:val="34"/>
    <w:qFormat/>
    <w:locked/>
    <w:rsid w:val="00E31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ТЗ список,it_List1,Второй абзац списка,Шаг сценария,GOST_TableList,Bullet List,FooterText,numbered,- список,ПАРАГРАФ,List Paragraph,Маркер,UL,Абзац маркированнный,Table-Normal,RSHB_Table-Normal,Предусловия,Абзац списка литеральный,lp1"/>
    <w:basedOn w:val="a"/>
    <w:link w:val="a3"/>
    <w:uiPriority w:val="34"/>
    <w:qFormat/>
    <w:rsid w:val="00E315A8"/>
    <w:pPr>
      <w:ind w:left="720"/>
      <w:contextualSpacing/>
    </w:pPr>
  </w:style>
  <w:style w:type="table" w:styleId="a5">
    <w:name w:val="Table Grid"/>
    <w:basedOn w:val="a1"/>
    <w:uiPriority w:val="39"/>
    <w:rsid w:val="00E31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3748D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unhideWhenUsed/>
    <w:rsid w:val="00315807"/>
    <w:rPr>
      <w:vertAlign w:val="superscript"/>
    </w:rPr>
  </w:style>
  <w:style w:type="paragraph" w:customStyle="1" w:styleId="228bf8a64b8551e1msonormal">
    <w:name w:val="228bf8a64b8551e1msonormal"/>
    <w:basedOn w:val="a"/>
    <w:rsid w:val="003D6A94"/>
    <w:pPr>
      <w:spacing w:before="100" w:beforeAutospacing="1" w:after="100" w:afterAutospacing="1"/>
    </w:pPr>
  </w:style>
  <w:style w:type="paragraph" w:styleId="a8">
    <w:name w:val="No Spacing"/>
    <w:link w:val="a9"/>
    <w:qFormat/>
    <w:rsid w:val="00792A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qFormat/>
    <w:rsid w:val="00792AD9"/>
    <w:rPr>
      <w:rFonts w:ascii="Calibri" w:eastAsia="Times New Roman" w:hAnsi="Calibri" w:cs="Times New Roman"/>
    </w:rPr>
  </w:style>
  <w:style w:type="paragraph" w:customStyle="1" w:styleId="aa">
    <w:name w:val="Нумерованный"/>
    <w:basedOn w:val="a"/>
    <w:link w:val="ab"/>
    <w:qFormat/>
    <w:rsid w:val="00792AD9"/>
    <w:pPr>
      <w:spacing w:before="120" w:after="120"/>
      <w:jc w:val="both"/>
    </w:pPr>
  </w:style>
  <w:style w:type="character" w:customStyle="1" w:styleId="ab">
    <w:name w:val="Нумерованный Знак"/>
    <w:link w:val="aa"/>
    <w:rsid w:val="00792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E201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E2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291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1709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09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09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0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estr.digital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fursaoo</dc:creator>
  <cp:lastModifiedBy>fursaoo</cp:lastModifiedBy>
  <cp:revision>4</cp:revision>
  <cp:lastPrinted>2026-06-25T13:27:00Z</cp:lastPrinted>
  <dcterms:created xsi:type="dcterms:W3CDTF">2026-06-26T07:02:00Z</dcterms:created>
  <dcterms:modified xsi:type="dcterms:W3CDTF">2026-06-26T07:36:00Z</dcterms:modified>
</cp:coreProperties>
</file>