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Обоснование цены единицы Товара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положениями части 4 статьи 6 Закона ГОЗ определение начальной (максимальной)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(исполнителей, подрядчиков) осуществляется в порядке, установленном Правительством Российской Федерации.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частью 1 статьи 10 Закона ГОЗ государственное регулирование цен на продукцию по государственному оборонному заказу осуществляется посредством:</w:t>
      </w:r>
      <w:bookmarkStart w:id="0" w:name="l88"/>
      <w:bookmarkEnd w:id="0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1)</w:t>
        <w:tab/>
        <w:t>утверждения перечней продукции по государственному оборонному заказу, на которую распространяется государственное регулирование цен;</w:t>
      </w:r>
      <w:bookmarkStart w:id="1" w:name="l39"/>
      <w:bookmarkEnd w:id="1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2)</w:t>
        <w:tab/>
        <w:t xml:space="preserve">установления правил определения начальной (максимальной) цены государственного контракта при размещении заказов путем использования конкурентных способов определения поставщиков (исполнителей, подрядчиков), а также цены государственного контракта в случае размещения государственного оборонного заказа у единственного поставщика (исполнителя, подрядчика.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пунктом 105 «Положения о государственном регулировании цен на продукцию, поставляемую по государственному оборонному заказу», утвержденным постановлением Правительства Российской Федерации от 02.12.2017 №1465 (далее – Положение) государственными заказчиками государственного оборонного заказа при осуществлении закупок конкурентной продукции из числа указанной в подпунктах "а", "б" и "г" пункта 6 Положения начальная (максимальная) цена государственного контракта формируется в соответствии с законодательством о контрактной системе в сфере закупок с учетом объемов финансирования государственного оборонного заказа, предусмотренных по соответствующим видам расходов и номенклатурным позициям, с учетом особенностей и в порядке, которые установлены пунктами 106 - 112 Положения.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5 Положения государственное регулирование цен предусматривает в том числе определение начальной (максимальной)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поставщиков. В соответствии с пунктом 6 Положения государственное регулирование цен осуществляется в отношении:</w:t>
      </w:r>
    </w:p>
    <w:p>
      <w:pPr>
        <w:pStyle w:val="Normal"/>
        <w:widowControl w:val="false"/>
        <w:tabs>
          <w:tab w:val="clear" w:pos="708"/>
          <w:tab w:val="left" w:pos="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а)</w:t>
        <w:tab/>
        <w:t>продукции, включенной в перечни продукции по государственному оборонному заказу;</w:t>
      </w:r>
    </w:p>
    <w:p>
      <w:pPr>
        <w:pStyle w:val="Normal"/>
        <w:widowControl w:val="false"/>
        <w:tabs>
          <w:tab w:val="clear" w:pos="708"/>
          <w:tab w:val="left" w:pos="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б)</w:t>
        <w:tab/>
        <w:t>продукции, поставляемой по государственным контрактам в связи с разработкой, изготовлением, сервисным обслуживанием, модернизацией, ремонтом и утилизацией продукции, указанной в подпункте "а" настоящего пункта.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Перечне продукции по государственному оборонному заказу, на которую распространяется государственное регулирование цен (за исключением ядерного оружейного комплекса), утвержденным распоряжением Правительства Российской Федерации от 14.06.2013 №976-р, продукция, являющаяся объектом закупки, отсутствует.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Заказчик сформировал начальную (максимальную) цену Договора в соответствии с законодательством о контрактной системе в сфере закупок с учетом объемов финансирования государственного оборонного заказа, предусмотренных по соответствующим видам расходов и номенклатурным позициям.</w:t>
      </w:r>
    </w:p>
    <w:p>
      <w:pPr>
        <w:pStyle w:val="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невозможностью применения для определения начальной (максимальной) цены контракта, цены контракта, заключаемого с единственным поставщиком, методов, указанных в </w:t>
      </w:r>
      <w:hyperlink r:id="rId2">
        <w:r>
          <w:rPr>
            <w:rStyle w:val="Hyperlink"/>
            <w:sz w:val="24"/>
            <w:szCs w:val="24"/>
          </w:rPr>
          <w:t>части 1</w:t>
        </w:r>
      </w:hyperlink>
      <w:r>
        <w:rPr>
          <w:sz w:val="24"/>
          <w:szCs w:val="24"/>
        </w:rPr>
        <w:t xml:space="preserve"> статьи 22 Закона, заказчик вправе применить иные методы. Невозможность применения методов указанных в </w:t>
      </w:r>
      <w:hyperlink r:id="rId3">
        <w:r>
          <w:rPr>
            <w:rStyle w:val="Hyperlink"/>
            <w:sz w:val="24"/>
            <w:szCs w:val="24"/>
          </w:rPr>
          <w:t>части 1</w:t>
        </w:r>
      </w:hyperlink>
      <w:r>
        <w:rPr>
          <w:sz w:val="24"/>
          <w:szCs w:val="24"/>
        </w:rPr>
        <w:t xml:space="preserve"> статьи 22 Закона, обусловлена тем, что на </w:t>
      </w:r>
      <w:r>
        <w:rPr>
          <w:sz w:val="26"/>
          <w:szCs w:val="26"/>
        </w:rPr>
        <w:t>территории Эвенкийского района Красноярского края</w:t>
      </w:r>
      <w:r>
        <w:rPr>
          <w:sz w:val="24"/>
          <w:szCs w:val="24"/>
        </w:rPr>
        <w:t xml:space="preserve">, отсутствуют три и более поставщика. В связи с этим, цена определена в соответствии с ценовой информацией, предоставленной единственным поставщиком </w:t>
      </w:r>
      <w:r>
        <w:rPr>
          <w:sz w:val="26"/>
          <w:szCs w:val="26"/>
          <w:shd w:fill="FFFFFF" w:val="clear"/>
        </w:rPr>
        <w:t>МУНИЦИПАЛЬНОЕ ПРЕДПРИЯТИЕ ЭВЕНКИЙСКОГО МУНИЦИПАЛЬНОГО РАЙОНА «ЭВЕНКИЯНЕФТЕПРОДУКТ»</w:t>
      </w:r>
      <w:r>
        <w:rPr>
          <w:sz w:val="24"/>
          <w:szCs w:val="24"/>
        </w:rPr>
        <w:t>, готовым поставить требуемый товар. Цена за единицу товара указана в спецификации.</w:t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Спецификация</w:t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6"/>
        <w:ind w:hanging="0" w:left="5103" w:right="-1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467" w:type="dxa"/>
        <w:jc w:val="left"/>
        <w:tblInd w:w="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2"/>
        <w:gridCol w:w="4439"/>
        <w:gridCol w:w="3428"/>
        <w:gridCol w:w="1117"/>
      </w:tblGrid>
      <w:tr>
        <w:trPr>
          <w:tblHeader w:val="true"/>
          <w:trHeight w:val="547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color w:val="000000"/>
                <w:lang w:eastAsia="ru-RU"/>
              </w:rPr>
              <w:t>№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Наименование продукции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113" w:right="-17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Цена за ед. (руб.)</w:t>
            </w:r>
          </w:p>
        </w:tc>
      </w:tr>
      <w:tr>
        <w:trPr>
          <w:trHeight w:val="313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Бензин автомобильный  (розничная реализация)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/>
            </w:pPr>
            <w:r>
              <w:rPr>
                <w:rStyle w:val="sectioninfo"/>
              </w:rPr>
              <w:t>п</w:t>
            </w:r>
            <w:r>
              <w:rPr/>
              <w:t>. Тура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95,00</w:t>
            </w:r>
          </w:p>
        </w:tc>
      </w:tr>
      <w:tr>
        <w:trPr>
          <w:trHeight w:val="838" w:hRule="atLeast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Бензин автомобильный  (розничная реализация)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/>
            </w:pPr>
            <w:r>
              <w:rPr>
                <w:rStyle w:val="sectioninfo"/>
              </w:rPr>
              <w:t>п</w:t>
            </w:r>
            <w:r>
              <w:rPr/>
              <w:t>. Байкит</w:t>
            </w:r>
          </w:p>
        </w:tc>
        <w:tc>
          <w:tcPr>
            <w:tcW w:w="3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</w:t>
            </w:r>
          </w:p>
        </w:tc>
      </w:tr>
      <w:tr>
        <w:trPr>
          <w:trHeight w:val="838" w:hRule="atLeast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Топливо дизельное (розничная реализация)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/>
            </w:pPr>
            <w:r>
              <w:rPr>
                <w:rStyle w:val="sectioninfo"/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п</w:t>
            </w:r>
            <w:r>
              <w:rPr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. Тура</w:t>
            </w:r>
          </w:p>
        </w:tc>
        <w:tc>
          <w:tcPr>
            <w:tcW w:w="3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114,00</w:t>
            </w:r>
          </w:p>
        </w:tc>
      </w:tr>
      <w:tr>
        <w:trPr>
          <w:trHeight w:val="838" w:hRule="atLeast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4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Топливо дизельное (розничная реализация)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/>
            </w:pPr>
            <w:r>
              <w:rPr>
                <w:rStyle w:val="sectioninfo"/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п</w:t>
            </w:r>
            <w:r>
              <w:rPr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. Байкит</w:t>
            </w:r>
          </w:p>
        </w:tc>
        <w:tc>
          <w:tcPr>
            <w:tcW w:w="3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125,00</w:t>
            </w:r>
          </w:p>
        </w:tc>
      </w:tr>
      <w:tr>
        <w:trPr>
          <w:trHeight w:val="546" w:hRule="atLeast"/>
        </w:trPr>
        <w:tc>
          <w:tcPr>
            <w:tcW w:w="83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437,00</w:t>
            </w:r>
          </w:p>
        </w:tc>
      </w:tr>
    </w:tbl>
    <w:p>
      <w:pPr>
        <w:pStyle w:val="Normal"/>
        <w:ind w:hanging="0" w:left="5103" w:right="-1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Максимальное значение цены контракта: 577 000,00 рублей.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Максимальное значение цены контракта определено в соответствии с  прогнозируемым количеством поставляемого товара:</w:t>
      </w:r>
    </w:p>
    <w:p>
      <w:pPr>
        <w:pStyle w:val="Normal"/>
        <w:keepNext w:val="true"/>
        <w:widowControl w:val="false"/>
        <w:numPr>
          <w:ilvl w:val="0"/>
          <w:numId w:val="0"/>
        </w:numPr>
        <w:ind w:hanging="0" w:left="0"/>
        <w:jc w:val="both"/>
        <w:outlineLvl w:val="0"/>
        <w:rPr/>
      </w:pPr>
      <w:r>
        <w:rPr>
          <w:rStyle w:val="sectioninfo"/>
          <w:bCs/>
          <w:sz w:val="24"/>
          <w:szCs w:val="24"/>
          <w:lang w:eastAsia="ru-RU"/>
        </w:rPr>
        <w:t xml:space="preserve">Бензин автомобильный  (розничная реализация) </w:t>
      </w:r>
      <w:r>
        <w:rPr>
          <w:rStyle w:val="sectioninfo"/>
          <w:sz w:val="24"/>
          <w:szCs w:val="24"/>
          <w:lang w:eastAsia="ru-RU"/>
        </w:rPr>
        <w:t>(</w:t>
      </w:r>
      <w:r>
        <w:rPr>
          <w:sz w:val="24"/>
          <w:szCs w:val="24"/>
          <w:lang w:eastAsia="ru-RU"/>
        </w:rPr>
        <w:t xml:space="preserve">Бензин АИ-92) </w:t>
      </w:r>
      <w:r>
        <w:rPr>
          <w:rStyle w:val="sectioninfo"/>
          <w:sz w:val="24"/>
          <w:szCs w:val="24"/>
          <w:lang w:eastAsia="ru-RU"/>
        </w:rPr>
        <w:t>п</w:t>
      </w:r>
      <w:r>
        <w:rPr>
          <w:sz w:val="24"/>
          <w:szCs w:val="24"/>
          <w:lang w:eastAsia="ru-RU"/>
        </w:rPr>
        <w:t>. Тура  - 500,00 л;</w:t>
      </w:r>
    </w:p>
    <w:p>
      <w:pPr>
        <w:pStyle w:val="Normal"/>
        <w:keepNext w:val="true"/>
        <w:widowControl w:val="false"/>
        <w:numPr>
          <w:ilvl w:val="0"/>
          <w:numId w:val="0"/>
        </w:numPr>
        <w:ind w:hanging="0" w:left="0"/>
        <w:jc w:val="both"/>
        <w:outlineLvl w:val="0"/>
        <w:rPr/>
      </w:pPr>
      <w:r>
        <w:rPr>
          <w:rStyle w:val="sectioninfo"/>
          <w:rFonts w:cs="Times New Roman"/>
          <w:bCs/>
          <w:color w:val="000000"/>
          <w:sz w:val="24"/>
          <w:szCs w:val="24"/>
          <w:shd w:fill="FFFFFF" w:val="clear"/>
          <w:lang w:eastAsia="ru-RU"/>
        </w:rPr>
        <w:t xml:space="preserve">Бензин автомобильный  (розничная реализация) (Бензин АИ-92) п. </w:t>
      </w:r>
      <w:r>
        <w:rPr>
          <w:rStyle w:val="sectioninfo"/>
          <w:rFonts w:cs="Times New Roman"/>
          <w:bCs/>
          <w:color w:val="000000"/>
          <w:sz w:val="24"/>
          <w:szCs w:val="24"/>
          <w:shd w:fill="FFFFFF" w:val="clear"/>
          <w:lang w:eastAsia="ru-RU"/>
        </w:rPr>
        <w:t>Байкит</w:t>
      </w:r>
      <w:r>
        <w:rPr>
          <w:rStyle w:val="sectioninfo"/>
          <w:rFonts w:cs="Times New Roman"/>
          <w:bCs/>
          <w:color w:val="000000"/>
          <w:sz w:val="24"/>
          <w:szCs w:val="24"/>
          <w:shd w:fill="FFFFFF" w:val="clear"/>
          <w:lang w:eastAsia="ru-RU"/>
        </w:rPr>
        <w:t xml:space="preserve">  - 500,00 л;</w:t>
      </w:r>
    </w:p>
    <w:p>
      <w:pPr>
        <w:pStyle w:val="Style17"/>
        <w:widowControl w:val="false"/>
        <w:suppressAutoHyphens w:val="true"/>
        <w:bidi w:val="0"/>
        <w:spacing w:before="0" w:after="0"/>
        <w:ind w:hanging="0" w:left="0" w:right="-170"/>
        <w:jc w:val="both"/>
        <w:rPr>
          <w:color w:val="000000"/>
          <w:sz w:val="24"/>
          <w:szCs w:val="24"/>
        </w:rPr>
      </w:pPr>
      <w:r>
        <w:rPr>
          <w:rStyle w:val="sectioninfo"/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 xml:space="preserve">Топливо дизельное (розничная поставка) </w:t>
      </w:r>
      <w:r>
        <w:rPr>
          <w:rStyle w:val="sectioninfo"/>
          <w:rFonts w:cs="Times New Roman" w:ascii="Times New Roman" w:hAnsi="Times New Roman"/>
          <w:bCs/>
          <w:color w:val="000000"/>
          <w:sz w:val="22"/>
          <w:szCs w:val="22"/>
          <w:shd w:fill="FFFFFF" w:val="clear"/>
          <w:lang w:eastAsia="ru-RU"/>
        </w:rPr>
        <w:t xml:space="preserve">п. Байкит </w:t>
      </w:r>
      <w:r>
        <w:rPr>
          <w:rStyle w:val="sectioninfo"/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-  2000,00 л.</w:t>
      </w:r>
    </w:p>
    <w:p>
      <w:pPr>
        <w:pStyle w:val="Style17"/>
        <w:widowControl w:val="false"/>
        <w:suppressAutoHyphens w:val="true"/>
        <w:bidi w:val="0"/>
        <w:spacing w:before="0" w:after="0"/>
        <w:ind w:hanging="0" w:left="0" w:right="-170"/>
        <w:jc w:val="both"/>
        <w:rPr>
          <w:color w:val="000000"/>
          <w:sz w:val="24"/>
          <w:szCs w:val="24"/>
        </w:rPr>
      </w:pPr>
      <w:r>
        <w:rPr>
          <w:rStyle w:val="sectioninfo"/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 xml:space="preserve">Топливо дизельное (розничная поставка) </w:t>
      </w:r>
      <w:r>
        <w:rPr>
          <w:rStyle w:val="sectioninfo"/>
          <w:rFonts w:cs="Times New Roman" w:ascii="Times New Roman" w:hAnsi="Times New Roman"/>
          <w:bCs/>
          <w:color w:val="000000"/>
          <w:sz w:val="22"/>
          <w:szCs w:val="22"/>
          <w:shd w:fill="FFFFFF" w:val="clear"/>
        </w:rPr>
        <w:t xml:space="preserve">п. Тура </w:t>
      </w:r>
      <w:r>
        <w:rPr>
          <w:rStyle w:val="sectioninfo"/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-  2000,00 л.</w:t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spacing w:before="0" w:after="0"/>
        <w:contextualSpacing/>
        <w:jc w:val="both"/>
        <w:rPr>
          <w:sz w:val="28"/>
          <w:szCs w:val="28"/>
        </w:rPr>
      </w:pPr>
      <w:r>
        <w:rPr>
          <w:sz w:val="26"/>
          <w:szCs w:val="26"/>
          <w:lang w:eastAsia="ru-RU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b0b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2b0b58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2b0b58"/>
    <w:rPr>
      <w:rFonts w:ascii="Cambria" w:hAnsi="Cambria" w:eastAsia="Times New Roman" w:cs="Times New Roman"/>
      <w:b/>
      <w:bCs/>
      <w:sz w:val="26"/>
      <w:szCs w:val="26"/>
      <w:lang w:eastAsia="ar-SA"/>
    </w:rPr>
  </w:style>
  <w:style w:type="character" w:styleId="Hyperlink">
    <w:name w:val="Hyperlink"/>
    <w:rsid w:val="002b0b58"/>
    <w:rPr>
      <w:color w:val="0000FF"/>
      <w:u w:val="single"/>
    </w:rPr>
  </w:style>
  <w:style w:type="character" w:styleId="sectioninfo" w:customStyle="1">
    <w:name w:val="section__info"/>
    <w:basedOn w:val="DefaultParagraphFont"/>
    <w:qFormat/>
    <w:rsid w:val="002b0b58"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ad316b"/>
    <w:rPr>
      <w:rFonts w:ascii="Tahoma" w:hAnsi="Tahoma" w:eastAsia="Times New Roman" w:cs="Tahoma"/>
      <w:sz w:val="16"/>
      <w:szCs w:val="16"/>
      <w:lang w:eastAsia="ar-SA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 w:customStyle="1">
    <w:name w:val="Соколов"/>
    <w:basedOn w:val="Normal"/>
    <w:qFormat/>
    <w:rsid w:val="002b0b58"/>
    <w:pPr>
      <w:suppressAutoHyphens w:val="false"/>
    </w:pPr>
    <w:rPr>
      <w:sz w:val="28"/>
      <w:szCs w:val="22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ad316b"/>
    <w:pPr/>
    <w:rPr>
      <w:rFonts w:ascii="Tahoma" w:hAnsi="Tahoma" w:cs="Tahoma"/>
      <w:sz w:val="16"/>
      <w:szCs w:val="16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17">
    <w:name w:val="обычн БО"/>
    <w:basedOn w:val="Normal"/>
    <w:qFormat/>
    <w:pPr>
      <w:widowControl w:val="false"/>
      <w:jc w:val="both"/>
    </w:pPr>
    <w:rPr>
      <w:rFonts w:ascii="Arial" w:hAnsi="Arial" w:cs="Arial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A5F2A7D435BCCBE048222D14BBDBC696&amp;req=doc&amp;base=LAW&amp;n=377767&amp;dst=100219&amp;fld=134&amp;date=17.03.2021" TargetMode="External"/><Relationship Id="rId3" Type="http://schemas.openxmlformats.org/officeDocument/2006/relationships/hyperlink" Target="https://login.consultant.ru/link/?rnd=A5F2A7D435BCCBE048222D14BBDBC696&amp;req=doc&amp;base=LAW&amp;n=377767&amp;dst=100219&amp;fld=134&amp;date=17.03.202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Application>LibreOffice/25.2.3.2$Linux_X86_64 LibreOffice_project/520$Build-2</Application>
  <AppVersion>15.0000</AppVersion>
  <Pages>2</Pages>
  <Words>534</Words>
  <Characters>4082</Characters>
  <CharactersWithSpaces>4586</CharactersWithSpaces>
  <Paragraphs>44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2021-04-16T02:35:00Z</dcterms:created>
  <dc:creator>79135506679</dc:creator>
  <dc:description/>
  <dc:language>ru-RU</dc:language>
  <cp:lastModifiedBy/>
  <cp:lastPrinted>2025-10-20T11:37:44Z</cp:lastPrinted>
  <dcterms:modified xsi:type="dcterms:W3CDTF">2026-09-28T17:43:50Z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