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0"/>
          <w:szCs w:val="20"/>
          <w:lang w:eastAsia="ru-RU"/>
        </w:rPr>
        <w:t xml:space="preserve"> ОБОСНОВАНИЕ НАЧАЛЬНОЙ (МАКСИМАЛЬНОЙ) ЦЕНЫ КОНТРАКТА</w:t>
      </w:r>
      <w:r>
        <w:rPr>
          <w:rFonts w:ascii="Times New Roman" w:hAnsi="Times New Roman"/>
          <w:b/>
          <w:color w:val="000000"/>
          <w:spacing w:val="-1"/>
          <w:sz w:val="20"/>
          <w:szCs w:val="20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0"/>
          <w:szCs w:val="20"/>
          <w:lang w:eastAsia="ru-RU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Расчет начальной (максимальной) цены контракта методом сопоставимых                                            рыночных цен (анализ рынка)</w:t>
      </w:r>
      <w:r>
        <w:rPr>
          <w:rFonts w:ascii="Times New Roman" w:hAnsi="Times New Roman"/>
          <w:b/>
          <w:sz w:val="20"/>
          <w:szCs w:val="20"/>
          <w:lang w:eastAsia="ru-RU"/>
        </w:rPr>
      </w:r>
      <w:r>
        <w:rPr>
          <w:rFonts w:ascii="Times New Roman" w:hAnsi="Times New Roman"/>
          <w:b/>
          <w:sz w:val="20"/>
          <w:szCs w:val="20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В соответствии с пунктом 3.7.1 Методических рекомендаций, утверждённых приказом Минэкономразвития России от 2 октября 2013 г. № 567 «Об утверждении методических рекомендаций по применению методов определения начальной (максимальной) цены контракта, ц</w:t>
      </w:r>
      <w:r>
        <w:rPr>
          <w:rFonts w:ascii="Times New Roman" w:hAnsi="Times New Roman"/>
          <w:sz w:val="20"/>
          <w:szCs w:val="20"/>
          <w:lang w:eastAsia="ru-RU"/>
        </w:rPr>
        <w:t xml:space="preserve">ены контракта, заключаемого с единственным поставщиком (подрядчиком, исполнителем)» (далее- Рекомендации) направлены запросы о предоставлении ценовой Информации исполнителям, обладающим опытом оказания аналогичных услуг (выполнения работ, поставки товара).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В целях определения НМЦК был осуществлен сбор ценовой информации среди поставщиков, осуществляющих оказание услуг, являющихся объектом закупки. Для расчёта НМЦК использовались полученные коммерческие предложения </w:t>
      </w:r>
      <w:r>
        <w:rPr>
          <w:rFonts w:ascii="Times New Roman" w:hAnsi="Times New Roman"/>
          <w:sz w:val="20"/>
          <w:szCs w:val="20"/>
          <w:lang w:eastAsia="ru-RU"/>
        </w:rPr>
        <w:t xml:space="preserve">среди </w:t>
      </w:r>
      <w:r>
        <w:rPr>
          <w:rFonts w:ascii="Times New Roman" w:hAnsi="Times New Roman"/>
          <w:sz w:val="20"/>
          <w:szCs w:val="20"/>
          <w:lang w:eastAsia="ru-RU"/>
        </w:rPr>
        <w:t xml:space="preserve">организаций, имеющих право на оказание аналогичных услуг с учётом ограничений, установленных федеральным законодательством и </w:t>
      </w:r>
      <w:r>
        <w:rPr>
          <w:rFonts w:ascii="Times New Roman" w:hAnsi="Times New Roman"/>
          <w:sz w:val="20"/>
          <w:szCs w:val="20"/>
          <w:lang w:eastAsia="ru-RU"/>
        </w:rPr>
        <w:t xml:space="preserve">информация из реестра контрактов, взятых из ЕИС, исполненными Исполнителями, обладающим опытом оказания аналогичных услуг (поставки товара)</w:t>
      </w:r>
      <w:r>
        <w:rPr>
          <w:rFonts w:ascii="Times New Roman" w:hAnsi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/>
          <w:color w:val="7030a0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При расчете использовался 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метод «сопоставимых рыночных цен (анализ рынка)»</w:t>
      </w:r>
      <w:r>
        <w:rPr>
          <w:rFonts w:ascii="Times New Roman" w:hAnsi="Times New Roman"/>
          <w:sz w:val="20"/>
          <w:szCs w:val="20"/>
          <w:lang w:eastAsia="ru-RU"/>
        </w:rPr>
        <w:t xml:space="preserve">, согласно предоставленным коммерческим предложениям Исполнителями, обладающими опытом оказания аналогичных услуг (поставки товара), выполнен расчет, в результате которого определяется </w:t>
      </w:r>
      <w:r>
        <w:rPr>
          <w:rFonts w:ascii="Times New Roman" w:hAnsi="Times New Roman"/>
          <w:b/>
          <w:color w:val="7030a0"/>
          <w:sz w:val="20"/>
          <w:szCs w:val="20"/>
          <w:lang w:eastAsia="ru-RU"/>
        </w:rPr>
        <w:t xml:space="preserve">стоимость</w:t>
      </w:r>
      <w:r>
        <w:rPr>
          <w:rFonts w:ascii="Times New Roman" w:hAnsi="Times New Roman"/>
          <w:color w:val="7030a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Calibri"/>
          <w:b/>
          <w:color w:val="7030a0"/>
          <w:spacing w:val="-5"/>
          <w:sz w:val="20"/>
          <w:szCs w:val="20"/>
        </w:rPr>
        <w:t xml:space="preserve">услуг по диагностике беспилотного воздушного судна</w:t>
      </w:r>
      <w:r>
        <w:rPr>
          <w:rFonts w:ascii="Times New Roman" w:hAnsi="Times New Roman"/>
          <w:color w:val="7030a0"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color w:val="7030a0"/>
          <w:sz w:val="20"/>
          <w:szCs w:val="20"/>
          <w:lang w:eastAsia="ru-RU"/>
        </w:rPr>
      </w:r>
      <w:r>
        <w:rPr>
          <w:rFonts w:ascii="Times New Roman" w:hAnsi="Times New Roman"/>
          <w:color w:val="7030a0"/>
          <w:sz w:val="20"/>
          <w:szCs w:val="20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  <w:outlineLvl w:val="0"/>
      </w:pPr>
      <w:r>
        <w:rPr>
          <w:rFonts w:ascii="Times New Roman" w:hAnsi="Times New Roman"/>
          <w:sz w:val="20"/>
          <w:szCs w:val="20"/>
          <w:lang w:eastAsia="ru-RU"/>
        </w:rPr>
        <w:t xml:space="preserve">Начальная (максимальная) цена контракта была определена по формуле: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position w:val="-24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28775" cy="400050"/>
                <wp:effectExtent l="0" t="0" r="9525" b="0"/>
                <wp:docPr id="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extLs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6287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28.25pt;height:31.50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  <w:t xml:space="preserve">где: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position w:val="-10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6275" cy="228600"/>
                <wp:effectExtent l="0" t="0" r="9525" b="0"/>
                <wp:docPr id="2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extLs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762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3.25pt;height:18.00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  <w:t xml:space="preserve"> - НМЦК, определяемая методом сопоставимых рыночных цен (анализа рынка);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3825" cy="142875"/>
                <wp:effectExtent l="0" t="0" r="9525" b="9525"/>
                <wp:docPr id="3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9.75pt;height:11.2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  <w:t xml:space="preserve">- количество (объем) закупаемого товара (работы, услуги);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3825" cy="142875"/>
                <wp:effectExtent l="0" t="0" r="9525" b="9525"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9.75pt;height:11.25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  <w:t xml:space="preserve"> - количество значений, используемых в расчете;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" cy="161925"/>
                <wp:effectExtent l="0" t="0" r="9525" b="9525"/>
                <wp:docPr id="5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85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6.75pt;height:12.75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  <w:t xml:space="preserve"> - номер источника ценовой информации;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228600"/>
                <wp:effectExtent l="0" t="0" r="0" b="0"/>
                <wp:docPr id="6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>
                          <a:extLst>
                            <a:ext uri="{96DAC541-7B7A-43D3-8B79-37D633B846F1}">
                              <asvg:svgBlip xmlns:asvg="http://schemas.microsoft.com/office/drawing/2016/SVG/main" r:embed="rId16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12.00pt;height:18.00pt;mso-wrap-distance-left:0.00pt;mso-wrap-distance-top:0.00pt;mso-wrap-distance-right:0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  <w:t xml:space="preserve"> - цена единицы товара, работы, услуг представленная в источнике с номером </w:t>
      </w:r>
      <w:r>
        <w:rPr>
          <w:rFonts w:ascii="Times New Roman" w:hAnsi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725" cy="161925"/>
                <wp:effectExtent l="0" t="0" r="9525" b="9525"/>
                <wp:docPr id="7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85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6.75pt;height:12.75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  <w:t xml:space="preserve">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В целях определения однородности совокупности значений цен, используемых в расчете начальной (максимальной) цены контракта, определен коэффициент вариации цен по следующей формуле: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  <w:outlineLvl w:val="0"/>
      </w:pPr>
      <w:r>
        <w:rPr>
          <w:rFonts w:ascii="Times New Roman" w:hAnsi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57375" cy="581025"/>
                <wp:effectExtent l="0" t="0" r="9525" b="0"/>
                <wp:docPr id="8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 bwMode="auto">
                        <a:xfrm>
                          <a:off x="0" y="0"/>
                          <a:ext cx="18573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146.25pt;height:45.75pt;mso-wrap-distance-left:0.00pt;mso-wrap-distance-top:0.00pt;mso-wrap-distance-right:0.00pt;mso-wrap-distance-bottom:0.00pt;z-index:1;" stroked="f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где: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  <w:outlineLvl w:val="0"/>
      </w:pPr>
      <w:r>
        <w:rPr>
          <w:rFonts w:ascii="Times New Roman" w:hAnsi="Times New Roman"/>
          <w:sz w:val="20"/>
          <w:szCs w:val="20"/>
          <w:lang w:eastAsia="ru-RU"/>
        </w:rPr>
        <w:t xml:space="preserve">V – коэффициент вариации,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fldChar w:fldCharType="begin"/>
      </w:r>
      <w:r>
        <w:rPr>
          <w:rFonts w:ascii="Times New Roman" w:hAnsi="Times New Roman"/>
          <w:sz w:val="20"/>
          <w:szCs w:val="20"/>
          <w:lang w:eastAsia="ru-RU"/>
        </w:rPr>
        <w:instrText xml:space="preserve"> QUOTE </w:instrText>
      </w:r>
      <w:r>
        <w:rPr>
          <w:rFonts w:ascii="Times New Roman" w:hAnsi="Times New Roman"/>
          <w:position w:val="-45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52550" cy="609600"/>
                <wp:effectExtent l="0" t="0" r="0" b="0"/>
                <wp:docPr id="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 bwMode="auto">
                        <a:xfrm>
                          <a:off x="0" y="0"/>
                          <a:ext cx="13525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106.50pt;height:48.00pt;mso-wrap-distance-left:0.00pt;mso-wrap-distance-top:0.00pt;mso-wrap-distance-right:0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  <w:instrText xml:space="preserve"> </w:instrText>
      </w:r>
      <w:r>
        <w:rPr>
          <w:rFonts w:ascii="Times New Roman" w:hAnsi="Times New Roman"/>
          <w:sz w:val="20"/>
          <w:szCs w:val="20"/>
          <w:lang w:eastAsia="ru-RU"/>
        </w:rPr>
        <w:fldChar w:fldCharType="separate"/>
      </w:r>
      <w:r>
        <w:rPr>
          <w:rFonts w:ascii="Times New Roman" w:hAnsi="Times New Roman"/>
          <w:position w:val="-45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52550" cy="609600"/>
                <wp:effectExtent l="0" t="0" r="0" b="0"/>
                <wp:docPr id="1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/>
                      </pic:blipFill>
                      <pic:spPr bwMode="auto">
                        <a:xfrm>
                          <a:off x="0" y="0"/>
                          <a:ext cx="13525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106.50pt;height:48.00pt;mso-wrap-distance-left:0.00pt;mso-wrap-distance-top:0.00pt;mso-wrap-distance-right:0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  <w:lang w:eastAsia="ru-RU"/>
        </w:rPr>
        <w:fldChar w:fldCharType="end"/>
      </w:r>
      <w:r>
        <w:rPr>
          <w:rFonts w:ascii="Times New Roman" w:hAnsi="Times New Roman"/>
          <w:sz w:val="20"/>
          <w:szCs w:val="20"/>
          <w:lang w:eastAsia="ru-RU"/>
        </w:rPr>
        <w:t xml:space="preserve"> – среднеквадратичное отклонение,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цi</w:t>
      </w:r>
      <w:r>
        <w:rPr>
          <w:rFonts w:ascii="Times New Roman" w:hAnsi="Times New Roman"/>
          <w:sz w:val="20"/>
          <w:szCs w:val="20"/>
          <w:lang w:eastAsia="ru-RU"/>
        </w:rPr>
        <w:t xml:space="preserve"> – цена товара, указанная в источнике с номером i,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ц – средняя арифметическая величина цены товара,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n – количество значений, используемых в расчете.</w:t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"/>
        <w:gridCol w:w="1329"/>
        <w:gridCol w:w="534"/>
        <w:gridCol w:w="600"/>
        <w:gridCol w:w="1134"/>
        <w:gridCol w:w="1134"/>
        <w:gridCol w:w="1276"/>
        <w:gridCol w:w="1134"/>
        <w:gridCol w:w="850"/>
        <w:gridCol w:w="1102"/>
      </w:tblGrid>
      <w:tr>
        <w:tblPrEx/>
        <w:trPr>
          <w:trHeight w:val="616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4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3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товара (работ, услуг)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6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 информации и цена за единицу 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(с учётом НДС), рублей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арифметическая цена единицы товара (работы, услуги), рублей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Предельные объемы бюджетных ассигнований на реализацию данного 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НМЦК, рублей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825"/>
        </w:trPr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42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32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60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КП 1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КП 2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КП 3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0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397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20" w:type="dxa"/>
            <w:vAlign w:val="center"/>
            <w:textDirection w:val="lrTb"/>
            <w:noWrap w:val="false"/>
          </w:tcPr>
          <w:p>
            <w:pPr>
              <w:pStyle w:val="830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32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Проведение диагностики беспилотного воздушного судна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ГЕОСКАН GEMINI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штук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600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53430,00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70000,00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73200,00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65543,33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53430,00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0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53430,00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585"/>
        </w:trPr>
        <w:tc>
          <w:tcPr>
            <w:gridSpan w:val="9"/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one" w:color="000000" w:sz="4" w:space="0"/>
            </w:tcBorders>
            <w:tcW w:w="8411" w:type="dxa"/>
            <w:vAlign w:val="center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услуг, рублей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1102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53 430,00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firstLine="720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Коэффициент вариации цены на </w:t>
      </w:r>
      <w:r>
        <w:rPr>
          <w:rFonts w:ascii="Times New Roman" w:hAnsi="Times New Roman" w:eastAsia="Calibri"/>
          <w:b/>
          <w:color w:val="7030a0"/>
          <w:spacing w:val="-5"/>
          <w:sz w:val="20"/>
          <w:szCs w:val="20"/>
        </w:rPr>
        <w:t xml:space="preserve">услуги по диагностике БВС</w:t>
      </w:r>
      <w:r>
        <w:rPr>
          <w:rFonts w:ascii="Times New Roman" w:hAnsi="Times New Roman"/>
          <w:color w:val="0070c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не превышает 33%, поэтому в соответствии с пунктом 3.20.2 Рекомендаций, совокупность значений, используемых в расчете, считается однородной.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С учетом предельных объемов бюджетных ассигнований на реализацию данного мероприятия,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НМЦК устанавливается равной </w:t>
      </w:r>
      <w:bookmarkStart w:id="0" w:name="_GoBack"/>
      <w:r/>
      <w:bookmarkEnd w:id="0"/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53 430 рублей 00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копеек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НМЦК включает все расходы, которые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может понести Исполнитель при осуществлении им своих обязательств в полном объеме и надлежащего качества, в том числе все подлежащие уплате налоги, сборы и другие обязательные платежи, а также иные расходы, связанные исполнением государственного контракта.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ind w:right="-426"/>
        <w:spacing w:after="0" w:line="240" w:lineRule="auto"/>
        <w:rPr>
          <w:rFonts w:ascii="Times New Roman" w:hAnsi="Times New Roman"/>
          <w:sz w:val="20"/>
          <w:szCs w:val="20"/>
          <w:lang w:eastAsia="ar-SA"/>
        </w:rPr>
        <w:pBdr>
          <w:top w:val="single" w:color="000000" w:sz="4" w:space="0"/>
        </w:pBdr>
      </w:pPr>
      <w:r>
        <w:rPr>
          <w:rFonts w:ascii="Times New Roman" w:hAnsi="Times New Roman"/>
          <w:sz w:val="20"/>
          <w:szCs w:val="20"/>
          <w:lang w:eastAsia="ru-RU"/>
        </w:rPr>
        <w:t xml:space="preserve">Сотрудник </w:t>
      </w:r>
      <w:r>
        <w:rPr>
          <w:rFonts w:ascii="Times New Roman" w:hAnsi="Times New Roman"/>
          <w:sz w:val="20"/>
          <w:szCs w:val="20"/>
          <w:lang w:eastAsia="ru-RU"/>
        </w:rPr>
        <w:t xml:space="preserve">к</w:t>
      </w:r>
      <w:r>
        <w:rPr>
          <w:rFonts w:ascii="Times New Roman" w:hAnsi="Times New Roman"/>
          <w:sz w:val="20"/>
          <w:szCs w:val="20"/>
          <w:lang w:eastAsia="ru-RU"/>
        </w:rPr>
        <w:t xml:space="preserve">онтрактн</w:t>
      </w:r>
      <w:r>
        <w:rPr>
          <w:rFonts w:ascii="Times New Roman" w:hAnsi="Times New Roman"/>
          <w:sz w:val="20"/>
          <w:szCs w:val="20"/>
          <w:lang w:eastAsia="ru-RU"/>
        </w:rPr>
        <w:t xml:space="preserve">ой службы</w:t>
      </w:r>
      <w:r>
        <w:rPr>
          <w:rFonts w:ascii="Times New Roman" w:hAnsi="Times New Roman"/>
          <w:sz w:val="20"/>
          <w:szCs w:val="20"/>
          <w:lang w:eastAsia="ru-RU"/>
        </w:rPr>
        <w:t xml:space="preserve">:</w:t>
      </w:r>
      <w:r>
        <w:rPr>
          <w:rFonts w:ascii="Times New Roman" w:hAnsi="Times New Roman"/>
          <w:sz w:val="20"/>
          <w:szCs w:val="20"/>
          <w:lang w:eastAsia="ar-SA"/>
        </w:rPr>
      </w:r>
      <w:r>
        <w:rPr>
          <w:rFonts w:ascii="Times New Roman" w:hAnsi="Times New Roman"/>
          <w:sz w:val="20"/>
          <w:szCs w:val="20"/>
          <w:lang w:eastAsia="ar-SA"/>
        </w:rPr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42"/>
        <w:gridCol w:w="255"/>
        <w:gridCol w:w="1985"/>
        <w:gridCol w:w="340"/>
        <w:gridCol w:w="397"/>
        <w:gridCol w:w="141"/>
        <w:gridCol w:w="312"/>
        <w:gridCol w:w="850"/>
        <w:gridCol w:w="1815"/>
        <w:gridCol w:w="142"/>
        <w:gridCol w:w="7"/>
        <w:gridCol w:w="276"/>
      </w:tblGrid>
      <w:tr>
        <w:tblPrEx/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832" w:type="dxa"/>
            <w:vAlign w:val="bottom"/>
            <w:textDirection w:val="lrTb"/>
            <w:noWrap w:val="false"/>
          </w:tcPr>
          <w:p>
            <w:pPr>
              <w:ind w:right="-28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Заместитель начальника отдела финансово-экономического и материально-технического обеспечения Управления Федеральной службы государственной регистрации, кадастра и картографии по Амурской обл.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32" w:type="dxa"/>
            <w:textDirection w:val="lrTb"/>
            <w:noWrap w:val="false"/>
          </w:tcPr>
          <w:p>
            <w:pPr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gridAfter w:val="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289" w:type="dxa"/>
            <w:vAlign w:val="bottom"/>
            <w:textDirection w:val="lrTb"/>
            <w:noWrap w:val="false"/>
          </w:tcPr>
          <w:p>
            <w:pPr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Н.Н. Самсель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" w:type="dxa"/>
            <w:vAlign w:val="bottom"/>
            <w:textDirection w:val="lrTb"/>
            <w:noWrap w:val="false"/>
          </w:tcPr>
          <w:p>
            <w:pPr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49" w:type="dxa"/>
            <w:textDirection w:val="lrTb"/>
            <w:noWrap w:val="false"/>
          </w:tcPr>
          <w:p>
            <w:pPr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(подпись/расшифровка подписи)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>
          <w:gridAfter w:val="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212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”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11 августа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2026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jc w:val="both"/>
        <w:spacing w:after="0" w:line="240" w:lineRule="auto"/>
        <w:tabs>
          <w:tab w:val="left" w:pos="13438" w:leader="none"/>
        </w:tabs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4"/>
    <w:link w:val="831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34"/>
    <w:link w:val="832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834"/>
    <w:link w:val="833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4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4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4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4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4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4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0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character" w:styleId="673">
    <w:name w:val="Title Char"/>
    <w:basedOn w:val="834"/>
    <w:link w:val="84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34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34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34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35"/>
  </w:style>
  <w:style w:type="table" w:styleId="686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4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4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paragraph" w:styleId="831">
    <w:name w:val="Heading 1"/>
    <w:basedOn w:val="830"/>
    <w:next w:val="830"/>
    <w:link w:val="837"/>
    <w:uiPriority w:val="9"/>
    <w:qFormat/>
    <w:pPr>
      <w:jc w:val="center"/>
      <w:keepNext/>
      <w:outlineLvl w:val="0"/>
    </w:pPr>
    <w:rPr>
      <w:b/>
      <w:sz w:val="28"/>
    </w:rPr>
  </w:style>
  <w:style w:type="paragraph" w:styleId="832">
    <w:name w:val="Heading 2"/>
    <w:basedOn w:val="830"/>
    <w:next w:val="830"/>
    <w:link w:val="838"/>
    <w:uiPriority w:val="9"/>
    <w:qFormat/>
    <w:pPr>
      <w:jc w:val="both"/>
      <w:keepNext/>
      <w:outlineLvl w:val="1"/>
    </w:pPr>
    <w:rPr>
      <w:sz w:val="28"/>
    </w:rPr>
  </w:style>
  <w:style w:type="paragraph" w:styleId="833">
    <w:name w:val="Heading 3"/>
    <w:basedOn w:val="830"/>
    <w:next w:val="830"/>
    <w:link w:val="839"/>
    <w:uiPriority w:val="9"/>
    <w:qFormat/>
    <w:pPr>
      <w:keepNext/>
      <w:outlineLvl w:val="2"/>
    </w:pPr>
    <w:rPr>
      <w:sz w:val="28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 w:customStyle="1">
    <w:name w:val="Заголовок 1 Знак"/>
    <w:basedOn w:val="834"/>
    <w:link w:val="831"/>
    <w:rPr>
      <w:b/>
      <w:sz w:val="28"/>
      <w:lang w:eastAsia="ru-RU"/>
    </w:rPr>
  </w:style>
  <w:style w:type="character" w:styleId="838" w:customStyle="1">
    <w:name w:val="Заголовок 2 Знак"/>
    <w:basedOn w:val="834"/>
    <w:link w:val="832"/>
    <w:rPr>
      <w:sz w:val="28"/>
      <w:lang w:eastAsia="ru-RU"/>
    </w:rPr>
  </w:style>
  <w:style w:type="character" w:styleId="839" w:customStyle="1">
    <w:name w:val="Заголовок 3 Знак"/>
    <w:basedOn w:val="834"/>
    <w:link w:val="833"/>
    <w:rPr>
      <w:sz w:val="28"/>
      <w:lang w:eastAsia="ru-RU"/>
    </w:rPr>
  </w:style>
  <w:style w:type="paragraph" w:styleId="840" w:customStyle="1">
    <w:name w:val="StGen0"/>
    <w:basedOn w:val="830"/>
    <w:next w:val="842"/>
    <w:link w:val="841"/>
    <w:qFormat/>
    <w:pPr>
      <w:jc w:val="center"/>
    </w:pPr>
    <w:rPr>
      <w:b/>
      <w:sz w:val="28"/>
    </w:rPr>
  </w:style>
  <w:style w:type="character" w:styleId="841" w:customStyle="1">
    <w:name w:val="Название Знак"/>
    <w:link w:val="840"/>
    <w:rPr>
      <w:b/>
      <w:sz w:val="28"/>
    </w:rPr>
  </w:style>
  <w:style w:type="paragraph" w:styleId="842">
    <w:name w:val="Title"/>
    <w:basedOn w:val="830"/>
    <w:next w:val="830"/>
    <w:link w:val="843"/>
    <w:uiPriority w:val="10"/>
    <w:pPr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43" w:customStyle="1">
    <w:name w:val="Заголовок Знак"/>
    <w:basedOn w:val="834"/>
    <w:link w:val="842"/>
    <w:uiPriority w:val="10"/>
    <w:rPr>
      <w:rFonts w:asciiTheme="majorHAnsi" w:hAnsiTheme="majorHAnsi" w:eastAsiaTheme="majorEastAsia" w:cstheme="majorBidi"/>
      <w:spacing w:val="-10"/>
      <w:sz w:val="56"/>
      <w:szCs w:val="56"/>
      <w:lang w:eastAsia="ru-RU"/>
    </w:rPr>
  </w:style>
  <w:style w:type="paragraph" w:styleId="844">
    <w:name w:val="Balloon Text"/>
    <w:basedOn w:val="830"/>
    <w:link w:val="84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5" w:customStyle="1">
    <w:name w:val="Текст выноски Знак"/>
    <w:basedOn w:val="834"/>
    <w:link w:val="844"/>
    <w:uiPriority w:val="99"/>
    <w:semiHidden/>
    <w:rPr>
      <w:rFonts w:ascii="Segoe UI" w:hAnsi="Segoe UI" w:cs="Segoe UI"/>
      <w:sz w:val="18"/>
      <w:szCs w:val="18"/>
    </w:rPr>
  </w:style>
  <w:style w:type="paragraph" w:styleId="1_647" w:customStyle="1">
    <w:name w:val="Другое"/>
    <w:basedOn w:val="873"/>
    <w:next w:val="922"/>
    <w:link w:val="918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media1.svg"/><Relationship Id="rId10" Type="http://schemas.openxmlformats.org/officeDocument/2006/relationships/image" Target="media/image2.png"/><Relationship Id="rId11" Type="http://schemas.openxmlformats.org/officeDocument/2006/relationships/image" Target="media/media2.sv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media3.svg"/><Relationship Id="rId17" Type="http://schemas.openxmlformats.org/officeDocument/2006/relationships/image" Target="media/image7.png"/><Relationship Id="rId18" Type="http://schemas.openxmlformats.org/officeDocument/2006/relationships/image" Target="media/image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Организация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Самсель Наталья Николаевна</dc:creator>
  <cp:keywords/>
  <dc:description/>
  <cp:lastModifiedBy>samsel_nn</cp:lastModifiedBy>
  <cp:revision>19</cp:revision>
  <dcterms:created xsi:type="dcterms:W3CDTF">2022-02-14T04:28:00Z</dcterms:created>
  <dcterms:modified xsi:type="dcterms:W3CDTF">2026-08-11T05:30:38Z</dcterms:modified>
</cp:coreProperties>
</file>