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Договор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на оказание услуг №  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  <w:tab/>
        <w:tab/>
        <w:tab/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ИКЗ </w:t>
      </w:r>
      <w:r>
        <w:rPr>
          <w:rFonts w:ascii="Times New Roman" w:hAnsi="Times New Roman" w:eastAsia="Times New Roman" w:cs="Times New Roman"/>
          <w:color w:val="071440"/>
          <w:sz w:val="22"/>
          <w:szCs w:val="22"/>
          <w:highlight w:val="none"/>
        </w:rPr>
        <w:t xml:space="preserve">261280110040228010100100220000000000</w:t>
      </w: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        </w:t>
      </w:r>
      <w:r>
        <w:rPr>
          <w:sz w:val="22"/>
          <w:szCs w:val="22"/>
        </w:rPr>
        <w:tab/>
        <w:tab/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       </w: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ind w:firstLine="540"/>
        <w:jc w:val="center"/>
        <w:widowControl w:val="off"/>
        <w:rPr>
          <w:sz w:val="22"/>
          <w:szCs w:val="22"/>
        </w:rPr>
      </w:pPr>
      <w:r>
        <w:rPr>
          <w:i w:val="0"/>
          <w:iCs w:val="0"/>
          <w:sz w:val="22"/>
          <w:szCs w:val="22"/>
        </w:rPr>
        <w:t xml:space="preserve">КБК </w:t>
      </w:r>
      <w:r>
        <w:rPr>
          <w:i w:val="0"/>
          <w:iCs w:val="0"/>
          <w:sz w:val="22"/>
          <w:szCs w:val="22"/>
        </w:rPr>
        <w:t xml:space="preserve">321 </w:t>
      </w:r>
      <w:r>
        <w:rPr>
          <w:i w:val="0"/>
          <w:iCs w:val="0"/>
          <w:sz w:val="22"/>
          <w:szCs w:val="22"/>
        </w:rPr>
        <w:t xml:space="preserve">0412 54 4 01 90019 244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</w:t>
      </w:r>
      <w:r>
        <w:rPr>
          <w:sz w:val="22"/>
          <w:szCs w:val="22"/>
        </w:rPr>
        <w:t xml:space="preserve"> 2026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г.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Style w:val="873"/>
        <w:rPr>
          <w:rFonts w:eastAsia="Arial"/>
          <w:b/>
          <w:bCs/>
          <w:sz w:val="22"/>
          <w:szCs w:val="22"/>
        </w:rPr>
      </w:pPr>
      <w:r>
        <w:rPr>
          <w:rFonts w:eastAsia="Arial"/>
          <w:b/>
          <w:bCs/>
          <w:sz w:val="22"/>
          <w:szCs w:val="22"/>
        </w:rPr>
      </w:r>
      <w:r>
        <w:rPr>
          <w:rFonts w:eastAsia="Arial"/>
          <w:b/>
          <w:bCs/>
          <w:sz w:val="22"/>
          <w:szCs w:val="22"/>
        </w:rPr>
      </w:r>
      <w:r>
        <w:rPr>
          <w:rFonts w:eastAsia="Arial"/>
          <w:b/>
          <w:bCs/>
          <w:sz w:val="22"/>
          <w:szCs w:val="22"/>
        </w:rPr>
      </w:r>
    </w:p>
    <w:p>
      <w:pPr>
        <w:pStyle w:val="873"/>
        <w:ind w:firstLine="708"/>
        <w:jc w:val="both"/>
        <w:rPr>
          <w:sz w:val="22"/>
          <w:szCs w:val="22"/>
          <w:lang w:eastAsia="ru-RU"/>
        </w:rPr>
      </w:pPr>
      <w:r>
        <w:rPr>
          <w:rFonts w:eastAsia="Arial"/>
          <w:b/>
          <w:bCs/>
          <w:sz w:val="22"/>
          <w:szCs w:val="22"/>
        </w:rPr>
        <w:t xml:space="preserve">___________________________________</w:t>
      </w:r>
      <w:r>
        <w:rPr>
          <w:sz w:val="22"/>
          <w:szCs w:val="22"/>
        </w:rPr>
        <w:t xml:space="preserve">, с одной стороны, и</w:t>
      </w:r>
      <w:r>
        <w:rPr>
          <w:sz w:val="22"/>
          <w:szCs w:val="22"/>
        </w:rPr>
        <w:t xml:space="preserve"> Управление Федеральной службы государственной регистрации, кадастра и картографии по Аму</w:t>
      </w:r>
      <w:r>
        <w:rPr>
          <w:sz w:val="22"/>
          <w:szCs w:val="22"/>
        </w:rPr>
        <w:t xml:space="preserve">р</w:t>
      </w:r>
      <w:r>
        <w:rPr>
          <w:sz w:val="22"/>
          <w:szCs w:val="22"/>
        </w:rPr>
        <w:t xml:space="preserve">ской области, именуемое в дальнейшем «Заказчик», в лице  руководителя Москалёвой Светланы Владимировны, действу</w:t>
      </w:r>
      <w:r>
        <w:rPr>
          <w:sz w:val="22"/>
          <w:szCs w:val="22"/>
        </w:rPr>
        <w:t xml:space="preserve">ю</w:t>
      </w:r>
      <w:r>
        <w:rPr>
          <w:sz w:val="22"/>
          <w:szCs w:val="22"/>
        </w:rPr>
        <w:t xml:space="preserve">щего на основании Положения и приказа от 06.05.2020 №94-к, </w:t>
      </w:r>
      <w:r>
        <w:rPr>
          <w:sz w:val="22"/>
          <w:szCs w:val="22"/>
        </w:rPr>
        <w:t xml:space="preserve">с другой стороны, </w:t>
      </w:r>
      <w:r>
        <w:rPr>
          <w:sz w:val="22"/>
          <w:szCs w:val="22"/>
        </w:rPr>
        <w:t xml:space="preserve">в дал</w:t>
      </w:r>
      <w:r>
        <w:rPr>
          <w:sz w:val="22"/>
          <w:szCs w:val="22"/>
        </w:rPr>
        <w:t xml:space="preserve">ь</w:t>
      </w:r>
      <w:r>
        <w:rPr>
          <w:sz w:val="22"/>
          <w:szCs w:val="22"/>
        </w:rPr>
        <w:t xml:space="preserve">нейшем вместе именуемые – «Стороны», и каждый в отдельности «Сторона», </w:t>
      </w:r>
      <w:r>
        <w:rPr>
          <w:sz w:val="22"/>
          <w:szCs w:val="22"/>
          <w:lang w:eastAsia="ru-RU"/>
        </w:rPr>
        <w:t xml:space="preserve">в соответствии с </w:t>
      </w:r>
      <w:r>
        <w:rPr>
          <w:sz w:val="22"/>
          <w:szCs w:val="22"/>
        </w:rPr>
        <w:t xml:space="preserve"> пунктом 4 части 1 статьи 93</w:t>
      </w:r>
      <w:r>
        <w:rPr>
          <w:sz w:val="22"/>
          <w:szCs w:val="22"/>
          <w:lang w:eastAsia="ru-RU"/>
        </w:rPr>
        <w:t xml:space="preserve"> Федерального закона от 05.04.2013 N 44-ФЗ "О Контрак</w:t>
      </w:r>
      <w:r>
        <w:rPr>
          <w:sz w:val="22"/>
          <w:szCs w:val="22"/>
          <w:lang w:eastAsia="ru-RU"/>
        </w:rPr>
        <w:t xml:space="preserve">т</w:t>
      </w:r>
      <w:r>
        <w:rPr>
          <w:sz w:val="22"/>
          <w:szCs w:val="22"/>
          <w:lang w:eastAsia="ru-RU"/>
        </w:rPr>
        <w:t xml:space="preserve">ной системе в сфере закупок товаров, работ, услуг для обеспечения государственных и муниципальных нужд" заключили настоящий Договор (далее - Договор) о нижеследу</w:t>
      </w:r>
      <w:r>
        <w:rPr>
          <w:sz w:val="22"/>
          <w:szCs w:val="22"/>
          <w:lang w:eastAsia="ru-RU"/>
        </w:rPr>
        <w:t xml:space="preserve">ю</w:t>
      </w:r>
      <w:r>
        <w:rPr>
          <w:sz w:val="22"/>
          <w:szCs w:val="22"/>
          <w:lang w:eastAsia="ru-RU"/>
        </w:rPr>
        <w:t xml:space="preserve">щем</w:t>
      </w:r>
      <w:r>
        <w:rPr>
          <w:sz w:val="22"/>
          <w:szCs w:val="22"/>
        </w:rPr>
        <w:t xml:space="preserve">:</w:t>
      </w:r>
      <w:r>
        <w:rPr>
          <w:sz w:val="22"/>
          <w:szCs w:val="22"/>
          <w:lang w:eastAsia="ru-RU"/>
        </w:rPr>
      </w:r>
      <w:r>
        <w:rPr>
          <w:sz w:val="22"/>
          <w:szCs w:val="22"/>
          <w:lang w:eastAsia="ru-RU"/>
        </w:rPr>
      </w:r>
    </w:p>
    <w:p>
      <w:pPr>
        <w:pStyle w:val="873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1. Предмет договора.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По поручению Заказчика Исполнитель принимает на себя обязанности по приему и проведению </w:t>
      </w:r>
      <w:r>
        <w:rPr>
          <w:sz w:val="22"/>
          <w:szCs w:val="22"/>
        </w:rPr>
        <w:t xml:space="preserve">диагностики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беспилотного воздушного судна </w:t>
      </w:r>
      <w:r>
        <w:rPr>
          <w:sz w:val="22"/>
          <w:szCs w:val="22"/>
          <w:lang w:val="en-US" w:eastAsia="en-US"/>
        </w:rPr>
        <w:t xml:space="preserve">Geoscan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val="en-US" w:eastAsia="en-US"/>
        </w:rPr>
        <w:t xml:space="preserve">Gemini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 xml:space="preserve">(далее Оборудования), а Заказчик обязуется передать Об</w:t>
      </w:r>
      <w:r>
        <w:rPr>
          <w:sz w:val="22"/>
          <w:szCs w:val="22"/>
        </w:rPr>
        <w:t xml:space="preserve">орудование Исполнителю и после оказания услуг</w:t>
      </w:r>
      <w:r>
        <w:rPr>
          <w:sz w:val="22"/>
          <w:szCs w:val="22"/>
        </w:rPr>
        <w:t xml:space="preserve"> принять Оборудование и оплатить оказанные услуги.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jc w:val="both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1.2. Проведение диагностики Оборудования - беспилотного воздушного судна </w:t>
      </w:r>
      <w:r>
        <w:rPr>
          <w:sz w:val="22"/>
          <w:szCs w:val="22"/>
          <w:lang w:val="en-US" w:eastAsia="en-US"/>
        </w:rPr>
        <w:t xml:space="preserve">Geoscan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val="en-US" w:eastAsia="en-US"/>
        </w:rPr>
        <w:t xml:space="preserve">Gemini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 xml:space="preserve">проводиться с целью определения технического состояния и ремонтопригодности после повреждения.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</w:rPr>
        <w:t xml:space="preserve">1.3. Срок </w:t>
      </w:r>
      <w:r>
        <w:rPr>
          <w:sz w:val="22"/>
          <w:szCs w:val="22"/>
        </w:rPr>
        <w:t xml:space="preserve">оказания услуг </w:t>
      </w:r>
      <w:r>
        <w:rPr>
          <w:sz w:val="22"/>
          <w:szCs w:val="22"/>
        </w:rPr>
        <w:t xml:space="preserve">Исполнителем по </w:t>
      </w:r>
      <w:r>
        <w:rPr>
          <w:sz w:val="22"/>
          <w:szCs w:val="22"/>
        </w:rPr>
        <w:t xml:space="preserve">диагностике</w:t>
      </w:r>
      <w:r>
        <w:rPr>
          <w:sz w:val="22"/>
          <w:szCs w:val="22"/>
        </w:rPr>
        <w:t xml:space="preserve"> Оборудования составляет </w:t>
      </w:r>
      <w:r>
        <w:rPr>
          <w:sz w:val="22"/>
          <w:szCs w:val="22"/>
        </w:rPr>
        <w:t xml:space="preserve">45</w:t>
      </w:r>
      <w:r>
        <w:rPr>
          <w:sz w:val="22"/>
          <w:szCs w:val="22"/>
        </w:rPr>
        <w:t xml:space="preserve"> календарных</w:t>
      </w:r>
      <w:r>
        <w:rPr>
          <w:sz w:val="22"/>
          <w:szCs w:val="22"/>
        </w:rPr>
        <w:t xml:space="preserve"> дней с момента </w:t>
      </w:r>
      <w:r>
        <w:rPr>
          <w:sz w:val="22"/>
          <w:szCs w:val="22"/>
        </w:rPr>
        <w:t xml:space="preserve">заключения договора. Срок включает в себя оказание услуг по диагностике </w:t>
      </w:r>
      <w:r>
        <w:rPr>
          <w:sz w:val="22"/>
          <w:szCs w:val="22"/>
        </w:rPr>
        <w:t xml:space="preserve">Оборудования</w:t>
      </w:r>
      <w:r>
        <w:rPr>
          <w:sz w:val="22"/>
          <w:szCs w:val="22"/>
        </w:rPr>
        <w:t xml:space="preserve">, доставке Оборудования к месту оказания услуг от места нахождения Заказчика до Исполнителя и обратно </w:t>
      </w:r>
      <w:r>
        <w:rPr>
          <w:sz w:val="22"/>
          <w:szCs w:val="22"/>
        </w:rPr>
        <w:t xml:space="preserve">Исполнител</w:t>
      </w:r>
      <w:r>
        <w:rPr>
          <w:sz w:val="22"/>
          <w:szCs w:val="22"/>
        </w:rPr>
        <w:t xml:space="preserve">я</w:t>
      </w:r>
      <w:r>
        <w:rPr>
          <w:sz w:val="22"/>
          <w:szCs w:val="22"/>
        </w:rPr>
        <w:t xml:space="preserve">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87"/>
        <w:jc w:val="center"/>
      </w:pPr>
      <w:r>
        <w:rPr>
          <w:b/>
        </w:rPr>
        <w:t xml:space="preserve">2. Обязанности сторон.</w:t>
      </w:r>
      <w:r/>
    </w:p>
    <w:p>
      <w:pPr>
        <w:pStyle w:val="887"/>
      </w:pPr>
      <w:r>
        <w:t xml:space="preserve">2.1. </w:t>
      </w:r>
      <w:r>
        <w:rPr>
          <w:u w:val="single"/>
        </w:rPr>
        <w:t xml:space="preserve">Исполнитель</w:t>
      </w:r>
      <w:r>
        <w:t xml:space="preserve"> обязан:</w:t>
      </w:r>
      <w:r/>
    </w:p>
    <w:p>
      <w:pPr>
        <w:pStyle w:val="887"/>
      </w:pPr>
      <w:r>
        <w:t xml:space="preserve">- осуществить прием Оборудования у Заказчика с обязательным составлением Акта приема-передачи (расписки о приёме), подписанного обеими сторонами. Акт приема-передачи возвращается Исполнителю, при получении Оборудования Заказчиком.</w:t>
      </w:r>
      <w:r/>
    </w:p>
    <w:p>
      <w:pPr>
        <w:pStyle w:val="87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произвести </w:t>
      </w:r>
      <w:r>
        <w:rPr>
          <w:sz w:val="22"/>
          <w:szCs w:val="22"/>
        </w:rPr>
        <w:t xml:space="preserve">диагностику</w:t>
      </w:r>
      <w:r>
        <w:rPr>
          <w:sz w:val="22"/>
          <w:szCs w:val="22"/>
        </w:rPr>
        <w:t xml:space="preserve"> Оборудования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выдать техническое заключение о неремонтопригодности Оборудования, в случае экономической нецелесообразности проведения ремонта или отсутствия запасных частей</w:t>
      </w:r>
      <w:r>
        <w:rPr>
          <w:sz w:val="22"/>
          <w:szCs w:val="22"/>
        </w:rPr>
        <w:t xml:space="preserve">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в случае ремонтопригодности предоставить заказчику дефектную ведомость</w:t>
      </w:r>
      <w:r>
        <w:rPr>
          <w:sz w:val="22"/>
          <w:szCs w:val="22"/>
        </w:rPr>
        <w:t xml:space="preserve"> (перечень)</w:t>
      </w:r>
      <w:r>
        <w:rPr>
          <w:sz w:val="22"/>
          <w:szCs w:val="22"/>
        </w:rPr>
        <w:t xml:space="preserve"> запасных частей и оказываемых услуг необходимых для ремонта Оборудования;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осуществить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доставку Оборудования после </w:t>
      </w:r>
      <w:r>
        <w:rPr>
          <w:sz w:val="22"/>
          <w:szCs w:val="22"/>
        </w:rPr>
        <w:t xml:space="preserve">диагностики </w:t>
      </w:r>
      <w:r>
        <w:rPr>
          <w:sz w:val="22"/>
          <w:szCs w:val="22"/>
        </w:rPr>
        <w:t xml:space="preserve">Заказчику</w:t>
      </w:r>
      <w:r>
        <w:rPr>
          <w:sz w:val="22"/>
          <w:szCs w:val="22"/>
        </w:rPr>
        <w:t xml:space="preserve">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риск случайной гибели или случайного повреждения оборудования несет Исполнитель.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</w:t>
      </w:r>
      <w:r>
        <w:rPr>
          <w:sz w:val="22"/>
          <w:szCs w:val="22"/>
          <w:u w:val="single"/>
        </w:rPr>
        <w:t xml:space="preserve">Заказчик </w:t>
      </w:r>
      <w:r>
        <w:rPr>
          <w:sz w:val="22"/>
          <w:szCs w:val="22"/>
        </w:rPr>
        <w:t xml:space="preserve">обязан: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передать Оборудование Исполнителю.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оплатить </w:t>
      </w:r>
      <w:r>
        <w:rPr>
          <w:sz w:val="22"/>
          <w:szCs w:val="22"/>
        </w:rPr>
        <w:t xml:space="preserve">по счету </w:t>
      </w:r>
      <w:r>
        <w:rPr>
          <w:sz w:val="22"/>
          <w:szCs w:val="22"/>
        </w:rPr>
        <w:t xml:space="preserve">Исполнителю </w:t>
      </w:r>
      <w:r>
        <w:rPr>
          <w:sz w:val="22"/>
          <w:szCs w:val="22"/>
        </w:rPr>
        <w:t xml:space="preserve">услуги на основании подписанного акта оказанных услуг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после проведения </w:t>
      </w:r>
      <w:r>
        <w:rPr>
          <w:sz w:val="22"/>
          <w:szCs w:val="22"/>
        </w:rPr>
        <w:t xml:space="preserve">диагностики </w:t>
      </w:r>
      <w:r>
        <w:rPr>
          <w:sz w:val="22"/>
          <w:szCs w:val="22"/>
        </w:rPr>
        <w:t xml:space="preserve">принять Оборудование от Исполнителя в соответствии с условиями настоящего договора.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3. Стоимость </w:t>
      </w:r>
      <w:r>
        <w:rPr>
          <w:b/>
          <w:sz w:val="22"/>
          <w:szCs w:val="22"/>
        </w:rPr>
        <w:t xml:space="preserve">услуг</w:t>
      </w:r>
      <w:r>
        <w:rPr>
          <w:b/>
          <w:sz w:val="22"/>
          <w:szCs w:val="22"/>
        </w:rPr>
        <w:t xml:space="preserve"> и порядок расчета.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widowControl w:val="off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              3.1. Цена настоящего Договора составляет</w:t>
      </w:r>
      <w:r>
        <w:rPr>
          <w:b/>
          <w:sz w:val="22"/>
          <w:szCs w:val="22"/>
          <w:lang w:eastAsia="ru-RU"/>
        </w:rPr>
        <w:t xml:space="preserve">: 53 430 руб. 00 коп.</w:t>
      </w:r>
      <w:r>
        <w:rPr>
          <w:sz w:val="22"/>
          <w:szCs w:val="22"/>
          <w:lang w:eastAsia="ru-RU"/>
        </w:rPr>
        <w:t xml:space="preserve">, НДС не облагае</w:t>
      </w:r>
      <w:r>
        <w:rPr>
          <w:sz w:val="22"/>
          <w:szCs w:val="22"/>
          <w:lang w:eastAsia="ru-RU"/>
        </w:rPr>
        <w:t xml:space="preserve">т</w:t>
      </w:r>
      <w:r>
        <w:rPr>
          <w:sz w:val="22"/>
          <w:szCs w:val="22"/>
          <w:lang w:eastAsia="ru-RU"/>
        </w:rPr>
        <w:t xml:space="preserve">ся.</w:t>
      </w:r>
      <w:r>
        <w:rPr>
          <w:sz w:val="22"/>
          <w:szCs w:val="22"/>
          <w:lang w:eastAsia="ru-RU"/>
        </w:rPr>
      </w:r>
      <w:r>
        <w:rPr>
          <w:sz w:val="22"/>
          <w:szCs w:val="22"/>
          <w:lang w:eastAsia="ru-RU"/>
        </w:rPr>
      </w:r>
    </w:p>
    <w:p>
      <w:pPr>
        <w:pStyle w:val="873"/>
        <w:contextualSpacing/>
        <w:ind w:firstLine="539"/>
        <w:jc w:val="both"/>
        <w:widowControl w:val="off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  3.2. Цена настоящего Дог</w:t>
      </w:r>
      <w:r>
        <w:rPr>
          <w:sz w:val="22"/>
          <w:szCs w:val="22"/>
          <w:lang w:eastAsia="ru-RU"/>
        </w:rPr>
        <w:t xml:space="preserve">овора является твердой и определяется на весь срок исполнения Договора, за исключением случаев, установленных Федеральным законом от 5 апреля 2013 г. N 44-ФЗ "О контрактной системе в сфере закупок товаров, работ, услуг для обеспечения государственных и мун</w:t>
      </w:r>
      <w:r>
        <w:rPr>
          <w:sz w:val="22"/>
          <w:szCs w:val="22"/>
          <w:lang w:eastAsia="ru-RU"/>
        </w:rPr>
        <w:t xml:space="preserve">и</w:t>
      </w:r>
      <w:r>
        <w:rPr>
          <w:sz w:val="22"/>
          <w:szCs w:val="22"/>
          <w:lang w:eastAsia="ru-RU"/>
        </w:rPr>
        <w:t xml:space="preserve">ципальных нужд" и настоящим Договором.</w:t>
      </w:r>
      <w:r>
        <w:rPr>
          <w:sz w:val="22"/>
          <w:szCs w:val="22"/>
          <w:lang w:eastAsia="ru-RU"/>
        </w:rPr>
      </w:r>
      <w:r>
        <w:rPr>
          <w:sz w:val="22"/>
          <w:szCs w:val="22"/>
          <w:lang w:eastAsia="ru-RU"/>
        </w:rPr>
      </w:r>
    </w:p>
    <w:p>
      <w:pPr>
        <w:pStyle w:val="873"/>
        <w:ind w:firstLine="539"/>
        <w:jc w:val="both"/>
        <w:keepLines/>
        <w:keepNext/>
        <w:rPr>
          <w:bCs/>
          <w:sz w:val="22"/>
          <w:szCs w:val="22"/>
        </w:rPr>
        <w:outlineLvl w:val="1"/>
      </w:pPr>
      <w:r>
        <w:rPr>
          <w:sz w:val="22"/>
          <w:szCs w:val="22"/>
        </w:rPr>
        <w:t xml:space="preserve">В цену оказания услуг включены: </w:t>
      </w:r>
      <w:r>
        <w:rPr>
          <w:sz w:val="22"/>
          <w:szCs w:val="22"/>
        </w:rPr>
        <w:t xml:space="preserve">включены стоимость услуг, все расходы Исполнителя, связанные с оказанием услуг, расходы на стр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хование, все налоги, таможенные и другие пошлины, обязательные и прочие платежи, которые Исполнитель должен оплачивать в ходе оказания услуг, а также предпринимательский риск повышения/понижения цены услуги, другие ра</w:t>
      </w:r>
      <w:r>
        <w:rPr>
          <w:sz w:val="22"/>
          <w:szCs w:val="22"/>
        </w:rPr>
        <w:t xml:space="preserve">с</w:t>
      </w:r>
      <w:r>
        <w:rPr>
          <w:sz w:val="22"/>
          <w:szCs w:val="22"/>
        </w:rPr>
        <w:t xml:space="preserve">ходы, связанные с исполнением настоящего контракта. Также в стоимость оказания услуг включены услуги по доставке Оборудования к месту оказания услуг от места нахождения Заказчика до Исполнителя и обратно.  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873"/>
        <w:ind w:firstLine="540"/>
        <w:jc w:val="both"/>
        <w:widowControl w:val="off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3.3. Источник финансирования настоящего Договора – средства федерального бюджета.</w:t>
      </w:r>
      <w:r>
        <w:rPr>
          <w:sz w:val="22"/>
          <w:szCs w:val="22"/>
          <w:lang w:eastAsia="ru-RU"/>
        </w:rPr>
      </w:r>
      <w:r>
        <w:rPr>
          <w:sz w:val="22"/>
          <w:szCs w:val="22"/>
          <w:lang w:eastAsia="ru-RU"/>
        </w:rPr>
      </w:r>
    </w:p>
    <w:p>
      <w:pPr>
        <w:pStyle w:val="873"/>
        <w:ind w:firstLine="540"/>
        <w:jc w:val="both"/>
        <w:widowControl w:val="off"/>
        <w:rPr>
          <w:sz w:val="22"/>
          <w:szCs w:val="22"/>
          <w:u w:val="single"/>
          <w:lang w:eastAsia="ru-RU"/>
        </w:rPr>
      </w:pPr>
      <w:r>
        <w:rPr>
          <w:sz w:val="22"/>
          <w:szCs w:val="22"/>
          <w:lang w:eastAsia="ru-RU"/>
        </w:rPr>
        <w:t xml:space="preserve">3.4. Расчеты между Заказчиком и Исполнителем за оказанные услуги производятся в течении 7 рабочих дней с даты подписания Сторонами акта сдачи-приемки оказанных услуг.</w:t>
      </w:r>
      <w:r>
        <w:rPr>
          <w:sz w:val="22"/>
          <w:szCs w:val="22"/>
          <w:u w:val="single"/>
          <w:lang w:eastAsia="ru-RU"/>
        </w:rPr>
      </w:r>
      <w:r>
        <w:rPr>
          <w:sz w:val="22"/>
          <w:szCs w:val="22"/>
          <w:u w:val="single"/>
          <w:lang w:eastAsia="ru-RU"/>
        </w:rPr>
      </w:r>
    </w:p>
    <w:p>
      <w:pPr>
        <w:pStyle w:val="873"/>
        <w:ind w:firstLine="540"/>
        <w:jc w:val="both"/>
        <w:widowControl w:val="off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3.5. Оплата по настоящему Договору осуществляется за фактически оказанные услуги по безналичному расчету платежными поруч</w:t>
      </w:r>
      <w:r>
        <w:rPr>
          <w:sz w:val="22"/>
          <w:szCs w:val="22"/>
          <w:lang w:eastAsia="ru-RU"/>
        </w:rPr>
        <w:t xml:space="preserve">е</w:t>
      </w:r>
      <w:r>
        <w:rPr>
          <w:sz w:val="22"/>
          <w:szCs w:val="22"/>
          <w:lang w:eastAsia="ru-RU"/>
        </w:rPr>
        <w:t xml:space="preserve">ниями путем перечисления Заказчиком денежных средств на расчетный счет Исполнителя, указанный в настоящем Договоре. Аванс не предусмотрен. В случае изменения расчетного счета Исполнитель обязан в трехдневный срок с м</w:t>
      </w:r>
      <w:r>
        <w:rPr>
          <w:sz w:val="22"/>
          <w:szCs w:val="22"/>
          <w:lang w:eastAsia="ru-RU"/>
        </w:rPr>
        <w:t xml:space="preserve">о</w:t>
      </w:r>
      <w:r>
        <w:rPr>
          <w:sz w:val="22"/>
          <w:szCs w:val="22"/>
          <w:lang w:eastAsia="ru-RU"/>
        </w:rPr>
        <w:t xml:space="preserve">мента изменения расчетного счета в письменной форме сообщить об этом Заказчику, указав новые реквиз</w:t>
      </w:r>
      <w:r>
        <w:rPr>
          <w:sz w:val="22"/>
          <w:szCs w:val="22"/>
          <w:lang w:eastAsia="ru-RU"/>
        </w:rPr>
        <w:t xml:space="preserve">и</w:t>
      </w:r>
      <w:r>
        <w:rPr>
          <w:sz w:val="22"/>
          <w:szCs w:val="22"/>
          <w:lang w:eastAsia="ru-RU"/>
        </w:rPr>
        <w:t xml:space="preserve">ты расчетного счета. В противном случае все риски, связанные с перечислением Заказчиком денежных средств на указанный в настоящем Договоре счет Исполнителя, несет Испо</w:t>
      </w:r>
      <w:r>
        <w:rPr>
          <w:sz w:val="22"/>
          <w:szCs w:val="22"/>
          <w:lang w:eastAsia="ru-RU"/>
        </w:rPr>
        <w:t xml:space="preserve">л</w:t>
      </w:r>
      <w:r>
        <w:rPr>
          <w:sz w:val="22"/>
          <w:szCs w:val="22"/>
          <w:lang w:eastAsia="ru-RU"/>
        </w:rPr>
        <w:t xml:space="preserve">нитель.</w:t>
      </w:r>
      <w:r>
        <w:rPr>
          <w:sz w:val="22"/>
          <w:szCs w:val="22"/>
          <w:lang w:eastAsia="ru-RU"/>
        </w:rPr>
      </w:r>
      <w:r>
        <w:rPr>
          <w:sz w:val="22"/>
          <w:szCs w:val="22"/>
          <w:lang w:eastAsia="ru-RU"/>
        </w:rPr>
      </w:r>
    </w:p>
    <w:p>
      <w:pPr>
        <w:pStyle w:val="873"/>
        <w:ind w:firstLine="540"/>
        <w:jc w:val="both"/>
        <w:widowControl w:val="off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 xml:space="preserve">3.6. Срок исполнения договора – 06.11.2026</w:t>
      </w:r>
      <w:r>
        <w:rPr>
          <w:b/>
          <w:sz w:val="22"/>
          <w:szCs w:val="22"/>
          <w:lang w:eastAsia="ru-RU"/>
        </w:rPr>
        <w:t xml:space="preserve"> года.</w:t>
      </w:r>
      <w:r>
        <w:rPr>
          <w:b/>
          <w:sz w:val="22"/>
          <w:szCs w:val="22"/>
          <w:lang w:eastAsia="ru-RU"/>
        </w:rPr>
      </w:r>
      <w:r>
        <w:rPr>
          <w:b/>
          <w:sz w:val="22"/>
          <w:szCs w:val="22"/>
          <w:lang w:eastAsia="ru-RU"/>
        </w:rPr>
      </w:r>
    </w:p>
    <w:p>
      <w:pPr>
        <w:pStyle w:val="873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4. Порядок сдачи и приема работ.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3.1. Исполнитель должен иметь инструменты, материалы, оборудование, необходимые для оказания </w:t>
      </w:r>
      <w:r>
        <w:rPr>
          <w:bCs/>
          <w:sz w:val="22"/>
          <w:szCs w:val="22"/>
        </w:rPr>
        <w:t xml:space="preserve">предусмотренных Договором услуг в соответствии с эксплуатационной документацией БПЛА</w:t>
      </w:r>
      <w:r>
        <w:rPr>
          <w:bCs/>
          <w:sz w:val="22"/>
          <w:szCs w:val="22"/>
        </w:rPr>
        <w:t xml:space="preserve">, допускается привлечение третьих лиц</w:t>
      </w:r>
      <w:r>
        <w:rPr>
          <w:bCs/>
          <w:sz w:val="22"/>
          <w:szCs w:val="22"/>
        </w:rPr>
        <w:t xml:space="preserve">.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873"/>
        <w:ind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3</w:t>
      </w:r>
      <w:r>
        <w:rPr>
          <w:bCs/>
          <w:sz w:val="22"/>
          <w:szCs w:val="22"/>
        </w:rPr>
        <w:t xml:space="preserve">.</w:t>
      </w:r>
      <w:r>
        <w:rPr>
          <w:bCs/>
          <w:sz w:val="22"/>
          <w:szCs w:val="22"/>
        </w:rPr>
        <w:t xml:space="preserve">2</w:t>
      </w:r>
      <w:r>
        <w:rPr>
          <w:sz w:val="22"/>
          <w:szCs w:val="22"/>
        </w:rPr>
        <w:t xml:space="preserve">. Транспортировка БПЛА для проведения </w:t>
      </w:r>
      <w:r>
        <w:rPr>
          <w:sz w:val="22"/>
          <w:szCs w:val="22"/>
        </w:rPr>
        <w:t xml:space="preserve">диагностику</w:t>
      </w:r>
      <w:r>
        <w:rPr>
          <w:sz w:val="22"/>
          <w:szCs w:val="22"/>
        </w:rPr>
        <w:t xml:space="preserve"> и его возврат Заказчику осуществляется силами и за счёт Исполнителя.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 В случае транспортировки БПЛА силами третьего лица (перевозчика), Исполнитель обязан обеспечить надлежащую и своевременную доставку оборудования Заказчика.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</w:t>
      </w: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 В случае нарушения прав Заказчика в связи с ненадлежащей и несвоевременной доставкой оборудования Заказчика, в том числе по вине третьих лиц (перевозчика), Исполнитель несет ответственность в виде штрафа за ненадлежащее оказание услуг согласно положениям </w:t>
      </w:r>
      <w:r>
        <w:rPr>
          <w:sz w:val="22"/>
          <w:szCs w:val="22"/>
        </w:rPr>
        <w:t xml:space="preserve">договора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</w:t>
      </w: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 Исполнитель несет полную материальную ответственность за оборудование Заказчика в случае причинения вреда оборудованию третьими лицами (перевозчиками).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</w:t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 При получении БПЛА представитель</w:t>
      </w:r>
      <w:r>
        <w:rPr>
          <w:sz w:val="22"/>
          <w:szCs w:val="22"/>
        </w:rPr>
        <w:t xml:space="preserve"> Исполнителя представляет представителю Заказчика надлежаще оформленную доверенность, проверяет состояние БПЛА, его комплектность и документацию, после чего несёт полную материальную ответственность за сохранность БПЛА до момента его возвращения Заказчику.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</w:t>
      </w:r>
      <w:r>
        <w:rPr>
          <w:sz w:val="22"/>
          <w:szCs w:val="22"/>
        </w:rPr>
        <w:t xml:space="preserve">7</w:t>
      </w:r>
      <w:r>
        <w:rPr>
          <w:sz w:val="22"/>
          <w:szCs w:val="22"/>
        </w:rPr>
        <w:t xml:space="preserve">. Передача БПЛА на </w:t>
      </w:r>
      <w:r>
        <w:rPr>
          <w:sz w:val="22"/>
          <w:szCs w:val="22"/>
        </w:rPr>
        <w:t xml:space="preserve">диагностику </w:t>
      </w:r>
      <w:r>
        <w:rPr>
          <w:sz w:val="22"/>
          <w:szCs w:val="22"/>
        </w:rPr>
        <w:t xml:space="preserve">производится с составлением Акта приема-передачи беспилотного летательного аппарата, подписанного Сторонами.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.8</w:t>
      </w:r>
      <w:r>
        <w:rPr>
          <w:sz w:val="22"/>
          <w:szCs w:val="22"/>
        </w:rPr>
        <w:t xml:space="preserve">. Возникшие при приёмке БПЛА претензии к его состоянию, комплектности, документации указываются письменно в акте приёмки БПЛА.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ind w:firstLine="709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3.</w:t>
      </w:r>
      <w:r>
        <w:rPr>
          <w:sz w:val="22"/>
          <w:szCs w:val="22"/>
        </w:rPr>
        <w:t xml:space="preserve">9</w:t>
      </w:r>
      <w:r>
        <w:rPr>
          <w:sz w:val="22"/>
          <w:szCs w:val="22"/>
        </w:rPr>
        <w:t xml:space="preserve">. </w:t>
      </w:r>
      <w:r>
        <w:rPr>
          <w:bCs/>
          <w:sz w:val="22"/>
          <w:szCs w:val="22"/>
        </w:rPr>
        <w:t xml:space="preserve">При принятии БПЛА Заказчи</w:t>
      </w:r>
      <w:r>
        <w:rPr>
          <w:bCs/>
          <w:sz w:val="22"/>
          <w:szCs w:val="22"/>
        </w:rPr>
        <w:t xml:space="preserve">ком производится его осмотр на предмет комплектности, повреждений и дефектов. В случае наличия повреждений и/или дефектов представителем Заказчика составляется акт с указанием информации о состоянии, комплектности, повреждениях и дефектах полученного БПЛА.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873"/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3.1</w:t>
      </w:r>
      <w:r>
        <w:rPr>
          <w:bCs/>
          <w:sz w:val="22"/>
          <w:szCs w:val="22"/>
        </w:rPr>
        <w:t xml:space="preserve">0</w:t>
      </w:r>
      <w:r>
        <w:rPr>
          <w:bCs/>
          <w:sz w:val="22"/>
          <w:szCs w:val="22"/>
        </w:rPr>
        <w:t xml:space="preserve">. Исполнитель при оказании услуг обязан обеспечить сохранность БПЛА вплоть до передачи его Заказчику. 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873"/>
        <w:jc w:val="both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             3.1</w:t>
      </w:r>
      <w:r>
        <w:rPr>
          <w:sz w:val="22"/>
          <w:szCs w:val="22"/>
        </w:rPr>
        <w:t xml:space="preserve">1. Заказчик сдает Оборудование </w:t>
      </w:r>
      <w:r>
        <w:rPr>
          <w:sz w:val="22"/>
          <w:szCs w:val="22"/>
        </w:rPr>
        <w:t xml:space="preserve">на поверку</w:t>
      </w:r>
      <w:r>
        <w:rPr>
          <w:sz w:val="22"/>
          <w:szCs w:val="22"/>
        </w:rPr>
        <w:t xml:space="preserve"> Исполнителю по Акту приема-передачи и получает Оборудование обратно по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этому же Акту приема-передачи, произведя в нём соответствующую отметку и подпи</w:t>
      </w:r>
      <w:r>
        <w:rPr>
          <w:sz w:val="22"/>
          <w:szCs w:val="22"/>
        </w:rPr>
        <w:t xml:space="preserve">сь. При получении Оборудования после диагностики </w:t>
      </w:r>
      <w:r>
        <w:rPr>
          <w:sz w:val="22"/>
          <w:szCs w:val="22"/>
        </w:rPr>
        <w:t xml:space="preserve">Заказчику выдается </w:t>
      </w:r>
      <w:r>
        <w:rPr>
          <w:sz w:val="22"/>
          <w:szCs w:val="22"/>
        </w:rPr>
        <w:t xml:space="preserve">заключение о неремонтопригодности либо ремонтопригодности Оборудования. </w:t>
      </w:r>
      <w:r>
        <w:rPr>
          <w:sz w:val="22"/>
          <w:szCs w:val="22"/>
        </w:rPr>
        <w:t xml:space="preserve">В случае ремонтопригодности предоставить заказчику дефектную ведомость (пер</w:t>
      </w:r>
      <w:r>
        <w:rPr>
          <w:sz w:val="22"/>
          <w:szCs w:val="22"/>
        </w:rPr>
        <w:t xml:space="preserve">ечень) запасных частей и оказываемых услуг необходимых для ремонта Оборудования </w:t>
      </w:r>
      <w:r>
        <w:rPr>
          <w:sz w:val="22"/>
          <w:szCs w:val="22"/>
        </w:rPr>
        <w:t xml:space="preserve">и Акт на </w:t>
      </w:r>
      <w:r>
        <w:rPr>
          <w:sz w:val="22"/>
          <w:szCs w:val="22"/>
        </w:rPr>
        <w:t xml:space="preserve">оказанные услуги</w:t>
      </w:r>
      <w:r>
        <w:rPr>
          <w:sz w:val="22"/>
          <w:szCs w:val="22"/>
        </w:rPr>
        <w:t xml:space="preserve">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567"/>
        <w:jc w:val="both"/>
        <w:rPr>
          <w:sz w:val="24"/>
          <w:szCs w:val="24"/>
        </w:rPr>
      </w:pPr>
      <w:r>
        <w:rPr>
          <w:color w:val="000000"/>
          <w:sz w:val="22"/>
          <w:szCs w:val="22"/>
        </w:rPr>
        <w:t xml:space="preserve">    3.12. Исполнитель </w:t>
      </w:r>
      <w:r>
        <w:rPr>
          <w:color w:val="000000"/>
          <w:sz w:val="22"/>
          <w:szCs w:val="22"/>
        </w:rPr>
        <w:t xml:space="preserve">после окончания оказанных услуг </w:t>
      </w:r>
      <w:r>
        <w:rPr>
          <w:color w:val="000000"/>
          <w:sz w:val="22"/>
          <w:szCs w:val="22"/>
        </w:rPr>
        <w:t xml:space="preserve">передает Заказчику в течение двух рабочих дней, подписанные со своей стороны акт</w:t>
      </w:r>
      <w:r>
        <w:rPr>
          <w:color w:val="000000"/>
          <w:sz w:val="22"/>
          <w:szCs w:val="22"/>
        </w:rPr>
        <w:t xml:space="preserve">ы</w:t>
      </w:r>
      <w:r>
        <w:rPr>
          <w:color w:val="000000"/>
          <w:sz w:val="22"/>
          <w:szCs w:val="22"/>
        </w:rPr>
        <w:t xml:space="preserve"> оказанных услуг либо УПД в 2-х экземплярах, счёт на оплату.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  <w:highlight w:val="none"/>
        </w:rPr>
      </w:pPr>
      <w:r>
        <w:rPr>
          <w:bCs/>
          <w:sz w:val="22"/>
          <w:szCs w:val="22"/>
        </w:rPr>
        <w:t xml:space="preserve">             3.13. Приемка услуг Заказчиком и оформление результатов приемки осуществляется в течение 3 (трех) рабочих дней со дня оказания услуг и представления документов, предусмотренных настоящим договором.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87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3.14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Претензии о проведении доработок по обнаруженным недос</w:t>
      </w:r>
      <w:r>
        <w:rPr>
          <w:sz w:val="22"/>
          <w:szCs w:val="22"/>
        </w:rPr>
        <w:t xml:space="preserve">таткам должны быть предъявлены Заказчиком не позднее 10 </w:t>
      </w:r>
      <w:r>
        <w:rPr>
          <w:sz w:val="22"/>
          <w:szCs w:val="22"/>
        </w:rPr>
        <w:t xml:space="preserve">рабочих </w:t>
      </w:r>
      <w:r>
        <w:rPr>
          <w:sz w:val="22"/>
          <w:szCs w:val="22"/>
        </w:rPr>
        <w:t xml:space="preserve">дней со дня принятия работ по Акту приема-передачи. Исполнитель обязан, по обоснованному требованию Заказчика, произвести необходимые исправления в работе в течение 15</w:t>
      </w:r>
      <w:r>
        <w:rPr>
          <w:sz w:val="22"/>
          <w:szCs w:val="22"/>
        </w:rPr>
        <w:t xml:space="preserve"> календарных</w:t>
      </w:r>
      <w:r>
        <w:rPr>
          <w:sz w:val="22"/>
          <w:szCs w:val="22"/>
        </w:rPr>
        <w:t xml:space="preserve"> дней без дополнительной оплаты.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jc w:val="both"/>
      </w:pPr>
      <w:r>
        <w:rPr>
          <w:sz w:val="22"/>
          <w:szCs w:val="22"/>
        </w:rPr>
        <w:t xml:space="preserve">           </w:t>
      </w:r>
      <w:r>
        <w:rPr>
          <w:b/>
          <w:sz w:val="22"/>
          <w:szCs w:val="22"/>
        </w:rPr>
      </w:r>
      <w:r/>
    </w:p>
    <w:p>
      <w:pPr>
        <w:pStyle w:val="87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5. Ответственность сторон.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73"/>
        <w:jc w:val="both"/>
        <w:tabs>
          <w:tab w:val="left" w:pos="709" w:leader="none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5.1. За неисполнение или ненадлежащее исполнение своих обязательств по настоящему Договору Стор</w:t>
      </w:r>
      <w:r>
        <w:rPr>
          <w:color w:val="000000"/>
          <w:sz w:val="22"/>
          <w:szCs w:val="22"/>
        </w:rPr>
        <w:t xml:space="preserve">о</w:t>
      </w:r>
      <w:r>
        <w:rPr>
          <w:color w:val="000000"/>
          <w:sz w:val="22"/>
          <w:szCs w:val="22"/>
        </w:rPr>
        <w:t xml:space="preserve">ны несут ответственность в соответствии с действующим законодательством Российской Федерации.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873"/>
        <w:jc w:val="both"/>
        <w:tabs>
          <w:tab w:val="left" w:pos="709" w:leader="none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5.2. Размер штрафа устанавливается Договором </w:t>
      </w:r>
      <w:r>
        <w:rPr>
          <w:sz w:val="22"/>
          <w:szCs w:val="22"/>
        </w:rPr>
        <w:t xml:space="preserve">в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"consultantplus://offline/ref=435B546B1AEA54114115AAD9F1C9EA34B37AE137544BD9C6A6AD38F1D1822BE96058F92FDE78AAB3J7C3O" </w:instrText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t xml:space="preserve">порядке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, установленном Правительством Российской Ф</w:t>
      </w:r>
      <w:r>
        <w:rPr>
          <w:sz w:val="22"/>
          <w:szCs w:val="22"/>
        </w:rPr>
        <w:t xml:space="preserve">е</w:t>
      </w:r>
      <w:r>
        <w:rPr>
          <w:sz w:val="22"/>
          <w:szCs w:val="22"/>
        </w:rPr>
        <w:t xml:space="preserve">дерации,</w:t>
      </w:r>
      <w:r>
        <w:rPr>
          <w:color w:val="000000"/>
          <w:sz w:val="22"/>
          <w:szCs w:val="22"/>
        </w:rPr>
        <w:t xml:space="preserve"> в виде фиксированной суммы, в том числе рассчитываемой как процент цены Договора, за исключением случаев, если законодательством Российской Фед</w:t>
      </w:r>
      <w:r>
        <w:rPr>
          <w:color w:val="000000"/>
          <w:sz w:val="22"/>
          <w:szCs w:val="22"/>
        </w:rPr>
        <w:t xml:space="preserve">е</w:t>
      </w:r>
      <w:r>
        <w:rPr>
          <w:color w:val="000000"/>
          <w:sz w:val="22"/>
          <w:szCs w:val="22"/>
        </w:rPr>
        <w:t xml:space="preserve">рации установлен иной порядок начисления штрафов.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873"/>
        <w:jc w:val="both"/>
        <w:tabs>
          <w:tab w:val="left" w:pos="709" w:leader="none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5.3. За каждый факт неисполнения или ненадлежащего исполнения поставщиком (подрядчиком, исполн</w:t>
      </w:r>
      <w:r>
        <w:rPr>
          <w:color w:val="000000"/>
          <w:sz w:val="22"/>
          <w:szCs w:val="22"/>
        </w:rPr>
        <w:t xml:space="preserve">и</w:t>
      </w:r>
      <w:r>
        <w:rPr>
          <w:color w:val="000000"/>
          <w:sz w:val="22"/>
          <w:szCs w:val="22"/>
        </w:rPr>
        <w:t xml:space="preserve">телем) обязательств, предусмотренных Договором, за исключением просрочки исполнения обяз</w:t>
      </w:r>
      <w:r>
        <w:rPr>
          <w:color w:val="000000"/>
          <w:sz w:val="22"/>
          <w:szCs w:val="22"/>
        </w:rPr>
        <w:t xml:space="preserve">а</w:t>
      </w:r>
      <w:r>
        <w:rPr>
          <w:color w:val="000000"/>
          <w:sz w:val="22"/>
          <w:szCs w:val="22"/>
        </w:rPr>
        <w:t xml:space="preserve">тельств (в том числе гарантийного обязательства), предусмотренных Договором, размер штрафа устана</w:t>
      </w:r>
      <w:r>
        <w:rPr>
          <w:color w:val="000000"/>
          <w:sz w:val="22"/>
          <w:szCs w:val="22"/>
        </w:rPr>
        <w:t xml:space="preserve">в</w:t>
      </w:r>
      <w:r>
        <w:rPr>
          <w:color w:val="000000"/>
          <w:sz w:val="22"/>
          <w:szCs w:val="22"/>
        </w:rPr>
        <w:t xml:space="preserve">ливается в следующем порядке (за исключением случаев, предусмотренных пунктом 8.4*): 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873"/>
        <w:jc w:val="both"/>
        <w:tabs>
          <w:tab w:val="left" w:pos="0" w:leader="none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а) 10 процентов цены Договора в случае, если цена Договора не превышает 3 млн. рублей. 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873"/>
        <w:jc w:val="both"/>
        <w:tabs>
          <w:tab w:val="left" w:pos="0" w:leader="none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5.4. За каждый факт неисполнения заказчиком обязательств, предусмотренных Договором, за исключен</w:t>
      </w:r>
      <w:r>
        <w:rPr>
          <w:color w:val="000000"/>
          <w:sz w:val="22"/>
          <w:szCs w:val="22"/>
        </w:rPr>
        <w:t xml:space="preserve">и</w:t>
      </w:r>
      <w:r>
        <w:rPr>
          <w:color w:val="000000"/>
          <w:sz w:val="22"/>
          <w:szCs w:val="22"/>
        </w:rPr>
        <w:t xml:space="preserve">ем просрочки исполнения обязательств, предусмотренных Договором, размер штрафа устанавл</w:t>
      </w:r>
      <w:r>
        <w:rPr>
          <w:color w:val="000000"/>
          <w:sz w:val="22"/>
          <w:szCs w:val="22"/>
        </w:rPr>
        <w:t xml:space="preserve">и</w:t>
      </w:r>
      <w:r>
        <w:rPr>
          <w:color w:val="000000"/>
          <w:sz w:val="22"/>
          <w:szCs w:val="22"/>
        </w:rPr>
        <w:t xml:space="preserve">вается в виде фиксированной суммы, определяемой в следующем порядке: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87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а) 1000 рублей, если цена Договора не превышает 3 млн. рублей (включительно);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873"/>
        <w:jc w:val="both"/>
        <w:spacing w:before="200"/>
        <w:widowControl w:val="off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5.5. Общая сумма начисленных штрафов за неисполнение или ненадлежащее исполнение поставщиком (подрядчиком, исполнителем) обязательств, предусмотренных Договором, не может превышать цену Договора.</w:t>
      </w:r>
      <w:r>
        <w:rPr>
          <w:sz w:val="22"/>
          <w:szCs w:val="22"/>
          <w:lang w:eastAsia="ru-RU"/>
        </w:rPr>
      </w:r>
      <w:r>
        <w:rPr>
          <w:sz w:val="22"/>
          <w:szCs w:val="22"/>
          <w:lang w:eastAsia="ru-RU"/>
        </w:rPr>
      </w:r>
    </w:p>
    <w:p>
      <w:pPr>
        <w:pStyle w:val="873"/>
        <w:jc w:val="both"/>
        <w:spacing w:before="200"/>
        <w:widowControl w:val="off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5.6. Общая сумма начисленных штрафов за ненадлежащее исполнение заказчиком обязательств, пред</w:t>
      </w:r>
      <w:r>
        <w:rPr>
          <w:sz w:val="22"/>
          <w:szCs w:val="22"/>
          <w:lang w:eastAsia="ru-RU"/>
        </w:rPr>
        <w:t xml:space="preserve">у</w:t>
      </w:r>
      <w:r>
        <w:rPr>
          <w:sz w:val="22"/>
          <w:szCs w:val="22"/>
          <w:lang w:eastAsia="ru-RU"/>
        </w:rPr>
        <w:t xml:space="preserve">смотренных Договором, не может превышать цену Договора.</w:t>
      </w:r>
      <w:r>
        <w:rPr>
          <w:sz w:val="22"/>
          <w:szCs w:val="22"/>
          <w:lang w:eastAsia="ru-RU"/>
        </w:rPr>
      </w:r>
      <w:r>
        <w:rPr>
          <w:sz w:val="22"/>
          <w:szCs w:val="22"/>
          <w:lang w:eastAsia="ru-RU"/>
        </w:rPr>
      </w:r>
    </w:p>
    <w:p>
      <w:pPr>
        <w:pStyle w:val="873"/>
        <w:jc w:val="both"/>
        <w:spacing w:before="100" w:beforeAutospacing="1" w:after="100" w:afterAutospacing="1"/>
        <w:widowControl w:val="off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5.7. В случае если законодательством Российской Федерации установлен иной порядок начисления штр</w:t>
      </w:r>
      <w:r>
        <w:rPr>
          <w:sz w:val="22"/>
          <w:szCs w:val="22"/>
          <w:lang w:eastAsia="ru-RU"/>
        </w:rPr>
        <w:t xml:space="preserve">а</w:t>
      </w:r>
      <w:r>
        <w:rPr>
          <w:sz w:val="22"/>
          <w:szCs w:val="22"/>
          <w:lang w:eastAsia="ru-RU"/>
        </w:rPr>
        <w:t xml:space="preserve">фа, чем порядок, предусмотренный </w:t>
      </w:r>
      <w:r>
        <w:rPr>
          <w:color w:val="000000"/>
          <w:sz w:val="22"/>
          <w:szCs w:val="22"/>
        </w:rPr>
        <w:t xml:space="preserve">Постановлением Правительства РФ № 1042 от 30.08.2017 года,</w:t>
      </w:r>
      <w:r>
        <w:rPr>
          <w:sz w:val="22"/>
          <w:szCs w:val="22"/>
          <w:lang w:eastAsia="ru-RU"/>
        </w:rPr>
        <w:t xml:space="preserve"> размер так</w:t>
      </w:r>
      <w:r>
        <w:rPr>
          <w:sz w:val="22"/>
          <w:szCs w:val="22"/>
          <w:lang w:eastAsia="ru-RU"/>
        </w:rPr>
        <w:t xml:space="preserve">о</w:t>
      </w:r>
      <w:r>
        <w:rPr>
          <w:sz w:val="22"/>
          <w:szCs w:val="22"/>
          <w:lang w:eastAsia="ru-RU"/>
        </w:rPr>
        <w:t xml:space="preserve">го штрафа и порядок его начисления устанавливается Договором в соответствии с законодательством Ро</w:t>
      </w:r>
      <w:r>
        <w:rPr>
          <w:sz w:val="22"/>
          <w:szCs w:val="22"/>
          <w:lang w:eastAsia="ru-RU"/>
        </w:rPr>
        <w:t xml:space="preserve">с</w:t>
      </w:r>
      <w:r>
        <w:rPr>
          <w:sz w:val="22"/>
          <w:szCs w:val="22"/>
          <w:lang w:eastAsia="ru-RU"/>
        </w:rPr>
        <w:t xml:space="preserve">сийской Федерации.</w:t>
      </w:r>
      <w:r>
        <w:rPr>
          <w:sz w:val="22"/>
          <w:szCs w:val="22"/>
          <w:lang w:eastAsia="ru-RU"/>
        </w:rPr>
      </w:r>
      <w:r>
        <w:rPr>
          <w:sz w:val="22"/>
          <w:szCs w:val="22"/>
          <w:lang w:eastAsia="ru-RU"/>
        </w:rPr>
      </w:r>
    </w:p>
    <w:p>
      <w:pPr>
        <w:pStyle w:val="873"/>
        <w:jc w:val="both"/>
        <w:spacing w:before="100" w:beforeAutospacing="1" w:after="100" w:afterAutospacing="1"/>
        <w:tabs>
          <w:tab w:val="left" w:pos="0" w:leader="none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5.8. Пеня начисляется за каждый день просрочки исполнения поставщиком (подрядчиком, исполн</w:t>
      </w:r>
      <w:r>
        <w:rPr>
          <w:color w:val="000000"/>
          <w:sz w:val="22"/>
          <w:szCs w:val="22"/>
        </w:rPr>
        <w:t xml:space="preserve">и</w:t>
      </w:r>
      <w:r>
        <w:rPr>
          <w:color w:val="000000"/>
          <w:sz w:val="22"/>
          <w:szCs w:val="22"/>
        </w:rPr>
        <w:t xml:space="preserve">телем) обязательства, предусмотренного Договором, начиная со дня, следующего после дня истечения устано</w:t>
      </w:r>
      <w:r>
        <w:rPr>
          <w:color w:val="000000"/>
          <w:sz w:val="22"/>
          <w:szCs w:val="22"/>
        </w:rPr>
        <w:t xml:space="preserve">в</w:t>
      </w:r>
      <w:r>
        <w:rPr>
          <w:color w:val="000000"/>
          <w:sz w:val="22"/>
          <w:szCs w:val="22"/>
        </w:rPr>
        <w:t xml:space="preserve">ленного Договором срока исполнения обязательства, и устанавливается договором в размере одной тре</w:t>
      </w:r>
      <w:r>
        <w:rPr>
          <w:color w:val="000000"/>
          <w:sz w:val="22"/>
          <w:szCs w:val="22"/>
        </w:rPr>
        <w:t xml:space="preserve">х</w:t>
      </w:r>
      <w:r>
        <w:rPr>
          <w:color w:val="000000"/>
          <w:sz w:val="22"/>
          <w:szCs w:val="22"/>
        </w:rPr>
        <w:t xml:space="preserve">сотой действующей на дату уплаты пени ключевой ставки Центрального банка Российской Федер</w:t>
      </w:r>
      <w:r>
        <w:rPr>
          <w:color w:val="000000"/>
          <w:sz w:val="22"/>
          <w:szCs w:val="22"/>
        </w:rPr>
        <w:t xml:space="preserve">а</w:t>
      </w:r>
      <w:r>
        <w:rPr>
          <w:color w:val="000000"/>
          <w:sz w:val="22"/>
          <w:szCs w:val="22"/>
        </w:rPr>
        <w:t xml:space="preserve">ции от цены Договора, уменьшенной на сумму, пропорциональную объему обязательств, предусмотренных Договором и фактически исполненных поставщиком (подрядчиком, исполнителем), за исключением случ</w:t>
      </w:r>
      <w:r>
        <w:rPr>
          <w:color w:val="000000"/>
          <w:sz w:val="22"/>
          <w:szCs w:val="22"/>
        </w:rPr>
        <w:t xml:space="preserve">а</w:t>
      </w:r>
      <w:r>
        <w:rPr>
          <w:color w:val="000000"/>
          <w:sz w:val="22"/>
          <w:szCs w:val="22"/>
        </w:rPr>
        <w:t xml:space="preserve">ев, если законодательством Российской Федерации установлен иной порядок начисления пени.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873"/>
        <w:jc w:val="both"/>
        <w:tabs>
          <w:tab w:val="left" w:pos="709" w:leader="none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5.9. В случае просрочки исполнения заказчиком обязательств, предусмотренных Договором, п</w:t>
      </w:r>
      <w:r>
        <w:rPr>
          <w:color w:val="000000"/>
          <w:sz w:val="22"/>
          <w:szCs w:val="22"/>
        </w:rPr>
        <w:t xml:space="preserve">о</w:t>
      </w:r>
      <w:r>
        <w:rPr>
          <w:color w:val="000000"/>
          <w:sz w:val="22"/>
          <w:szCs w:val="22"/>
        </w:rPr>
        <w:t xml:space="preserve">ставщик (подрядчик, исполнитель) вправе потребовать уплаты пеней. Пеня начисляется за каждый день просрочки исполнения обязательства, пр</w:t>
      </w:r>
      <w:r>
        <w:rPr>
          <w:color w:val="000000"/>
          <w:sz w:val="22"/>
          <w:szCs w:val="22"/>
        </w:rPr>
        <w:t xml:space="preserve">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</w:t>
      </w:r>
      <w:r>
        <w:rPr>
          <w:color w:val="000000"/>
          <w:sz w:val="22"/>
          <w:szCs w:val="22"/>
        </w:rPr>
        <w:t xml:space="preserve">й</w:t>
      </w:r>
      <w:r>
        <w:rPr>
          <w:color w:val="000000"/>
          <w:sz w:val="22"/>
          <w:szCs w:val="22"/>
        </w:rPr>
        <w:t xml:space="preserve">ской Федерации от не уплаченной в срок суммы.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873"/>
        <w:jc w:val="both"/>
        <w:tabs>
          <w:tab w:val="left" w:pos="709" w:leader="none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5.10. В случае если Заказчик понес убытки вследствие ненадлежащего исполнения Исполнителем своих обязательств по настоящему Контракту, Исполнитель обязан возместить такие убытки Заказчику нез</w:t>
      </w:r>
      <w:r>
        <w:rPr>
          <w:color w:val="000000"/>
          <w:sz w:val="22"/>
          <w:szCs w:val="22"/>
        </w:rPr>
        <w:t xml:space="preserve">а</w:t>
      </w:r>
      <w:r>
        <w:rPr>
          <w:color w:val="000000"/>
          <w:sz w:val="22"/>
          <w:szCs w:val="22"/>
        </w:rPr>
        <w:t xml:space="preserve">висимо от уплаты неустойки.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873"/>
        <w:jc w:val="both"/>
        <w:tabs>
          <w:tab w:val="left" w:pos="709" w:leader="none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5.11. Уплата неустойки и возмещение убытков, связанных с ненадлежащим исполнением Сторон</w:t>
      </w:r>
      <w:r>
        <w:rPr>
          <w:color w:val="000000"/>
          <w:sz w:val="22"/>
          <w:szCs w:val="22"/>
        </w:rPr>
        <w:t xml:space="preserve">а</w:t>
      </w:r>
      <w:r>
        <w:rPr>
          <w:color w:val="000000"/>
          <w:sz w:val="22"/>
          <w:szCs w:val="22"/>
        </w:rPr>
        <w:t xml:space="preserve">ми своих обязательств по настоящему Договору, не освобождают нарушившую условия Договора Сторону от и</w:t>
      </w:r>
      <w:r>
        <w:rPr>
          <w:color w:val="000000"/>
          <w:sz w:val="22"/>
          <w:szCs w:val="22"/>
        </w:rPr>
        <w:t xml:space="preserve">с</w:t>
      </w:r>
      <w:r>
        <w:rPr>
          <w:color w:val="000000"/>
          <w:sz w:val="22"/>
          <w:szCs w:val="22"/>
        </w:rPr>
        <w:t xml:space="preserve">полнения взятых на себя обязательств.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873"/>
        <w:jc w:val="both"/>
        <w:tabs>
          <w:tab w:val="left" w:pos="709" w:leader="none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</w:t>
      </w:r>
      <w:r>
        <w:rPr>
          <w:color w:val="000000"/>
          <w:sz w:val="22"/>
          <w:szCs w:val="22"/>
        </w:rPr>
        <w:t xml:space="preserve">о</w:t>
      </w:r>
      <w:r>
        <w:rPr>
          <w:color w:val="000000"/>
          <w:sz w:val="22"/>
          <w:szCs w:val="22"/>
        </w:rPr>
        <w:t xml:space="preserve">лимой силы или по вине другой стороны.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87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</w:t>
      </w:r>
      <w:r>
        <w:rPr>
          <w:sz w:val="22"/>
          <w:szCs w:val="22"/>
        </w:rPr>
        <w:t xml:space="preserve">13</w:t>
      </w:r>
      <w:r>
        <w:rPr>
          <w:sz w:val="22"/>
          <w:szCs w:val="22"/>
        </w:rPr>
        <w:t xml:space="preserve">. Все споры или разногласия, возникшие между сторонами по настоящему Договору или в связи с ним, разрешаются путем переговоров между сторонами.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</w:t>
      </w:r>
      <w:r>
        <w:rPr>
          <w:sz w:val="22"/>
          <w:szCs w:val="22"/>
        </w:rPr>
        <w:t xml:space="preserve">14</w:t>
      </w:r>
      <w:r>
        <w:rPr>
          <w:sz w:val="22"/>
          <w:szCs w:val="22"/>
        </w:rPr>
        <w:t xml:space="preserve">. В случае невозможности разрешения разногласий путем переговоров, они подлежат рассмотрению в Арбитражном суде </w:t>
      </w:r>
      <w:r>
        <w:rPr>
          <w:sz w:val="22"/>
          <w:szCs w:val="22"/>
        </w:rPr>
        <w:t xml:space="preserve">по месту нахождения </w:t>
      </w:r>
      <w:r>
        <w:rPr>
          <w:sz w:val="22"/>
          <w:szCs w:val="22"/>
        </w:rPr>
        <w:t xml:space="preserve">Заказчика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6. Прочие условия.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Любые изменения и дополнения к настоящему договору оформляются дополнительными соглашениями сторон в письменном виде.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7.Срок действия договора.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Настоящий договор вступает в силу с момента подписания его сторонами и действует до “</w:t>
      </w:r>
      <w:r>
        <w:rPr>
          <w:sz w:val="22"/>
          <w:szCs w:val="22"/>
        </w:rPr>
        <w:t xml:space="preserve">31</w:t>
      </w:r>
      <w:r>
        <w:rPr>
          <w:sz w:val="22"/>
          <w:szCs w:val="22"/>
        </w:rPr>
        <w:t xml:space="preserve">”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декабря 20</w:t>
      </w:r>
      <w:r>
        <w:rPr>
          <w:sz w:val="22"/>
          <w:szCs w:val="22"/>
        </w:rPr>
        <w:t xml:space="preserve">26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года, либо до даты исполнения сторонами принятых по договору обязательств.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7.2. Договор составлен в двух экземплярах, имеющих одинаковую юридическую силу, по одному для каждой из сторон.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 В части, не урегулированной настоящим договором, отношения сторон регламентируются действующим законодательством.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b/>
          <w:sz w:val="22"/>
          <w:szCs w:val="22"/>
        </w:rPr>
      </w:pPr>
      <w:r>
        <w:rPr>
          <w:sz w:val="22"/>
          <w:szCs w:val="22"/>
        </w:rPr>
        <w:tab/>
        <w:tab/>
        <w:tab/>
        <w:tab/>
        <w:tab/>
      </w:r>
      <w:r>
        <w:rPr>
          <w:b/>
          <w:sz w:val="22"/>
          <w:szCs w:val="22"/>
        </w:rPr>
        <w:t xml:space="preserve">8.Реквизиты сторон.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firstLine="720"/>
        <w:jc w:val="center"/>
        <w:widowControl w:val="off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</w:r>
      <w:r>
        <w:rPr>
          <w:b/>
          <w:caps/>
          <w:sz w:val="22"/>
          <w:szCs w:val="22"/>
        </w:rPr>
      </w:r>
      <w:r>
        <w:rPr>
          <w:b/>
          <w:caps/>
          <w:sz w:val="22"/>
          <w:szCs w:val="22"/>
        </w:rPr>
      </w:r>
    </w:p>
    <w:p>
      <w:pPr>
        <w:ind w:firstLine="720"/>
        <w:jc w:val="center"/>
        <w:widowControl w:val="off"/>
        <w:rPr>
          <w:b/>
          <w:bCs/>
          <w:caps/>
          <w:sz w:val="22"/>
          <w:szCs w:val="22"/>
          <w:highlight w:val="none"/>
        </w:rPr>
      </w:pPr>
      <w:r>
        <w:rPr>
          <w:b/>
          <w:caps/>
          <w:sz w:val="22"/>
          <w:szCs w:val="22"/>
        </w:rPr>
        <w:t xml:space="preserve">7. Адреса и реквизиты сторон</w:t>
      </w:r>
      <w:r>
        <w:rPr>
          <w:b/>
          <w:bCs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  <w:highlight w:val="none"/>
        </w:rPr>
      </w:r>
    </w:p>
    <w:p>
      <w:pPr>
        <w:ind w:firstLine="720"/>
        <w:jc w:val="center"/>
        <w:widowControl w:val="off"/>
        <w:rPr>
          <w:b/>
          <w:bCs/>
          <w:caps/>
          <w:sz w:val="22"/>
          <w:szCs w:val="22"/>
        </w:rPr>
      </w:pPr>
      <w:r>
        <w:rPr>
          <w:b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</w:rPr>
      </w:r>
      <w:r>
        <w:rPr>
          <w:b/>
          <w:bCs/>
          <w:caps/>
          <w:sz w:val="22"/>
          <w:szCs w:val="22"/>
        </w:rPr>
      </w:r>
    </w:p>
    <w:tbl>
      <w:tblPr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2"/>
        <w:gridCol w:w="5132"/>
        <w:gridCol w:w="488"/>
        <w:gridCol w:w="4161"/>
        <w:gridCol w:w="1134"/>
      </w:tblGrid>
      <w:tr>
        <w:tblPrEx/>
        <w:trPr>
          <w:gridAfter w:val="1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274" w:type="dxa"/>
            <w:textDirection w:val="lrTb"/>
            <w:noWrap w:val="false"/>
          </w:tcPr>
          <w:p>
            <w:pPr>
              <w:spacing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Заказчик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9" w:type="dxa"/>
            <w:textDirection w:val="lrTb"/>
            <w:noWrap w:val="false"/>
          </w:tcPr>
          <w:p>
            <w:pPr>
              <w:spacing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Исполнитель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gridAfter w:val="1"/>
          <w:trHeight w:val="570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74" w:type="dxa"/>
            <w:textDirection w:val="lrTb"/>
            <w:noWrap w:val="false"/>
          </w:tcPr>
          <w:p>
            <w:pPr>
              <w:pStyle w:val="87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Управление Федеральной службы государственной регистрации, кадастра и картографии по Амурской области</w:t>
            </w:r>
            <w:r>
              <w:rPr>
                <w:sz w:val="22"/>
                <w:szCs w:val="22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Сокращенное наименование: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pStyle w:val="87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Управление Росреестра по Амурской области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pStyle w:val="87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ИНН 2801100402/ КПП 280101001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7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ОГРН 1042800036730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ОКПО 70698568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7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ОКТМО 10701000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ОКВЭД 84.11.12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73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ОКОГУ 1328030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ОКОПФ 75104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Банковские реквизиты: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pStyle w:val="87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р/с 03211643000000012007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7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в ОКЦ № 1 ДГУ БАНКА РОССИИ//УФК по Приморскому краю г. Вл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адивосток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7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БИК 010507002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7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Номер банковского счета (Единый казначейский счет), вместо к/с)) 40102810545370000012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7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УФК по Приморскому краю (Управление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Федеральной службы государственной регистрации, кадастра и картографии по Амурской области)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7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л/сч 03231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W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00570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эл.адрес: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ff"/>
                <w:sz w:val="22"/>
                <w:szCs w:val="22"/>
              </w:rPr>
            </w:r>
            <w:hyperlink r:id="rId11" w:tooltip="http://samsel_nn@r28.rosreestr.ru" w:history="1">
              <w:r>
                <w:rPr>
                  <w:rStyle w:val="855"/>
                  <w:rFonts w:ascii="Times New Roman" w:hAnsi="Times New Roman" w:eastAsia="Times New Roman" w:cs="Times New Roman"/>
                  <w:b/>
                  <w:sz w:val="22"/>
                  <w:szCs w:val="22"/>
                </w:rPr>
                <w:t xml:space="preserve">samsel_nn@r28.rosreestr.ru</w:t>
              </w:r>
              <w:r>
                <w:rPr>
                  <w:rStyle w:val="855"/>
                  <w:rFonts w:ascii="Times New Roman" w:hAnsi="Times New Roman" w:eastAsia="Times New Roman" w:cs="Times New Roman"/>
                  <w:sz w:val="22"/>
                  <w:szCs w:val="22"/>
                </w:rPr>
              </w:r>
              <w:r>
                <w:rPr>
                  <w:rStyle w:val="855"/>
                  <w:rFonts w:ascii="Times New Roman" w:hAnsi="Times New Roman" w:eastAsia="Times New Roman" w:cs="Times New Roman"/>
                  <w:b/>
                  <w:bCs/>
                  <w:sz w:val="22"/>
                  <w:szCs w:val="22"/>
                  <w:highlight w:val="none"/>
                </w:rPr>
              </w:r>
            </w:hyperlink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</w:r>
          </w:p>
          <w:p>
            <w:pPr>
              <w:widowControl w:val="off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9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gridBefore w:val="1"/>
        </w:trPr>
        <w:tc>
          <w:tcPr>
            <w:gridSpan w:val="2"/>
            <w:tcW w:w="5620" w:type="dxa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W w:w="5295" w:type="dxa"/>
            <w:textDirection w:val="lrTb"/>
            <w:noWrap w:val="false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gridBefore w:val="1"/>
        </w:trPr>
        <w:tc>
          <w:tcPr>
            <w:gridSpan w:val="2"/>
            <w:tcW w:w="5620" w:type="dxa"/>
            <w:textDirection w:val="lrTb"/>
            <w:noWrap w:val="false"/>
          </w:tcPr>
          <w:p>
            <w:pPr>
              <w:rPr>
                <w:i/>
                <w:color w:val="a6a6a6"/>
              </w:rPr>
            </w:pPr>
            <w:r>
              <w:rPr>
                <w:i/>
                <w:color w:val="a6a6a6"/>
              </w:rPr>
            </w:r>
            <w:r>
              <w:rPr>
                <w:i/>
                <w:color w:val="a6a6a6"/>
              </w:rPr>
            </w:r>
            <w:r>
              <w:rPr>
                <w:i/>
                <w:color w:val="a6a6a6"/>
              </w:rPr>
            </w:r>
          </w:p>
        </w:tc>
        <w:tc>
          <w:tcPr>
            <w:gridSpan w:val="2"/>
            <w:tcW w:w="5295" w:type="dxa"/>
            <w:textDirection w:val="lrTb"/>
            <w:noWrap w:val="false"/>
          </w:tcPr>
          <w:p>
            <w:pPr>
              <w:rPr>
                <w:i/>
                <w:color w:val="bfbfbf"/>
              </w:rPr>
            </w:pPr>
            <w:r>
              <w:rPr>
                <w:i/>
                <w:color w:val="bfbfbf"/>
              </w:rPr>
            </w:r>
            <w:r>
              <w:rPr>
                <w:i/>
                <w:color w:val="bfbfbf"/>
              </w:rPr>
            </w:r>
            <w:r>
              <w:rPr>
                <w:i/>
                <w:color w:val="bfbfbf"/>
              </w:rPr>
            </w:r>
          </w:p>
        </w:tc>
      </w:tr>
    </w:tbl>
    <w:p>
      <w:pPr>
        <w:rPr>
          <w:sz w:val="22"/>
          <w:szCs w:val="22"/>
        </w:rPr>
      </w:pPr>
      <w:r>
        <w:rPr>
          <w:szCs w:val="24"/>
          <w:lang w:eastAsia="ru-RU"/>
        </w:rPr>
        <w:t xml:space="preserve">                       </w:t>
      </w:r>
      <w:r>
        <w:rPr>
          <w:sz w:val="22"/>
          <w:szCs w:val="22"/>
          <w:lang w:eastAsia="ru-RU"/>
        </w:rPr>
        <w:t xml:space="preserve">ЗАКАЗЧИК:</w:t>
      </w:r>
      <w:r>
        <w:rPr>
          <w:sz w:val="22"/>
          <w:szCs w:val="22"/>
          <w:lang w:eastAsia="ru-RU"/>
        </w:rPr>
        <w:t xml:space="preserve">   </w:t>
      </w:r>
      <w:r>
        <w:rPr>
          <w:sz w:val="22"/>
          <w:szCs w:val="22"/>
          <w:lang w:eastAsia="ru-RU"/>
        </w:rPr>
        <w:t xml:space="preserve">                                                                         ИСПОЛНИТЕЛЬ: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iCs/>
          <w:color w:val="111111"/>
          <w:sz w:val="22"/>
          <w:szCs w:val="22"/>
        </w:rPr>
      </w:pPr>
      <w:r>
        <w:rPr>
          <w:sz w:val="22"/>
          <w:szCs w:val="22"/>
          <w:lang w:eastAsia="ru-RU"/>
        </w:rPr>
        <w:t xml:space="preserve">          </w:t>
      </w:r>
      <w:r>
        <w:rPr>
          <w:sz w:val="22"/>
          <w:szCs w:val="22"/>
          <w:lang w:eastAsia="ru-RU"/>
        </w:rPr>
        <w:t xml:space="preserve">Р</w:t>
      </w:r>
      <w:r>
        <w:rPr>
          <w:sz w:val="22"/>
          <w:szCs w:val="22"/>
          <w:lang w:eastAsia="ru-RU"/>
        </w:rPr>
        <w:t xml:space="preserve">у</w:t>
      </w:r>
      <w:r>
        <w:rPr>
          <w:sz w:val="22"/>
          <w:szCs w:val="22"/>
          <w:lang w:eastAsia="ru-RU"/>
        </w:rPr>
        <w:t xml:space="preserve">ководител</w:t>
      </w:r>
      <w:r>
        <w:rPr>
          <w:sz w:val="22"/>
          <w:szCs w:val="22"/>
          <w:lang w:eastAsia="ru-RU"/>
        </w:rPr>
        <w:t xml:space="preserve">ь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t xml:space="preserve">Управления                </w:t>
      </w:r>
      <w:r>
        <w:rPr>
          <w:sz w:val="22"/>
          <w:szCs w:val="22"/>
          <w:lang w:eastAsia="ru-RU"/>
        </w:rPr>
        <w:t xml:space="preserve">                                </w:t>
      </w:r>
      <w:r>
        <w:rPr>
          <w:sz w:val="22"/>
          <w:szCs w:val="22"/>
          <w:lang w:eastAsia="ru-RU"/>
        </w:rPr>
        <w:t xml:space="preserve">  </w:t>
      </w:r>
      <w:r>
        <w:rPr>
          <w:iCs/>
          <w:color w:val="111111"/>
          <w:sz w:val="22"/>
          <w:szCs w:val="22"/>
        </w:rPr>
      </w:r>
      <w:r>
        <w:rPr>
          <w:iCs/>
          <w:color w:val="111111"/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  <w:lang w:eastAsia="ru-RU"/>
        </w:rPr>
        <w:t xml:space="preserve">                                 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  <w:lang w:eastAsia="ru-RU"/>
        </w:rPr>
        <w:t xml:space="preserve">                   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  <w:lang w:eastAsia="ru-RU"/>
        </w:rPr>
        <w:t xml:space="preserve">         ______</w:t>
      </w:r>
      <w:r>
        <w:rPr>
          <w:sz w:val="22"/>
          <w:szCs w:val="22"/>
          <w:lang w:eastAsia="ru-RU"/>
        </w:rPr>
        <w:t xml:space="preserve">_____________</w:t>
      </w:r>
      <w:r>
        <w:rPr>
          <w:sz w:val="22"/>
          <w:szCs w:val="22"/>
          <w:lang w:eastAsia="ru-RU"/>
        </w:rPr>
        <w:t xml:space="preserve">__</w:t>
      </w:r>
      <w:r>
        <w:rPr>
          <w:sz w:val="22"/>
          <w:szCs w:val="22"/>
          <w:lang w:eastAsia="ru-RU"/>
        </w:rPr>
        <w:t xml:space="preserve">С.В</w:t>
      </w:r>
      <w:r>
        <w:rPr>
          <w:sz w:val="22"/>
          <w:szCs w:val="22"/>
          <w:lang w:eastAsia="ru-RU"/>
        </w:rPr>
        <w:t xml:space="preserve">.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t xml:space="preserve">Москалёва</w:t>
      </w:r>
      <w:r>
        <w:rPr>
          <w:sz w:val="22"/>
          <w:szCs w:val="22"/>
          <w:lang w:eastAsia="ru-RU"/>
        </w:rPr>
        <w:t xml:space="preserve">           </w:t>
      </w:r>
      <w:r>
        <w:rPr>
          <w:sz w:val="22"/>
          <w:szCs w:val="22"/>
          <w:lang w:eastAsia="ru-RU"/>
        </w:rPr>
        <w:t xml:space="preserve">             </w:t>
      </w:r>
      <w:r>
        <w:rPr>
          <w:sz w:val="22"/>
          <w:szCs w:val="22"/>
          <w:lang w:eastAsia="ru-RU"/>
        </w:rPr>
        <w:t xml:space="preserve">____________________</w:t>
      </w:r>
      <w:r>
        <w:rPr>
          <w:sz w:val="22"/>
          <w:szCs w:val="22"/>
          <w:lang w:eastAsia="ru-RU"/>
        </w:rPr>
        <w:t xml:space="preserve">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  <w:lang w:eastAsia="ru-RU"/>
        </w:rPr>
        <w:t xml:space="preserve">         «___</w:t>
      </w:r>
      <w:r>
        <w:rPr>
          <w:sz w:val="22"/>
          <w:szCs w:val="22"/>
          <w:lang w:eastAsia="ru-RU"/>
        </w:rPr>
        <w:t xml:space="preserve">_»</w:t>
      </w:r>
      <w:r>
        <w:rPr>
          <w:sz w:val="22"/>
          <w:szCs w:val="22"/>
          <w:lang w:eastAsia="ru-RU"/>
        </w:rPr>
        <w:t xml:space="preserve">_</w:t>
      </w:r>
      <w:r>
        <w:rPr>
          <w:sz w:val="22"/>
          <w:szCs w:val="22"/>
          <w:lang w:eastAsia="ru-RU"/>
        </w:rPr>
        <w:t xml:space="preserve">____________ 20</w:t>
      </w:r>
      <w:r>
        <w:rPr>
          <w:sz w:val="22"/>
          <w:szCs w:val="22"/>
          <w:lang w:eastAsia="ru-RU"/>
        </w:rPr>
        <w:t xml:space="preserve">26</w:t>
      </w:r>
      <w:r>
        <w:rPr>
          <w:sz w:val="22"/>
          <w:szCs w:val="22"/>
          <w:lang w:eastAsia="ru-RU"/>
        </w:rPr>
        <w:t xml:space="preserve"> г.</w:t>
      </w:r>
      <w:r>
        <w:rPr>
          <w:sz w:val="22"/>
          <w:szCs w:val="22"/>
          <w:lang w:eastAsia="ru-RU"/>
        </w:rPr>
        <w:t xml:space="preserve">                                                «____</w:t>
      </w:r>
      <w:r>
        <w:rPr>
          <w:sz w:val="22"/>
          <w:szCs w:val="22"/>
          <w:lang w:eastAsia="ru-RU"/>
        </w:rPr>
        <w:t xml:space="preserve">_»_</w:t>
      </w:r>
      <w:r>
        <w:rPr>
          <w:sz w:val="22"/>
          <w:szCs w:val="22"/>
          <w:lang w:eastAsia="ru-RU"/>
        </w:rPr>
        <w:t xml:space="preserve">______________20</w:t>
      </w:r>
      <w:r>
        <w:rPr>
          <w:sz w:val="22"/>
          <w:szCs w:val="22"/>
          <w:lang w:eastAsia="ru-RU"/>
        </w:rPr>
        <w:t xml:space="preserve">26</w:t>
      </w:r>
      <w:r>
        <w:rPr>
          <w:sz w:val="22"/>
          <w:szCs w:val="22"/>
          <w:lang w:eastAsia="ru-RU"/>
        </w:rPr>
        <w:t xml:space="preserve">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  <w:lang w:eastAsia="ru-RU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  <w:lang w:eastAsia="ru-RU"/>
        </w:rPr>
        <w:t xml:space="preserve">     </w:t>
      </w:r>
      <w:r>
        <w:rPr>
          <w:sz w:val="22"/>
          <w:szCs w:val="22"/>
          <w:lang w:eastAsia="ru-RU"/>
        </w:rPr>
        <w:t xml:space="preserve">М.П</w:t>
      </w:r>
      <w:r>
        <w:rPr>
          <w:sz w:val="22"/>
          <w:szCs w:val="22"/>
          <w:lang w:eastAsia="ru-RU"/>
        </w:rPr>
        <w:t xml:space="preserve">.                                                                                                М.П.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b/>
          <w:bCs/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№1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к договору №   </w:t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от </w:t>
      </w:r>
      <w:r>
        <w:rPr>
          <w:sz w:val="22"/>
          <w:szCs w:val="22"/>
        </w:rPr>
        <w:t xml:space="preserve">_________________</w:t>
      </w:r>
      <w:r>
        <w:rPr>
          <w:sz w:val="22"/>
          <w:szCs w:val="22"/>
        </w:rPr>
        <w:t xml:space="preserve">2026</w:t>
      </w:r>
      <w:r>
        <w:rPr>
          <w:sz w:val="22"/>
          <w:szCs w:val="22"/>
        </w:rPr>
        <w:t xml:space="preserve">г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0" w:type="auto"/>
        <w:jc w:val="center"/>
        <w:tblInd w:w="-581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702"/>
        <w:gridCol w:w="4018"/>
        <w:gridCol w:w="1943"/>
        <w:gridCol w:w="1071"/>
        <w:gridCol w:w="2270"/>
      </w:tblGrid>
      <w:tr>
        <w:tblPrEx/>
        <w:trPr>
          <w:trHeight w:val="634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702" w:type="dxa"/>
            <w:vAlign w:val="bottom"/>
            <w:textDirection w:val="lrTb"/>
            <w:noWrap w:val="false"/>
          </w:tcPr>
          <w:p>
            <w:pPr>
              <w:pStyle w:val="922"/>
              <w:ind w:firstLine="160"/>
              <w:jc w:val="both"/>
              <w:spacing w:after="40"/>
              <w:shd w:val="clear" w:color="auto" w:fill="auto"/>
              <w:rPr>
                <w:szCs w:val="22"/>
              </w:rPr>
            </w:pPr>
            <w:r>
              <w:rPr>
                <w:rStyle w:val="918"/>
                <w:color w:val="000000"/>
                <w:szCs w:val="22"/>
              </w:rPr>
              <w:t xml:space="preserve">№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  <w:p>
            <w:pPr>
              <w:pStyle w:val="922"/>
              <w:jc w:val="center"/>
              <w:shd w:val="clear" w:color="auto" w:fill="auto"/>
              <w:rPr>
                <w:szCs w:val="22"/>
              </w:rPr>
            </w:pPr>
            <w:r>
              <w:rPr>
                <w:rStyle w:val="918"/>
                <w:color w:val="000000"/>
                <w:szCs w:val="22"/>
              </w:rPr>
              <w:t xml:space="preserve">п/п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4018" w:type="dxa"/>
            <w:vAlign w:val="bottom"/>
            <w:textDirection w:val="lrTb"/>
            <w:noWrap w:val="false"/>
          </w:tcPr>
          <w:p>
            <w:pPr>
              <w:pStyle w:val="922"/>
              <w:jc w:val="center"/>
              <w:spacing w:after="40"/>
              <w:shd w:val="clear" w:color="auto" w:fill="auto"/>
              <w:rPr>
                <w:szCs w:val="22"/>
              </w:rPr>
            </w:pPr>
            <w:r>
              <w:rPr>
                <w:rStyle w:val="918"/>
                <w:color w:val="000000"/>
                <w:szCs w:val="22"/>
              </w:rPr>
              <w:t xml:space="preserve">НАИМЕНОВАНИЕ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  <w:p>
            <w:pPr>
              <w:pStyle w:val="922"/>
              <w:jc w:val="center"/>
              <w:shd w:val="clear" w:color="auto" w:fill="auto"/>
              <w:rPr>
                <w:szCs w:val="22"/>
              </w:rPr>
            </w:pPr>
            <w:r>
              <w:rPr>
                <w:rStyle w:val="918"/>
                <w:color w:val="000000"/>
                <w:szCs w:val="22"/>
              </w:rPr>
              <w:t xml:space="preserve">СИ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43" w:type="dxa"/>
            <w:vAlign w:val="bottom"/>
            <w:textDirection w:val="lrTb"/>
            <w:noWrap w:val="false"/>
          </w:tcPr>
          <w:p>
            <w:pPr>
              <w:pStyle w:val="922"/>
              <w:jc w:val="center"/>
              <w:spacing w:after="40"/>
              <w:shd w:val="clear" w:color="auto" w:fill="auto"/>
              <w:rPr>
                <w:szCs w:val="22"/>
              </w:rPr>
            </w:pPr>
            <w:r>
              <w:rPr>
                <w:rStyle w:val="918"/>
                <w:color w:val="000000"/>
                <w:szCs w:val="22"/>
              </w:rPr>
              <w:t xml:space="preserve">кол-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  <w:p>
            <w:pPr>
              <w:pStyle w:val="922"/>
              <w:jc w:val="center"/>
              <w:shd w:val="clear" w:color="auto" w:fill="auto"/>
              <w:rPr>
                <w:szCs w:val="22"/>
              </w:rPr>
            </w:pPr>
            <w:r>
              <w:rPr>
                <w:rStyle w:val="918"/>
                <w:color w:val="000000"/>
                <w:szCs w:val="22"/>
              </w:rPr>
              <w:t xml:space="preserve">во/шт.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071" w:type="dxa"/>
            <w:vAlign w:val="bottom"/>
            <w:textDirection w:val="lrTb"/>
            <w:noWrap w:val="false"/>
          </w:tcPr>
          <w:p>
            <w:pPr>
              <w:pStyle w:val="922"/>
              <w:jc w:val="center"/>
              <w:spacing w:line="276" w:lineRule="auto"/>
              <w:shd w:val="clear" w:color="auto" w:fill="auto"/>
              <w:rPr>
                <w:szCs w:val="22"/>
              </w:rPr>
            </w:pPr>
            <w:r>
              <w:rPr>
                <w:rStyle w:val="918"/>
                <w:color w:val="000000"/>
                <w:szCs w:val="22"/>
              </w:rPr>
              <w:t xml:space="preserve">цена за единицу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270" w:type="dxa"/>
            <w:vAlign w:val="top"/>
            <w:textDirection w:val="lrTb"/>
            <w:noWrap w:val="false"/>
          </w:tcPr>
          <w:p>
            <w:pPr>
              <w:pStyle w:val="922"/>
              <w:jc w:val="center"/>
              <w:shd w:val="clear" w:color="auto" w:fill="auto"/>
              <w:rPr>
                <w:szCs w:val="22"/>
              </w:rPr>
            </w:pPr>
            <w:r>
              <w:rPr>
                <w:rStyle w:val="918"/>
                <w:color w:val="000000"/>
                <w:szCs w:val="22"/>
              </w:rPr>
              <w:t xml:space="preserve">Итого без НДС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</w:tr>
      <w:tr>
        <w:tblPrEx/>
        <w:trPr>
          <w:trHeight w:val="950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702" w:type="dxa"/>
            <w:vAlign w:val="center"/>
            <w:textDirection w:val="lrTb"/>
            <w:noWrap w:val="false"/>
          </w:tcPr>
          <w:p>
            <w:pPr>
              <w:pStyle w:val="922"/>
              <w:ind w:firstLine="160"/>
              <w:jc w:val="both"/>
              <w:shd w:val="clear" w:color="auto" w:fill="auto"/>
              <w:rPr>
                <w:szCs w:val="22"/>
              </w:rPr>
            </w:pPr>
            <w:r>
              <w:rPr>
                <w:rStyle w:val="918"/>
                <w:color w:val="000000"/>
                <w:szCs w:val="22"/>
              </w:rPr>
              <w:t xml:space="preserve">1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4018" w:type="dxa"/>
            <w:vAlign w:val="center"/>
            <w:textDirection w:val="lrTb"/>
            <w:noWrap w:val="false"/>
          </w:tcPr>
          <w:p>
            <w:pPr>
              <w:pStyle w:val="922"/>
              <w:rPr>
                <w:szCs w:val="22"/>
              </w:rPr>
            </w:pPr>
            <w:r>
              <w:rPr>
                <w:szCs w:val="22"/>
              </w:rPr>
              <w:t xml:space="preserve">Проведение диагностики беспилотного воздушного судна  </w:t>
            </w:r>
            <w:r>
              <w:rPr>
                <w:szCs w:val="22"/>
              </w:rPr>
              <w:t xml:space="preserve">ГЕОСКАН GEMINI 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43" w:type="dxa"/>
            <w:vAlign w:val="bottom"/>
            <w:textDirection w:val="lrTb"/>
            <w:noWrap w:val="false"/>
          </w:tcPr>
          <w:p>
            <w:pPr>
              <w:pStyle w:val="922"/>
              <w:jc w:val="center"/>
              <w:shd w:val="clear" w:color="auto" w:fill="auto"/>
              <w:rPr>
                <w:szCs w:val="22"/>
              </w:rPr>
            </w:pPr>
            <w:r>
              <w:rPr>
                <w:szCs w:val="22"/>
              </w:rPr>
              <w:t xml:space="preserve">1 шт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071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270" w:type="dxa"/>
            <w:vAlign w:val="bottom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87" w:hRule="exact"/>
        </w:trPr>
        <w:tc>
          <w:tcPr>
            <w:shd w:val="clear" w:color="auto" w:fill="ffffff"/>
            <w:tcBorders>
              <w:top w:val="single" w:color="auto" w:sz="4" w:space="0"/>
            </w:tcBorders>
            <w:tcW w:w="702" w:type="dxa"/>
            <w:vAlign w:val="center"/>
            <w:textDirection w:val="lrTb"/>
            <w:noWrap w:val="false"/>
          </w:tcPr>
          <w:p>
            <w:pPr>
              <w:pStyle w:val="922"/>
              <w:ind w:firstLine="160"/>
              <w:jc w:val="both"/>
              <w:shd w:val="clear" w:color="auto" w:fill="auto"/>
              <w:rPr>
                <w:szCs w:val="22"/>
              </w:rPr>
            </w:pPr>
            <w:r>
              <w:rPr>
                <w:szCs w:val="22"/>
              </w:rPr>
              <w:t xml:space="preserve">                      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</w:tcBorders>
            <w:tcW w:w="4018" w:type="dxa"/>
            <w:vAlign w:val="top"/>
            <w:textDirection w:val="lrTb"/>
            <w:noWrap w:val="false"/>
          </w:tcPr>
          <w:p>
            <w:pPr>
              <w:pStyle w:val="922"/>
              <w:shd w:val="clear" w:color="auto" w:fill="auto"/>
              <w:rPr>
                <w:szCs w:val="22"/>
              </w:rPr>
            </w:pPr>
            <w:r>
              <w:rPr>
                <w:szCs w:val="22"/>
              </w:rPr>
              <w:t xml:space="preserve">                                     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right w:val="single" w:color="auto" w:sz="4" w:space="0"/>
            </w:tcBorders>
            <w:tcW w:w="1943" w:type="dxa"/>
            <w:vAlign w:val="top"/>
            <w:textDirection w:val="lrTb"/>
            <w:noWrap w:val="false"/>
          </w:tcPr>
          <w:p>
            <w:pPr>
              <w:pStyle w:val="922"/>
              <w:jc w:val="center"/>
              <w:shd w:val="clear" w:color="auto" w:fill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Итого (без НДС)</w: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</w:r>
          </w:p>
          <w:p>
            <w:pPr>
              <w:pStyle w:val="922"/>
              <w:jc w:val="center"/>
              <w:shd w:val="clear" w:color="auto" w:fill="auto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1" w:type="dxa"/>
            <w:vAlign w:val="top"/>
            <w:textDirection w:val="lrTb"/>
            <w:noWrap w:val="false"/>
          </w:tcPr>
          <w:p>
            <w:pPr>
              <w:pStyle w:val="922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70" w:type="dxa"/>
            <w:vAlign w:val="top"/>
            <w:textDirection w:val="lrTb"/>
            <w:noWrap w:val="false"/>
          </w:tcPr>
          <w:p>
            <w:r/>
            <w:r/>
          </w:p>
        </w:tc>
      </w:tr>
    </w:tbl>
    <w:p>
      <w:pPr>
        <w:pStyle w:val="873"/>
        <w:ind w:left="-2"/>
        <w:jc w:val="center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ind w:left="-2"/>
        <w:jc w:val="center"/>
        <w:shd w:val="clear" w:color="auto" w:fill="ffffff"/>
        <w:rPr>
          <w:b/>
          <w:sz w:val="22"/>
          <w:szCs w:val="22"/>
        </w:rPr>
      </w:pPr>
      <w:r>
        <w:rPr>
          <w:sz w:val="22"/>
          <w:szCs w:val="22"/>
        </w:rPr>
        <w:t xml:space="preserve">Характеристики </w:t>
      </w:r>
      <w:r>
        <w:rPr>
          <w:sz w:val="22"/>
          <w:szCs w:val="22"/>
        </w:rPr>
        <w:t xml:space="preserve">БВС Управления Федеральной службы государственной регистрации, кадастра и картографии по Амурской области</w:t>
      </w:r>
      <w:r>
        <w:rPr>
          <w:bCs/>
          <w:sz w:val="22"/>
          <w:szCs w:val="22"/>
        </w:rPr>
        <w:t xml:space="preserve"> 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926"/>
        <w:gridCol w:w="446"/>
        <w:gridCol w:w="448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2" w:type="dxa"/>
            <w:vAlign w:val="top"/>
            <w:textDirection w:val="lrTb"/>
            <w:noWrap w:val="false"/>
          </w:tcPr>
          <w:p>
            <w:pPr>
              <w:pStyle w:val="873"/>
              <w:contextualSpacing/>
              <w:spacing w:after="160"/>
              <w:widowControl w:val="off"/>
              <w:tabs>
                <w:tab w:val="left" w:pos="426" w:leader="none"/>
                <w:tab w:val="left" w:pos="993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Собственник беспилотного воздушного судна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1" w:type="dxa"/>
            <w:vAlign w:val="top"/>
            <w:textDirection w:val="lrTb"/>
            <w:noWrap w:val="false"/>
          </w:tcPr>
          <w:p>
            <w:pPr>
              <w:pStyle w:val="873"/>
              <w:contextualSpacing/>
              <w:spacing w:after="160"/>
              <w:widowControl w:val="off"/>
              <w:tabs>
                <w:tab w:val="left" w:pos="426" w:leader="none"/>
                <w:tab w:val="left" w:pos="993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Росреестра по Амурской области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2" w:type="dxa"/>
            <w:vAlign w:val="top"/>
            <w:textDirection w:val="lrTb"/>
            <w:noWrap w:val="false"/>
          </w:tcPr>
          <w:p>
            <w:pPr>
              <w:pStyle w:val="873"/>
              <w:contextualSpacing/>
              <w:spacing w:after="160"/>
              <w:widowControl w:val="off"/>
              <w:tabs>
                <w:tab w:val="left" w:pos="426" w:leader="none"/>
                <w:tab w:val="left" w:pos="993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(тип) беспилотного воздушного судна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1" w:type="dxa"/>
            <w:vAlign w:val="top"/>
            <w:textDirection w:val="lrTb"/>
            <w:noWrap w:val="false"/>
          </w:tcPr>
          <w:p>
            <w:pPr>
              <w:pStyle w:val="873"/>
              <w:contextualSpacing/>
              <w:spacing w:after="160"/>
              <w:widowControl w:val="off"/>
              <w:tabs>
                <w:tab w:val="left" w:pos="426" w:leader="none"/>
                <w:tab w:val="left" w:pos="993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ГК «Геоскан» </w:t>
            </w:r>
            <w:r>
              <w:rPr>
                <w:sz w:val="22"/>
                <w:szCs w:val="22"/>
                <w:lang w:val="en-US"/>
              </w:rPr>
              <w:t xml:space="preserve">Geoscan </w:t>
            </w:r>
            <w:r>
              <w:rPr>
                <w:sz w:val="22"/>
                <w:szCs w:val="22"/>
              </w:rPr>
              <w:t xml:space="preserve">Gemini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2" w:type="dxa"/>
            <w:vAlign w:val="top"/>
            <w:textDirection w:val="lrTb"/>
            <w:noWrap w:val="false"/>
          </w:tcPr>
          <w:p>
            <w:pPr>
              <w:pStyle w:val="873"/>
              <w:contextualSpacing/>
              <w:spacing w:after="160"/>
              <w:widowControl w:val="off"/>
              <w:tabs>
                <w:tab w:val="left" w:pos="426" w:leader="none"/>
                <w:tab w:val="left" w:pos="993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Год выпуска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1" w:type="dxa"/>
            <w:vAlign w:val="top"/>
            <w:textDirection w:val="lrTb"/>
            <w:noWrap w:val="false"/>
          </w:tcPr>
          <w:p>
            <w:pPr>
              <w:pStyle w:val="873"/>
              <w:contextualSpacing/>
              <w:spacing w:after="160"/>
              <w:widowControl w:val="off"/>
              <w:tabs>
                <w:tab w:val="left" w:pos="426" w:leader="none"/>
                <w:tab w:val="left" w:pos="993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год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2" w:type="dxa"/>
            <w:vAlign w:val="top"/>
            <w:textDirection w:val="lrTb"/>
            <w:noWrap w:val="false"/>
          </w:tcPr>
          <w:p>
            <w:pPr>
              <w:pStyle w:val="873"/>
              <w:contextualSpacing/>
              <w:spacing w:after="160"/>
              <w:widowControl w:val="off"/>
              <w:tabs>
                <w:tab w:val="left" w:pos="426" w:leader="none"/>
                <w:tab w:val="left" w:pos="993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Максимальная взлетная масса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1" w:type="dxa"/>
            <w:vAlign w:val="top"/>
            <w:textDirection w:val="lrTb"/>
            <w:noWrap w:val="false"/>
          </w:tcPr>
          <w:p>
            <w:pPr>
              <w:pStyle w:val="873"/>
              <w:contextualSpacing/>
              <w:spacing w:after="160"/>
              <w:widowControl w:val="off"/>
              <w:tabs>
                <w:tab w:val="left" w:pos="426" w:leader="none"/>
                <w:tab w:val="left" w:pos="993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1,9 кг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2" w:type="dxa"/>
            <w:vAlign w:val="top"/>
            <w:textDirection w:val="lrTb"/>
            <w:noWrap w:val="false"/>
          </w:tcPr>
          <w:p>
            <w:pPr>
              <w:pStyle w:val="873"/>
              <w:contextualSpacing/>
              <w:spacing w:after="160"/>
              <w:widowControl w:val="off"/>
              <w:tabs>
                <w:tab w:val="left" w:pos="426" w:leader="none"/>
                <w:tab w:val="left" w:pos="993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Учётный номер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1" w:type="dxa"/>
            <w:vAlign w:val="top"/>
            <w:textDirection w:val="lrTb"/>
            <w:noWrap w:val="false"/>
          </w:tcPr>
          <w:p>
            <w:pPr>
              <w:pStyle w:val="873"/>
              <w:contextualSpacing/>
              <w:spacing w:after="160"/>
              <w:widowControl w:val="off"/>
              <w:tabs>
                <w:tab w:val="left" w:pos="426" w:leader="none"/>
                <w:tab w:val="left" w:pos="993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83010ас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2" w:type="dxa"/>
            <w:vAlign w:val="top"/>
            <w:textDirection w:val="lrTb"/>
            <w:noWrap w:val="false"/>
          </w:tcPr>
          <w:p>
            <w:pPr>
              <w:pStyle w:val="873"/>
              <w:contextualSpacing/>
              <w:spacing w:after="160"/>
              <w:widowControl w:val="off"/>
              <w:tabs>
                <w:tab w:val="left" w:pos="426" w:leader="none"/>
                <w:tab w:val="left" w:pos="993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постановки на учёт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1" w:type="dxa"/>
            <w:vAlign w:val="top"/>
            <w:textDirection w:val="lrTb"/>
            <w:noWrap w:val="false"/>
          </w:tcPr>
          <w:p>
            <w:pPr>
              <w:pStyle w:val="873"/>
              <w:contextualSpacing/>
              <w:spacing w:after="160"/>
              <w:widowControl w:val="off"/>
              <w:tabs>
                <w:tab w:val="left" w:pos="426" w:leader="none"/>
                <w:tab w:val="left" w:pos="993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24.12.2025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2" w:type="dxa"/>
            <w:vAlign w:val="top"/>
            <w:textDirection w:val="lrTb"/>
            <w:noWrap w:val="false"/>
          </w:tcPr>
          <w:p>
            <w:pPr>
              <w:pStyle w:val="873"/>
              <w:contextualSpacing/>
              <w:spacing w:after="160"/>
              <w:widowControl w:val="off"/>
              <w:tabs>
                <w:tab w:val="left" w:pos="426" w:leader="none"/>
                <w:tab w:val="left" w:pos="993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Заводской номер/серийный номер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G004000528 / РАМ320000295</w:t>
            </w: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  <w:lang w:val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2" w:type="dxa"/>
            <w:vAlign w:val="top"/>
            <w:textDirection w:val="lrTb"/>
            <w:noWrap w:val="false"/>
          </w:tcPr>
          <w:p>
            <w:pPr>
              <w:pStyle w:val="873"/>
              <w:rPr>
                <w:rFonts w:eastAsia="Batang"/>
                <w:sz w:val="22"/>
                <w:szCs w:val="22"/>
                <w:lang w:eastAsia="ko-KR"/>
              </w:rPr>
            </w:pPr>
            <w:r>
              <w:rPr>
                <w:rFonts w:eastAsia="Batang"/>
                <w:sz w:val="22"/>
                <w:szCs w:val="22"/>
                <w:lang w:eastAsia="ko-KR"/>
              </w:rPr>
              <w:t xml:space="preserve">Классификация (ударные, гражданского назначения)</w:t>
            </w:r>
            <w:r>
              <w:rPr>
                <w:rFonts w:eastAsia="Batang"/>
                <w:sz w:val="22"/>
                <w:szCs w:val="22"/>
                <w:lang w:eastAsia="ko-KR"/>
              </w:rPr>
            </w:r>
            <w:r>
              <w:rPr>
                <w:rFonts w:eastAsia="Batang"/>
                <w:sz w:val="22"/>
                <w:szCs w:val="22"/>
                <w:lang w:eastAsia="ko-K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1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>
              <w:rPr>
                <w:rFonts w:eastAsia="Batang"/>
                <w:sz w:val="22"/>
                <w:szCs w:val="22"/>
                <w:lang w:eastAsia="ko-KR"/>
              </w:rPr>
              <w:t xml:space="preserve">Гражданского назначения</w:t>
            </w:r>
            <w:r>
              <w:rPr>
                <w:rFonts w:eastAsia="Batang"/>
                <w:sz w:val="22"/>
                <w:szCs w:val="22"/>
                <w:lang w:eastAsia="ko-KR"/>
              </w:rPr>
            </w:r>
            <w:r>
              <w:rPr>
                <w:rFonts w:eastAsia="Batang"/>
                <w:sz w:val="22"/>
                <w:szCs w:val="22"/>
                <w:lang w:eastAsia="ko-KR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2" w:type="dxa"/>
            <w:vAlign w:val="top"/>
            <w:textDirection w:val="lrTb"/>
            <w:noWrap w:val="false"/>
          </w:tcPr>
          <w:p>
            <w:pPr>
              <w:pStyle w:val="873"/>
              <w:rPr>
                <w:rFonts w:eastAsia="Batang"/>
                <w:sz w:val="22"/>
                <w:szCs w:val="22"/>
                <w:lang w:eastAsia="ko-KR"/>
              </w:rPr>
            </w:pPr>
            <w:r>
              <w:rPr>
                <w:rFonts w:eastAsia="Batang"/>
                <w:sz w:val="22"/>
                <w:szCs w:val="22"/>
                <w:lang w:eastAsia="ko-KR"/>
              </w:rPr>
              <w:t xml:space="preserve">Характер эксплуатации</w:t>
            </w:r>
            <w:r>
              <w:rPr>
                <w:rFonts w:eastAsia="Batang"/>
                <w:sz w:val="22"/>
                <w:szCs w:val="22"/>
                <w:lang w:eastAsia="ko-KR"/>
              </w:rPr>
            </w:r>
            <w:r>
              <w:rPr>
                <w:rFonts w:eastAsia="Batang"/>
                <w:sz w:val="22"/>
                <w:szCs w:val="22"/>
                <w:lang w:eastAsia="ko-K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1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>
              <w:rPr>
                <w:rFonts w:eastAsia="Batang"/>
                <w:sz w:val="22"/>
                <w:szCs w:val="22"/>
                <w:lang w:eastAsia="ko-KR"/>
              </w:rPr>
              <w:t xml:space="preserve">Профессиональный:</w:t>
            </w:r>
            <w:r>
              <w:rPr>
                <w:rFonts w:eastAsia="Batang"/>
                <w:sz w:val="22"/>
                <w:szCs w:val="22"/>
              </w:rPr>
              <w:t xml:space="preserve"> съемка поверхности земли</w:t>
            </w:r>
            <w:r>
              <w:rPr>
                <w:rFonts w:eastAsia="Batang"/>
                <w:sz w:val="22"/>
                <w:szCs w:val="22"/>
                <w:lang w:eastAsia="ko-KR"/>
              </w:rPr>
            </w:r>
            <w:r>
              <w:rPr>
                <w:rFonts w:eastAsia="Batang"/>
                <w:sz w:val="22"/>
                <w:szCs w:val="22"/>
                <w:lang w:eastAsia="ko-KR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2" w:type="dxa"/>
            <w:vAlign w:val="top"/>
            <w:textDirection w:val="lrTb"/>
            <w:noWrap w:val="false"/>
          </w:tcPr>
          <w:p>
            <w:pPr>
              <w:pStyle w:val="873"/>
              <w:rPr>
                <w:rFonts w:eastAsia="Batang"/>
                <w:sz w:val="22"/>
                <w:szCs w:val="22"/>
                <w:lang w:eastAsia="ko-KR"/>
              </w:rPr>
            </w:pPr>
            <w:r>
              <w:rPr>
                <w:rFonts w:eastAsia="Batang"/>
                <w:sz w:val="22"/>
                <w:szCs w:val="22"/>
                <w:lang w:eastAsia="ko-KR"/>
              </w:rPr>
              <w:t xml:space="preserve">Полеты осуществляются в коммерческих или некоммерческих целях</w:t>
            </w:r>
            <w:r>
              <w:rPr>
                <w:rFonts w:eastAsia="Batang"/>
                <w:sz w:val="22"/>
                <w:szCs w:val="22"/>
                <w:lang w:eastAsia="ko-KR"/>
              </w:rPr>
            </w:r>
            <w:r>
              <w:rPr>
                <w:rFonts w:eastAsia="Batang"/>
                <w:sz w:val="22"/>
                <w:szCs w:val="22"/>
                <w:lang w:eastAsia="ko-K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1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>
              <w:rPr>
                <w:rFonts w:eastAsia="Batang"/>
                <w:sz w:val="22"/>
                <w:szCs w:val="22"/>
                <w:lang w:eastAsia="ko-KR"/>
              </w:rPr>
              <w:t xml:space="preserve">Некоммерческих целях</w:t>
            </w:r>
            <w:r>
              <w:rPr>
                <w:rFonts w:eastAsia="Batang"/>
                <w:sz w:val="22"/>
                <w:szCs w:val="22"/>
                <w:lang w:eastAsia="ko-KR"/>
              </w:rPr>
            </w:r>
            <w:r>
              <w:rPr>
                <w:rFonts w:eastAsia="Batang"/>
                <w:sz w:val="22"/>
                <w:szCs w:val="22"/>
                <w:lang w:eastAsia="ko-KR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2" w:type="dxa"/>
            <w:vAlign w:val="top"/>
            <w:textDirection w:val="lrTb"/>
            <w:noWrap w:val="false"/>
          </w:tcPr>
          <w:p>
            <w:pPr>
              <w:pStyle w:val="873"/>
              <w:rPr>
                <w:rFonts w:eastAsia="Batang"/>
                <w:sz w:val="22"/>
                <w:szCs w:val="22"/>
                <w:lang w:eastAsia="ko-KR"/>
              </w:rPr>
            </w:pPr>
            <w:r>
              <w:rPr>
                <w:rFonts w:eastAsia="Batang"/>
                <w:sz w:val="22"/>
                <w:szCs w:val="22"/>
                <w:lang w:eastAsia="ko-KR"/>
              </w:rPr>
              <w:t xml:space="preserve">География полётов</w:t>
            </w:r>
            <w:r>
              <w:rPr>
                <w:rFonts w:eastAsia="Batang"/>
                <w:sz w:val="22"/>
                <w:szCs w:val="22"/>
                <w:lang w:eastAsia="ko-KR"/>
              </w:rPr>
            </w:r>
            <w:r>
              <w:rPr>
                <w:rFonts w:eastAsia="Batang"/>
                <w:sz w:val="22"/>
                <w:szCs w:val="22"/>
                <w:lang w:eastAsia="ko-K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1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>
              <w:rPr>
                <w:rFonts w:eastAsia="Batang"/>
                <w:sz w:val="22"/>
                <w:szCs w:val="22"/>
                <w:lang w:eastAsia="ko-KR"/>
              </w:rPr>
              <w:t xml:space="preserve">Амурская область</w:t>
            </w:r>
            <w:r>
              <w:rPr>
                <w:rFonts w:eastAsia="Batang"/>
                <w:sz w:val="22"/>
                <w:szCs w:val="22"/>
                <w:lang w:eastAsia="ko-KR"/>
              </w:rPr>
            </w:r>
            <w:r>
              <w:rPr>
                <w:rFonts w:eastAsia="Batang"/>
                <w:sz w:val="22"/>
                <w:szCs w:val="22"/>
                <w:lang w:eastAsia="ko-KR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2" w:type="dxa"/>
            <w:vAlign w:val="top"/>
            <w:textDirection w:val="lrTb"/>
            <w:noWrap w:val="false"/>
          </w:tcPr>
          <w:p>
            <w:pPr>
              <w:pStyle w:val="873"/>
              <w:rPr>
                <w:rFonts w:eastAsia="Batang"/>
                <w:sz w:val="22"/>
                <w:szCs w:val="22"/>
                <w:lang w:eastAsia="ko-KR"/>
              </w:rPr>
            </w:pPr>
            <w:r>
              <w:rPr>
                <w:rFonts w:eastAsia="Batang"/>
                <w:sz w:val="22"/>
                <w:szCs w:val="22"/>
                <w:lang w:eastAsia="ko-KR"/>
              </w:rPr>
              <w:t xml:space="preserve">Условия использования воздушного пространства (сегрегированное или отдельная зона), получаются ли разрешения на выполнение полётов</w:t>
            </w:r>
            <w:r>
              <w:rPr>
                <w:rFonts w:eastAsia="Batang"/>
                <w:sz w:val="22"/>
                <w:szCs w:val="22"/>
                <w:lang w:eastAsia="ko-KR"/>
              </w:rPr>
            </w:r>
            <w:r>
              <w:rPr>
                <w:rFonts w:eastAsia="Batang"/>
                <w:sz w:val="22"/>
                <w:szCs w:val="22"/>
                <w:lang w:eastAsia="ko-K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1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>
              <w:rPr>
                <w:rFonts w:eastAsia="Batang"/>
                <w:sz w:val="22"/>
                <w:szCs w:val="22"/>
                <w:lang w:eastAsia="ko-KR"/>
              </w:rPr>
              <w:t xml:space="preserve">Отдельная зона в рамках временного или местного режимов, разрешения на полеты получаются</w:t>
            </w:r>
            <w:r>
              <w:rPr>
                <w:rFonts w:eastAsia="Batang"/>
                <w:sz w:val="22"/>
                <w:szCs w:val="22"/>
                <w:lang w:eastAsia="ko-KR"/>
              </w:rPr>
            </w:r>
            <w:r>
              <w:rPr>
                <w:rFonts w:eastAsia="Batang"/>
                <w:sz w:val="22"/>
                <w:szCs w:val="22"/>
                <w:lang w:eastAsia="ko-KR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2" w:type="dxa"/>
            <w:vAlign w:val="top"/>
            <w:textDirection w:val="lrTb"/>
            <w:noWrap w:val="false"/>
          </w:tcPr>
          <w:p>
            <w:pPr>
              <w:pStyle w:val="873"/>
              <w:rPr>
                <w:rFonts w:eastAsia="Batang"/>
                <w:sz w:val="22"/>
                <w:szCs w:val="22"/>
                <w:lang w:eastAsia="ko-KR"/>
              </w:rPr>
            </w:pPr>
            <w:r>
              <w:rPr>
                <w:rFonts w:eastAsia="Batang"/>
                <w:sz w:val="22"/>
                <w:szCs w:val="22"/>
                <w:lang w:eastAsia="ko-KR"/>
              </w:rPr>
              <w:t xml:space="preserve">Способ контроля (визуальный контроль, приборный контроль)</w:t>
            </w:r>
            <w:r>
              <w:rPr>
                <w:rFonts w:eastAsia="Batang"/>
                <w:sz w:val="22"/>
                <w:szCs w:val="22"/>
                <w:lang w:eastAsia="ko-KR"/>
              </w:rPr>
            </w:r>
            <w:r>
              <w:rPr>
                <w:rFonts w:eastAsia="Batang"/>
                <w:sz w:val="22"/>
                <w:szCs w:val="22"/>
                <w:lang w:eastAsia="ko-K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1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>
              <w:rPr>
                <w:rFonts w:eastAsia="Batang"/>
                <w:sz w:val="22"/>
                <w:szCs w:val="22"/>
                <w:lang w:eastAsia="ko-KR"/>
              </w:rPr>
              <w:t xml:space="preserve">Приборный контроль</w:t>
            </w:r>
            <w:r>
              <w:rPr>
                <w:rFonts w:eastAsia="Batang"/>
                <w:sz w:val="22"/>
                <w:szCs w:val="22"/>
                <w:lang w:eastAsia="ko-KR"/>
              </w:rPr>
            </w:r>
            <w:r>
              <w:rPr>
                <w:rFonts w:eastAsia="Batang"/>
                <w:sz w:val="22"/>
                <w:szCs w:val="22"/>
                <w:lang w:eastAsia="ko-KR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2" w:type="dxa"/>
            <w:vAlign w:val="top"/>
            <w:textDirection w:val="lrTb"/>
            <w:noWrap w:val="false"/>
          </w:tcPr>
          <w:p>
            <w:pPr>
              <w:pStyle w:val="873"/>
              <w:rPr>
                <w:rFonts w:eastAsia="Batang"/>
                <w:sz w:val="22"/>
                <w:szCs w:val="22"/>
                <w:lang w:eastAsia="ko-KR"/>
              </w:rPr>
            </w:pPr>
            <w:r>
              <w:rPr>
                <w:rFonts w:eastAsia="Batang"/>
                <w:sz w:val="22"/>
                <w:szCs w:val="22"/>
                <w:lang w:eastAsia="ko-KR"/>
              </w:rPr>
              <w:t xml:space="preserve">Подвергалось ли воздушное судно неплановому ремонту: да/нет</w:t>
            </w:r>
            <w:r>
              <w:rPr>
                <w:rFonts w:eastAsia="Batang"/>
                <w:sz w:val="22"/>
                <w:szCs w:val="22"/>
                <w:lang w:eastAsia="ko-KR"/>
              </w:rPr>
            </w:r>
            <w:r>
              <w:rPr>
                <w:rFonts w:eastAsia="Batang"/>
                <w:sz w:val="22"/>
                <w:szCs w:val="22"/>
                <w:lang w:eastAsia="ko-K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1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>
              <w:rPr>
                <w:rFonts w:eastAsia="Batang"/>
                <w:sz w:val="22"/>
                <w:szCs w:val="22"/>
                <w:lang w:eastAsia="ko-KR"/>
              </w:rPr>
              <w:t xml:space="preserve">нет </w:t>
            </w:r>
            <w:r>
              <w:rPr>
                <w:rFonts w:eastAsia="Batang"/>
                <w:sz w:val="22"/>
                <w:szCs w:val="22"/>
                <w:lang w:eastAsia="ko-KR"/>
              </w:rPr>
            </w:r>
            <w:r>
              <w:rPr>
                <w:rFonts w:eastAsia="Batang"/>
                <w:sz w:val="22"/>
                <w:szCs w:val="22"/>
                <w:lang w:eastAsia="ko-KR"/>
              </w:rPr>
            </w:r>
          </w:p>
        </w:tc>
      </w:tr>
      <w:tr>
        <w:tblPrEx/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926" w:type="dxa"/>
            <w:vAlign w:val="top"/>
            <w:textDirection w:val="lrTb"/>
            <w:noWrap w:val="false"/>
          </w:tcPr>
          <w:p>
            <w:pPr>
              <w:pStyle w:val="87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Style w:val="87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Исполнитель:</w:t>
              <w:tab/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927" w:type="dxa"/>
            <w:vAlign w:val="top"/>
            <w:textDirection w:val="lrTb"/>
            <w:noWrap w:val="false"/>
          </w:tcPr>
          <w:p>
            <w:pPr>
              <w:pStyle w:val="87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Заказчик: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926" w:type="dxa"/>
            <w:vAlign w:val="top"/>
            <w:textDirection w:val="lrTb"/>
            <w:noWrap w:val="false"/>
          </w:tcPr>
          <w:p>
            <w:pPr>
              <w:pStyle w:val="87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927" w:type="dxa"/>
            <w:vAlign w:val="top"/>
            <w:textDirection w:val="lrTb"/>
            <w:noWrap w:val="false"/>
          </w:tcPr>
          <w:p>
            <w:pPr>
              <w:pStyle w:val="87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Руководитель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926" w:type="dxa"/>
            <w:vAlign w:val="top"/>
            <w:textDirection w:val="lrTb"/>
            <w:noWrap w:val="false"/>
          </w:tcPr>
          <w:p>
            <w:pPr>
              <w:pStyle w:val="87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927" w:type="dxa"/>
            <w:vAlign w:val="top"/>
            <w:textDirection w:val="lrTb"/>
            <w:noWrap w:val="false"/>
          </w:tcPr>
          <w:p>
            <w:pPr>
              <w:pStyle w:val="87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 xml:space="preserve">______________________   /</w:t>
            </w:r>
            <w:r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 xml:space="preserve">С.В. Москалёва</w:t>
            </w:r>
            <w:r>
              <w:rPr>
                <w:sz w:val="22"/>
                <w:szCs w:val="22"/>
                <w:u w:val="single"/>
              </w:rPr>
            </w:r>
            <w:r>
              <w:rPr>
                <w:sz w:val="22"/>
                <w:szCs w:val="22"/>
                <w:u w:val="single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Ф.И.О.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926" w:type="dxa"/>
            <w:vAlign w:val="top"/>
            <w:textDirection w:val="lrTb"/>
            <w:noWrap w:val="false"/>
          </w:tcPr>
          <w:p>
            <w:pPr>
              <w:pStyle w:val="87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Style w:val="873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М.П.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927" w:type="dxa"/>
            <w:vAlign w:val="top"/>
            <w:textDirection w:val="lrTb"/>
            <w:noWrap w:val="false"/>
          </w:tcPr>
          <w:p>
            <w:pPr>
              <w:pStyle w:val="87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М.П.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921"/>
        <w:keepLines/>
        <w:keepNext/>
        <w:shd w:val="clear" w:color="auto" w:fill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21"/>
        <w:keepLines/>
        <w:keepNext/>
        <w:shd w:val="clear" w:color="auto" w:fill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21"/>
        <w:keepLines/>
        <w:keepNext/>
        <w:shd w:val="clear" w:color="auto" w:fill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sectPr>
      <w:footerReference w:type="default" r:id="rId9"/>
      <w:footerReference w:type="even" r:id="rId10"/>
      <w:footnotePr/>
      <w:endnotePr/>
      <w:type w:val="nextPage"/>
      <w:pgSz w:w="11906" w:h="16838" w:orient="portrait"/>
      <w:pgMar w:top="680" w:right="851" w:bottom="360" w:left="1418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Batang">
    <w:panose1 w:val="02000506000000020000"/>
  </w:font>
  <w:font w:name="Calibri">
    <w:panose1 w:val="020F0502020204030204"/>
  </w:font>
  <w:font w:name="Cambria">
    <w:panose1 w:val="02040503050406030204"/>
  </w:font>
  <w:font w:name="Liberation Sans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3"/>
      <w:spacing w:line="1" w:lineRule="exact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524288" behindDoc="1" locked="0" layoutInCell="1" allowOverlap="1">
              <wp:simplePos x="0" y="0"/>
              <wp:positionH relativeFrom="page">
                <wp:posOffset>943610</wp:posOffset>
              </wp:positionH>
              <wp:positionV relativeFrom="page">
                <wp:posOffset>10273030</wp:posOffset>
              </wp:positionV>
              <wp:extent cx="3422650" cy="118745"/>
              <wp:effectExtent l="0" t="0" r="0" b="0"/>
              <wp:wrapNone/>
              <wp:docPr id="1" name="_x0000_s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943610" y="10273029"/>
                        <a:ext cx="3422650" cy="118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920"/>
                            <w:tabs>
                              <w:tab w:val="right" w:pos="5390" w:leader="none"/>
                            </w:tabs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</w:r>
                          <w:r>
                            <w:rPr>
                              <w:sz w:val="22"/>
                              <w:szCs w:val="22"/>
                            </w:rPr>
                          </w:r>
                          <w:r>
                            <w:rPr>
                              <w:sz w:val="22"/>
                              <w:szCs w:val="22"/>
                            </w:rPr>
                          </w:r>
                        </w:p>
                      </w:txbxContent>
                    </wps:txbx>
                    <wps:bodyPr wrap="squar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-524288;o:allowoverlap:true;o:allowincell:true;mso-position-horizontal-relative:page;margin-left:74.30pt;mso-position-horizontal:absolute;mso-position-vertical-relative:page;margin-top:808.90pt;mso-position-vertical:absolute;width:269.50pt;height:9.35pt;mso-wrap-distance-left:0.00pt;mso-wrap-distance-top:0.00pt;mso-wrap-distance-right:0.00pt;mso-wrap-distance-bottom:0.00pt;visibility:visible;" filled="f" stroked="f">
              <v:textbox inset="0,0,0,0">
                <w:txbxContent>
                  <w:p>
                    <w:pPr>
                      <w:pStyle w:val="920"/>
                      <w:tabs>
                        <w:tab w:val="right" w:pos="5390" w:leader="none"/>
                      </w:tabs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</w:r>
                    <w:r>
                      <w:rPr>
                        <w:sz w:val="22"/>
                        <w:szCs w:val="22"/>
                      </w:rPr>
                    </w:r>
                    <w:r>
                      <w:rPr>
                        <w:sz w:val="22"/>
                        <w:szCs w:val="22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3"/>
      <w:spacing w:line="1" w:lineRule="exact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</w:lvl>
    <w:lvl w:ilvl="1">
      <w:start w:val="3"/>
      <w:numFmt w:val="decimal"/>
      <w:isLgl w:val="false"/>
      <w:suff w:val="tab"/>
      <w:lvlText w:val="%1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</w:lvl>
    <w:lvl w:ilvl="2">
      <w:start w:val="3"/>
      <w:numFmt w:val="decimal"/>
      <w:isLgl w:val="false"/>
      <w:suff w:val="tab"/>
      <w:lvlText w:val="%1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</w:lvl>
    <w:lvl w:ilvl="3">
      <w:start w:val="3"/>
      <w:numFmt w:val="decimal"/>
      <w:isLgl w:val="false"/>
      <w:suff w:val="tab"/>
      <w:lvlText w:val="%1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</w:lvl>
    <w:lvl w:ilvl="4">
      <w:start w:val="3"/>
      <w:numFmt w:val="decimal"/>
      <w:isLgl w:val="false"/>
      <w:suff w:val="tab"/>
      <w:lvlText w:val="%1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</w:lvl>
    <w:lvl w:ilvl="5">
      <w:start w:val="3"/>
      <w:numFmt w:val="decimal"/>
      <w:isLgl w:val="false"/>
      <w:suff w:val="tab"/>
      <w:lvlText w:val="%1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</w:lvl>
    <w:lvl w:ilvl="6">
      <w:start w:val="3"/>
      <w:numFmt w:val="decimal"/>
      <w:isLgl w:val="false"/>
      <w:suff w:val="tab"/>
      <w:lvlText w:val="%1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</w:lvl>
    <w:lvl w:ilvl="7">
      <w:start w:val="3"/>
      <w:numFmt w:val="decimal"/>
      <w:isLgl w:val="false"/>
      <w:suff w:val="tab"/>
      <w:lvlText w:val="%1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</w:lvl>
    <w:lvl w:ilvl="8">
      <w:start w:val="3"/>
      <w:numFmt w:val="decimal"/>
      <w:isLgl w:val="false"/>
      <w:suff w:val="tab"/>
      <w:lvlText w:val="%1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18" w:hanging="360"/>
      </w:pPr>
      <w:rPr>
        <w:color w:val="000000"/>
        <w:sz w:val="32"/>
      </w:rPr>
    </w:lvl>
    <w:lvl w:ilvl="1">
      <w:start w:val="1"/>
      <w:numFmt w:val="lowerLetter"/>
      <w:isLgl w:val="false"/>
      <w:suff w:val="tab"/>
      <w:lvlText w:val="%2."/>
      <w:lvlJc w:val="left"/>
      <w:pPr>
        <w:ind w:left="14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7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58" w:hanging="360"/>
      </w:pPr>
      <w:rPr>
        <w:b w:val="0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07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79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1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3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5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7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39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1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4">
    <w:name w:val="Heading 1 Char"/>
    <w:link w:val="87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05">
    <w:name w:val="Heading 2 Char"/>
    <w:link w:val="875"/>
    <w:uiPriority w:val="9"/>
    <w:rPr>
      <w:rFonts w:ascii="Liberation Sans" w:hAnsi="Liberation Sans" w:eastAsia="Liberation Sans" w:cs="Liberation Sans"/>
      <w:sz w:val="34"/>
    </w:rPr>
  </w:style>
  <w:style w:type="character" w:styleId="706">
    <w:name w:val="Heading 3 Char"/>
    <w:link w:val="87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07">
    <w:name w:val="Heading 4 Char"/>
    <w:link w:val="87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8">
    <w:name w:val="Heading 5 Char"/>
    <w:link w:val="87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9">
    <w:name w:val="Heading 6 Char"/>
    <w:link w:val="87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10">
    <w:name w:val="Heading 7 Char"/>
    <w:link w:val="88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11">
    <w:name w:val="Heading 8 Char"/>
    <w:link w:val="8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2">
    <w:name w:val="Heading 9 Char"/>
    <w:link w:val="88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13">
    <w:name w:val="List Paragraph"/>
    <w:basedOn w:val="873"/>
    <w:uiPriority w:val="34"/>
    <w:qFormat/>
    <w:pPr>
      <w:contextualSpacing/>
      <w:ind w:left="720"/>
    </w:pPr>
  </w:style>
  <w:style w:type="paragraph" w:styleId="714">
    <w:name w:val="No Spacing"/>
    <w:uiPriority w:val="1"/>
    <w:qFormat/>
    <w:pPr>
      <w:spacing w:before="0" w:after="0" w:line="240" w:lineRule="auto"/>
    </w:pPr>
  </w:style>
  <w:style w:type="paragraph" w:styleId="715">
    <w:name w:val="Title"/>
    <w:basedOn w:val="873"/>
    <w:next w:val="873"/>
    <w:link w:val="71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6">
    <w:name w:val="Title Char"/>
    <w:link w:val="715"/>
    <w:uiPriority w:val="10"/>
    <w:rPr>
      <w:sz w:val="48"/>
      <w:szCs w:val="48"/>
    </w:rPr>
  </w:style>
  <w:style w:type="paragraph" w:styleId="717">
    <w:name w:val="Subtitle"/>
    <w:basedOn w:val="873"/>
    <w:next w:val="873"/>
    <w:link w:val="718"/>
    <w:uiPriority w:val="11"/>
    <w:qFormat/>
    <w:pPr>
      <w:spacing w:before="200" w:after="200"/>
    </w:pPr>
    <w:rPr>
      <w:sz w:val="24"/>
      <w:szCs w:val="24"/>
    </w:rPr>
  </w:style>
  <w:style w:type="character" w:styleId="718">
    <w:name w:val="Subtitle Char"/>
    <w:link w:val="717"/>
    <w:uiPriority w:val="11"/>
    <w:rPr>
      <w:sz w:val="24"/>
      <w:szCs w:val="24"/>
    </w:rPr>
  </w:style>
  <w:style w:type="paragraph" w:styleId="719">
    <w:name w:val="Quote"/>
    <w:basedOn w:val="873"/>
    <w:next w:val="873"/>
    <w:link w:val="720"/>
    <w:uiPriority w:val="29"/>
    <w:qFormat/>
    <w:pPr>
      <w:ind w:left="720" w:right="720"/>
    </w:pPr>
    <w:rPr>
      <w:i/>
    </w:rPr>
  </w:style>
  <w:style w:type="character" w:styleId="720">
    <w:name w:val="Quote Char"/>
    <w:link w:val="719"/>
    <w:uiPriority w:val="29"/>
    <w:rPr>
      <w:i/>
    </w:rPr>
  </w:style>
  <w:style w:type="paragraph" w:styleId="721">
    <w:name w:val="Intense Quote"/>
    <w:basedOn w:val="873"/>
    <w:next w:val="873"/>
    <w:link w:val="72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2">
    <w:name w:val="Intense Quote Char"/>
    <w:link w:val="721"/>
    <w:uiPriority w:val="30"/>
    <w:rPr>
      <w:i/>
    </w:rPr>
  </w:style>
  <w:style w:type="paragraph" w:styleId="723">
    <w:name w:val="Header"/>
    <w:basedOn w:val="873"/>
    <w:link w:val="72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4">
    <w:name w:val="Header Char"/>
    <w:link w:val="723"/>
    <w:uiPriority w:val="99"/>
  </w:style>
  <w:style w:type="paragraph" w:styleId="725">
    <w:name w:val="Footer"/>
    <w:basedOn w:val="873"/>
    <w:link w:val="72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6">
    <w:name w:val="Footer Char"/>
    <w:link w:val="725"/>
    <w:uiPriority w:val="99"/>
  </w:style>
  <w:style w:type="paragraph" w:styleId="727">
    <w:name w:val="Caption"/>
    <w:basedOn w:val="873"/>
    <w:next w:val="873"/>
    <w:link w:val="72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8">
    <w:name w:val="Caption Char"/>
    <w:link w:val="727"/>
    <w:uiPriority w:val="35"/>
    <w:rPr>
      <w:b/>
      <w:bCs/>
      <w:color w:val="4f81bd" w:themeColor="accent1"/>
      <w:sz w:val="18"/>
      <w:szCs w:val="18"/>
    </w:rPr>
  </w:style>
  <w:style w:type="table" w:styleId="72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7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7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7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7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7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2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2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3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3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3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3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3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5">
    <w:name w:val="Hyperlink"/>
    <w:uiPriority w:val="99"/>
    <w:unhideWhenUsed/>
    <w:rPr>
      <w:color w:val="0000ff" w:themeColor="hyperlink"/>
      <w:u w:val="single"/>
    </w:rPr>
  </w:style>
  <w:style w:type="paragraph" w:styleId="856">
    <w:name w:val="footnote text"/>
    <w:basedOn w:val="873"/>
    <w:link w:val="857"/>
    <w:uiPriority w:val="99"/>
    <w:semiHidden/>
    <w:unhideWhenUsed/>
    <w:pPr>
      <w:spacing w:after="40" w:line="240" w:lineRule="auto"/>
    </w:pPr>
    <w:rPr>
      <w:sz w:val="18"/>
    </w:rPr>
  </w:style>
  <w:style w:type="character" w:styleId="857">
    <w:name w:val="Footnote Text Char"/>
    <w:link w:val="856"/>
    <w:uiPriority w:val="99"/>
    <w:rPr>
      <w:sz w:val="18"/>
    </w:rPr>
  </w:style>
  <w:style w:type="character" w:styleId="858">
    <w:name w:val="footnote reference"/>
    <w:uiPriority w:val="99"/>
    <w:unhideWhenUsed/>
    <w:rPr>
      <w:vertAlign w:val="superscript"/>
    </w:rPr>
  </w:style>
  <w:style w:type="paragraph" w:styleId="859">
    <w:name w:val="endnote text"/>
    <w:basedOn w:val="873"/>
    <w:link w:val="860"/>
    <w:uiPriority w:val="99"/>
    <w:semiHidden/>
    <w:unhideWhenUsed/>
    <w:pPr>
      <w:spacing w:after="0" w:line="240" w:lineRule="auto"/>
    </w:pPr>
    <w:rPr>
      <w:sz w:val="20"/>
    </w:rPr>
  </w:style>
  <w:style w:type="character" w:styleId="860">
    <w:name w:val="Endnote Text Char"/>
    <w:link w:val="859"/>
    <w:uiPriority w:val="99"/>
    <w:rPr>
      <w:sz w:val="20"/>
    </w:rPr>
  </w:style>
  <w:style w:type="character" w:styleId="861">
    <w:name w:val="endnote reference"/>
    <w:uiPriority w:val="99"/>
    <w:semiHidden/>
    <w:unhideWhenUsed/>
    <w:rPr>
      <w:vertAlign w:val="superscript"/>
    </w:rPr>
  </w:style>
  <w:style w:type="paragraph" w:styleId="862">
    <w:name w:val="toc 1"/>
    <w:basedOn w:val="873"/>
    <w:next w:val="873"/>
    <w:uiPriority w:val="39"/>
    <w:unhideWhenUsed/>
    <w:pPr>
      <w:ind w:left="0" w:right="0" w:firstLine="0"/>
      <w:spacing w:after="57"/>
    </w:pPr>
  </w:style>
  <w:style w:type="paragraph" w:styleId="863">
    <w:name w:val="toc 2"/>
    <w:basedOn w:val="873"/>
    <w:next w:val="873"/>
    <w:uiPriority w:val="39"/>
    <w:unhideWhenUsed/>
    <w:pPr>
      <w:ind w:left="283" w:right="0" w:firstLine="0"/>
      <w:spacing w:after="57"/>
    </w:pPr>
  </w:style>
  <w:style w:type="paragraph" w:styleId="864">
    <w:name w:val="toc 3"/>
    <w:basedOn w:val="873"/>
    <w:next w:val="873"/>
    <w:uiPriority w:val="39"/>
    <w:unhideWhenUsed/>
    <w:pPr>
      <w:ind w:left="567" w:right="0" w:firstLine="0"/>
      <w:spacing w:after="57"/>
    </w:pPr>
  </w:style>
  <w:style w:type="paragraph" w:styleId="865">
    <w:name w:val="toc 4"/>
    <w:basedOn w:val="873"/>
    <w:next w:val="873"/>
    <w:uiPriority w:val="39"/>
    <w:unhideWhenUsed/>
    <w:pPr>
      <w:ind w:left="850" w:right="0" w:firstLine="0"/>
      <w:spacing w:after="57"/>
    </w:pPr>
  </w:style>
  <w:style w:type="paragraph" w:styleId="866">
    <w:name w:val="toc 5"/>
    <w:basedOn w:val="873"/>
    <w:next w:val="873"/>
    <w:uiPriority w:val="39"/>
    <w:unhideWhenUsed/>
    <w:pPr>
      <w:ind w:left="1134" w:right="0" w:firstLine="0"/>
      <w:spacing w:after="57"/>
    </w:pPr>
  </w:style>
  <w:style w:type="paragraph" w:styleId="867">
    <w:name w:val="toc 6"/>
    <w:basedOn w:val="873"/>
    <w:next w:val="873"/>
    <w:uiPriority w:val="39"/>
    <w:unhideWhenUsed/>
    <w:pPr>
      <w:ind w:left="1417" w:right="0" w:firstLine="0"/>
      <w:spacing w:after="57"/>
    </w:pPr>
  </w:style>
  <w:style w:type="paragraph" w:styleId="868">
    <w:name w:val="toc 7"/>
    <w:basedOn w:val="873"/>
    <w:next w:val="873"/>
    <w:uiPriority w:val="39"/>
    <w:unhideWhenUsed/>
    <w:pPr>
      <w:ind w:left="1701" w:right="0" w:firstLine="0"/>
      <w:spacing w:after="57"/>
    </w:pPr>
  </w:style>
  <w:style w:type="paragraph" w:styleId="869">
    <w:name w:val="toc 8"/>
    <w:basedOn w:val="873"/>
    <w:next w:val="873"/>
    <w:uiPriority w:val="39"/>
    <w:unhideWhenUsed/>
    <w:pPr>
      <w:ind w:left="1984" w:right="0" w:firstLine="0"/>
      <w:spacing w:after="57"/>
    </w:pPr>
  </w:style>
  <w:style w:type="paragraph" w:styleId="870">
    <w:name w:val="toc 9"/>
    <w:basedOn w:val="873"/>
    <w:next w:val="873"/>
    <w:uiPriority w:val="39"/>
    <w:unhideWhenUsed/>
    <w:pPr>
      <w:ind w:left="2268" w:right="0" w:firstLine="0"/>
      <w:spacing w:after="57"/>
    </w:pPr>
  </w:style>
  <w:style w:type="paragraph" w:styleId="871">
    <w:name w:val="TOC Heading"/>
    <w:uiPriority w:val="39"/>
    <w:unhideWhenUsed/>
  </w:style>
  <w:style w:type="paragraph" w:styleId="872">
    <w:name w:val="table of figures"/>
    <w:basedOn w:val="873"/>
    <w:next w:val="873"/>
    <w:uiPriority w:val="99"/>
    <w:unhideWhenUsed/>
    <w:pPr>
      <w:spacing w:after="0" w:afterAutospacing="0"/>
    </w:pPr>
  </w:style>
  <w:style w:type="paragraph" w:styleId="873" w:default="1">
    <w:name w:val="Normal"/>
    <w:next w:val="873"/>
    <w:link w:val="873"/>
    <w:qFormat/>
    <w:rPr>
      <w:sz w:val="24"/>
      <w:szCs w:val="24"/>
      <w:lang w:val="ru-RU" w:eastAsia="ar-SA" w:bidi="ar-SA"/>
    </w:rPr>
  </w:style>
  <w:style w:type="paragraph" w:styleId="874">
    <w:name w:val="Heading 1"/>
    <w:basedOn w:val="873"/>
    <w:next w:val="873"/>
    <w:link w:val="902"/>
    <w:uiPriority w:val="9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  <w:lang w:val="en-US"/>
    </w:rPr>
  </w:style>
  <w:style w:type="paragraph" w:styleId="875">
    <w:name w:val="Heading 2"/>
    <w:basedOn w:val="873"/>
    <w:next w:val="873"/>
    <w:link w:val="903"/>
    <w:uiPriority w:val="9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/>
    </w:rPr>
  </w:style>
  <w:style w:type="paragraph" w:styleId="876">
    <w:name w:val="Heading 3"/>
    <w:basedOn w:val="873"/>
    <w:next w:val="873"/>
    <w:link w:val="904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/>
    </w:rPr>
  </w:style>
  <w:style w:type="paragraph" w:styleId="877">
    <w:name w:val="Heading 4"/>
    <w:basedOn w:val="873"/>
    <w:next w:val="873"/>
    <w:link w:val="905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/>
    </w:rPr>
  </w:style>
  <w:style w:type="paragraph" w:styleId="878">
    <w:name w:val="Heading 5"/>
    <w:basedOn w:val="873"/>
    <w:next w:val="873"/>
    <w:link w:val="906"/>
    <w:uiPriority w:val="9"/>
    <w:semiHidden/>
    <w:unhideWhenUsed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/>
    </w:rPr>
  </w:style>
  <w:style w:type="paragraph" w:styleId="879">
    <w:name w:val="Heading 6"/>
    <w:basedOn w:val="873"/>
    <w:next w:val="873"/>
    <w:link w:val="907"/>
    <w:uiPriority w:val="9"/>
    <w:semiHidden/>
    <w:unhideWhenUsed/>
    <w:qFormat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/>
    </w:rPr>
  </w:style>
  <w:style w:type="paragraph" w:styleId="880">
    <w:name w:val="Heading 7"/>
    <w:basedOn w:val="873"/>
    <w:next w:val="873"/>
    <w:link w:val="908"/>
    <w:uiPriority w:val="9"/>
    <w:semiHidden/>
    <w:unhideWhenUsed/>
    <w:qFormat/>
    <w:pPr>
      <w:spacing w:before="240" w:after="60"/>
      <w:outlineLvl w:val="6"/>
    </w:pPr>
    <w:rPr>
      <w:rFonts w:ascii="Calibri" w:hAnsi="Calibri"/>
      <w:lang w:val="en-US"/>
    </w:rPr>
  </w:style>
  <w:style w:type="paragraph" w:styleId="881">
    <w:name w:val="Heading 8"/>
    <w:basedOn w:val="873"/>
    <w:next w:val="873"/>
    <w:link w:val="909"/>
    <w:uiPriority w:val="9"/>
    <w:semiHidden/>
    <w:unhideWhenUsed/>
    <w:qFormat/>
    <w:pPr>
      <w:spacing w:before="240" w:after="60"/>
      <w:outlineLvl w:val="7"/>
    </w:pPr>
    <w:rPr>
      <w:rFonts w:ascii="Calibri" w:hAnsi="Calibri"/>
      <w:i/>
      <w:iCs/>
      <w:lang w:val="en-US"/>
    </w:rPr>
  </w:style>
  <w:style w:type="paragraph" w:styleId="882">
    <w:name w:val="Heading 9"/>
    <w:basedOn w:val="873"/>
    <w:next w:val="873"/>
    <w:link w:val="910"/>
    <w:uiPriority w:val="9"/>
    <w:semiHidden/>
    <w:unhideWhenUsed/>
    <w:qFormat/>
    <w:pPr>
      <w:spacing w:before="240" w:after="60"/>
      <w:outlineLvl w:val="8"/>
    </w:pPr>
    <w:rPr>
      <w:rFonts w:ascii="Cambria" w:hAnsi="Cambria"/>
      <w:sz w:val="22"/>
      <w:szCs w:val="22"/>
      <w:lang w:val="en-US"/>
    </w:rPr>
  </w:style>
  <w:style w:type="character" w:styleId="883">
    <w:name w:val="Основной шрифт абзаца"/>
    <w:next w:val="883"/>
    <w:link w:val="873"/>
    <w:uiPriority w:val="1"/>
    <w:unhideWhenUsed/>
  </w:style>
  <w:style w:type="table" w:styleId="884">
    <w:name w:val="Обычная таблица"/>
    <w:next w:val="884"/>
    <w:link w:val="873"/>
    <w:uiPriority w:val="99"/>
    <w:semiHidden/>
    <w:unhideWhenUsed/>
    <w:tblPr>
      <w:tblW w:w="0" w:type="auto"/>
      <w:tblInd w:w="0" w:type="dxa"/>
      <w:tblLayout w:type="fixed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5">
    <w:name w:val="Нет списка"/>
    <w:next w:val="885"/>
    <w:link w:val="873"/>
    <w:uiPriority w:val="99"/>
    <w:semiHidden/>
    <w:unhideWhenUsed/>
  </w:style>
  <w:style w:type="character" w:styleId="886">
    <w:name w:val="Основной шрифт абзаца1"/>
    <w:next w:val="886"/>
    <w:link w:val="873"/>
  </w:style>
  <w:style w:type="paragraph" w:styleId="887">
    <w:name w:val="Основной текст"/>
    <w:basedOn w:val="873"/>
    <w:next w:val="887"/>
    <w:link w:val="873"/>
    <w:pPr>
      <w:jc w:val="both"/>
    </w:pPr>
    <w:rPr>
      <w:sz w:val="22"/>
      <w:szCs w:val="22"/>
    </w:rPr>
  </w:style>
  <w:style w:type="paragraph" w:styleId="888">
    <w:name w:val="Список"/>
    <w:basedOn w:val="887"/>
    <w:next w:val="888"/>
    <w:link w:val="873"/>
    <w:rPr>
      <w:rFonts w:cs="Arial"/>
    </w:rPr>
  </w:style>
  <w:style w:type="paragraph" w:styleId="889">
    <w:name w:val="Название1"/>
    <w:basedOn w:val="873"/>
    <w:next w:val="889"/>
    <w:link w:val="873"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890">
    <w:name w:val="Указатель1"/>
    <w:basedOn w:val="873"/>
    <w:next w:val="890"/>
    <w:link w:val="873"/>
    <w:pPr>
      <w:suppressLineNumbers/>
    </w:pPr>
    <w:rPr>
      <w:rFonts w:cs="Arial"/>
    </w:rPr>
  </w:style>
  <w:style w:type="paragraph" w:styleId="891">
    <w:name w:val="Текст выноски"/>
    <w:basedOn w:val="873"/>
    <w:next w:val="891"/>
    <w:link w:val="873"/>
    <w:rPr>
      <w:rFonts w:ascii="Tahoma" w:hAnsi="Tahoma" w:cs="Tahoma"/>
      <w:sz w:val="16"/>
      <w:szCs w:val="16"/>
    </w:rPr>
  </w:style>
  <w:style w:type="paragraph" w:styleId="892">
    <w:name w:val="Верхний колонтитул"/>
    <w:basedOn w:val="873"/>
    <w:next w:val="892"/>
    <w:link w:val="873"/>
    <w:pPr>
      <w:tabs>
        <w:tab w:val="center" w:pos="4677" w:leader="none"/>
        <w:tab w:val="right" w:pos="9355" w:leader="none"/>
      </w:tabs>
    </w:pPr>
  </w:style>
  <w:style w:type="paragraph" w:styleId="893">
    <w:name w:val="Нижний колонтитул"/>
    <w:basedOn w:val="873"/>
    <w:next w:val="893"/>
    <w:link w:val="897"/>
    <w:uiPriority w:val="99"/>
    <w:pPr>
      <w:tabs>
        <w:tab w:val="center" w:pos="4677" w:leader="none"/>
        <w:tab w:val="right" w:pos="9355" w:leader="none"/>
      </w:tabs>
    </w:pPr>
    <w:rPr>
      <w:lang w:val="en-US"/>
    </w:rPr>
  </w:style>
  <w:style w:type="paragraph" w:styleId="894">
    <w:name w:val="Содержимое таблицы"/>
    <w:basedOn w:val="873"/>
    <w:next w:val="894"/>
    <w:link w:val="873"/>
    <w:pPr>
      <w:suppressLineNumbers/>
    </w:pPr>
  </w:style>
  <w:style w:type="paragraph" w:styleId="895">
    <w:name w:val="Заголовок таблицы"/>
    <w:basedOn w:val="894"/>
    <w:next w:val="895"/>
    <w:link w:val="873"/>
    <w:pPr>
      <w:jc w:val="center"/>
      <w:suppressLineNumbers/>
    </w:pPr>
    <w:rPr>
      <w:b/>
      <w:bCs/>
    </w:rPr>
  </w:style>
  <w:style w:type="character" w:styleId="896">
    <w:name w:val="Гиперссылка"/>
    <w:next w:val="896"/>
    <w:link w:val="873"/>
    <w:uiPriority w:val="99"/>
    <w:unhideWhenUsed/>
    <w:rPr>
      <w:color w:val="0000ff"/>
      <w:u w:val="single"/>
    </w:rPr>
  </w:style>
  <w:style w:type="character" w:styleId="897">
    <w:name w:val="Нижний колонтитул Знак"/>
    <w:next w:val="897"/>
    <w:link w:val="893"/>
    <w:uiPriority w:val="99"/>
    <w:rPr>
      <w:sz w:val="24"/>
      <w:szCs w:val="24"/>
      <w:lang w:eastAsia="ar-SA"/>
    </w:rPr>
  </w:style>
  <w:style w:type="character" w:styleId="898">
    <w:name w:val="WW-Absatz-Standardschriftart1111"/>
    <w:next w:val="898"/>
    <w:link w:val="873"/>
  </w:style>
  <w:style w:type="character" w:styleId="899">
    <w:name w:val="Основной текст (2)_"/>
    <w:next w:val="899"/>
    <w:link w:val="900"/>
    <w:uiPriority w:val="99"/>
    <w:rPr>
      <w:sz w:val="32"/>
      <w:szCs w:val="32"/>
      <w:shd w:val="clear" w:color="auto" w:fill="ffffff"/>
    </w:rPr>
  </w:style>
  <w:style w:type="paragraph" w:styleId="900">
    <w:name w:val="Основной текст (2)"/>
    <w:basedOn w:val="873"/>
    <w:next w:val="900"/>
    <w:link w:val="899"/>
    <w:pPr>
      <w:jc w:val="center"/>
      <w:spacing w:after="480" w:line="0" w:lineRule="atLeast"/>
      <w:shd w:val="clear" w:color="auto" w:fill="ffffff"/>
      <w:widowControl w:val="off"/>
    </w:pPr>
    <w:rPr>
      <w:sz w:val="32"/>
      <w:szCs w:val="32"/>
      <w:lang w:val="en-US" w:eastAsia="en-US"/>
    </w:rPr>
  </w:style>
  <w:style w:type="paragraph" w:styleId="901">
    <w:name w:val="Обычный (веб)"/>
    <w:basedOn w:val="873"/>
    <w:next w:val="901"/>
    <w:link w:val="873"/>
    <w:uiPriority w:val="99"/>
    <w:unhideWhenUsed/>
    <w:pPr>
      <w:spacing w:before="100" w:beforeAutospacing="1" w:after="100" w:afterAutospacing="1"/>
    </w:pPr>
    <w:rPr>
      <w:lang w:eastAsia="ru-RU"/>
    </w:rPr>
  </w:style>
  <w:style w:type="character" w:styleId="902">
    <w:name w:val="Заголовок 1 Знак"/>
    <w:next w:val="902"/>
    <w:link w:val="874"/>
    <w:uiPriority w:val="9"/>
    <w:rPr>
      <w:rFonts w:ascii="Cambria" w:hAnsi="Cambria" w:eastAsia="Times New Roman" w:cs="Times New Roman"/>
      <w:b/>
      <w:bCs/>
      <w:sz w:val="32"/>
      <w:szCs w:val="32"/>
      <w:lang w:eastAsia="ar-SA"/>
    </w:rPr>
  </w:style>
  <w:style w:type="character" w:styleId="903">
    <w:name w:val="Заголовок 2 Знак"/>
    <w:next w:val="903"/>
    <w:link w:val="875"/>
    <w:uiPriority w:val="9"/>
    <w:semiHidden/>
    <w:rPr>
      <w:rFonts w:ascii="Cambria" w:hAnsi="Cambria" w:eastAsia="Times New Roman" w:cs="Times New Roman"/>
      <w:b/>
      <w:bCs/>
      <w:i/>
      <w:iCs/>
      <w:sz w:val="28"/>
      <w:szCs w:val="28"/>
      <w:lang w:eastAsia="ar-SA"/>
    </w:rPr>
  </w:style>
  <w:style w:type="character" w:styleId="904">
    <w:name w:val="Заголовок 3 Знак"/>
    <w:next w:val="904"/>
    <w:link w:val="876"/>
    <w:uiPriority w:val="9"/>
    <w:semiHidden/>
    <w:rPr>
      <w:rFonts w:ascii="Cambria" w:hAnsi="Cambria" w:eastAsia="Times New Roman" w:cs="Times New Roman"/>
      <w:b/>
      <w:bCs/>
      <w:sz w:val="26"/>
      <w:szCs w:val="26"/>
      <w:lang w:eastAsia="ar-SA"/>
    </w:rPr>
  </w:style>
  <w:style w:type="character" w:styleId="905">
    <w:name w:val="Заголовок 4 Знак"/>
    <w:next w:val="905"/>
    <w:link w:val="877"/>
    <w:uiPriority w:val="9"/>
    <w:semiHidden/>
    <w:rPr>
      <w:rFonts w:ascii="Calibri" w:hAnsi="Calibri" w:eastAsia="Times New Roman" w:cs="Times New Roman"/>
      <w:b/>
      <w:bCs/>
      <w:sz w:val="28"/>
      <w:szCs w:val="28"/>
      <w:lang w:eastAsia="ar-SA"/>
    </w:rPr>
  </w:style>
  <w:style w:type="character" w:styleId="906">
    <w:name w:val="Заголовок 5 Знак"/>
    <w:next w:val="906"/>
    <w:link w:val="878"/>
    <w:uiPriority w:val="9"/>
    <w:semiHidden/>
    <w:rPr>
      <w:rFonts w:ascii="Calibri" w:hAnsi="Calibri" w:eastAsia="Times New Roman" w:cs="Times New Roman"/>
      <w:b/>
      <w:bCs/>
      <w:i/>
      <w:iCs/>
      <w:sz w:val="26"/>
      <w:szCs w:val="26"/>
      <w:lang w:eastAsia="ar-SA"/>
    </w:rPr>
  </w:style>
  <w:style w:type="character" w:styleId="907">
    <w:name w:val="Заголовок 6 Знак"/>
    <w:next w:val="907"/>
    <w:link w:val="879"/>
    <w:uiPriority w:val="9"/>
    <w:semiHidden/>
    <w:rPr>
      <w:rFonts w:ascii="Calibri" w:hAnsi="Calibri" w:eastAsia="Times New Roman" w:cs="Times New Roman"/>
      <w:b/>
      <w:bCs/>
      <w:sz w:val="22"/>
      <w:szCs w:val="22"/>
      <w:lang w:eastAsia="ar-SA"/>
    </w:rPr>
  </w:style>
  <w:style w:type="character" w:styleId="908">
    <w:name w:val="Заголовок 7 Знак"/>
    <w:next w:val="908"/>
    <w:link w:val="880"/>
    <w:uiPriority w:val="9"/>
    <w:semiHidden/>
    <w:rPr>
      <w:rFonts w:ascii="Calibri" w:hAnsi="Calibri" w:eastAsia="Times New Roman" w:cs="Times New Roman"/>
      <w:sz w:val="24"/>
      <w:szCs w:val="24"/>
      <w:lang w:eastAsia="ar-SA"/>
    </w:rPr>
  </w:style>
  <w:style w:type="character" w:styleId="909">
    <w:name w:val="Заголовок 8 Знак"/>
    <w:next w:val="909"/>
    <w:link w:val="881"/>
    <w:uiPriority w:val="9"/>
    <w:semiHidden/>
    <w:rPr>
      <w:rFonts w:ascii="Calibri" w:hAnsi="Calibri" w:eastAsia="Times New Roman" w:cs="Times New Roman"/>
      <w:i/>
      <w:iCs/>
      <w:sz w:val="24"/>
      <w:szCs w:val="24"/>
      <w:lang w:eastAsia="ar-SA"/>
    </w:rPr>
  </w:style>
  <w:style w:type="character" w:styleId="910">
    <w:name w:val="Заголовок 9 Знак"/>
    <w:next w:val="910"/>
    <w:link w:val="882"/>
    <w:uiPriority w:val="9"/>
    <w:semiHidden/>
    <w:rPr>
      <w:rFonts w:ascii="Cambria" w:hAnsi="Cambria" w:eastAsia="Times New Roman" w:cs="Times New Roman"/>
      <w:sz w:val="22"/>
      <w:szCs w:val="22"/>
      <w:lang w:eastAsia="ar-SA"/>
    </w:rPr>
  </w:style>
  <w:style w:type="paragraph" w:styleId="911">
    <w:name w:val="Название"/>
    <w:basedOn w:val="873"/>
    <w:next w:val="873"/>
    <w:link w:val="912"/>
    <w:uiPriority w:val="10"/>
    <w:qFormat/>
    <w:pPr>
      <w:jc w:val="center"/>
      <w:spacing w:before="240" w:after="60"/>
      <w:outlineLvl w:val="0"/>
    </w:pPr>
    <w:rPr>
      <w:rFonts w:ascii="Cambria" w:hAnsi="Cambria"/>
      <w:b/>
      <w:bCs/>
      <w:sz w:val="32"/>
      <w:szCs w:val="32"/>
      <w:lang w:val="en-US"/>
    </w:rPr>
  </w:style>
  <w:style w:type="character" w:styleId="912">
    <w:name w:val="Название Знак"/>
    <w:next w:val="912"/>
    <w:link w:val="911"/>
    <w:uiPriority w:val="10"/>
    <w:rPr>
      <w:rFonts w:ascii="Cambria" w:hAnsi="Cambria" w:eastAsia="Times New Roman" w:cs="Times New Roman"/>
      <w:b/>
      <w:bCs/>
      <w:sz w:val="32"/>
      <w:szCs w:val="32"/>
      <w:lang w:eastAsia="ar-SA"/>
    </w:rPr>
  </w:style>
  <w:style w:type="paragraph" w:styleId="913">
    <w:name w:val="Подзаголовок"/>
    <w:basedOn w:val="873"/>
    <w:next w:val="873"/>
    <w:link w:val="914"/>
    <w:uiPriority w:val="11"/>
    <w:qFormat/>
    <w:pPr>
      <w:jc w:val="center"/>
      <w:spacing w:after="60"/>
      <w:outlineLvl w:val="1"/>
    </w:pPr>
    <w:rPr>
      <w:rFonts w:ascii="Cambria" w:hAnsi="Cambria"/>
      <w:lang w:val="en-US"/>
    </w:rPr>
  </w:style>
  <w:style w:type="character" w:styleId="914">
    <w:name w:val="Подзаголовок Знак"/>
    <w:next w:val="914"/>
    <w:link w:val="913"/>
    <w:uiPriority w:val="11"/>
    <w:rPr>
      <w:rFonts w:ascii="Cambria" w:hAnsi="Cambria" w:eastAsia="Times New Roman" w:cs="Times New Roman"/>
      <w:sz w:val="24"/>
      <w:szCs w:val="24"/>
      <w:lang w:eastAsia="ar-SA"/>
    </w:rPr>
  </w:style>
  <w:style w:type="character" w:styleId="915">
    <w:name w:val="Основной текст (3)_"/>
    <w:next w:val="915"/>
    <w:link w:val="919"/>
    <w:uiPriority w:val="99"/>
    <w:rPr>
      <w:rFonts w:ascii="Calibri" w:hAnsi="Calibri"/>
      <w:b/>
      <w:sz w:val="22"/>
      <w:shd w:val="clear" w:color="auto" w:fill="ffffff"/>
    </w:rPr>
  </w:style>
  <w:style w:type="character" w:styleId="916">
    <w:name w:val="Колонтитул (2)_"/>
    <w:next w:val="916"/>
    <w:link w:val="920"/>
    <w:uiPriority w:val="99"/>
  </w:style>
  <w:style w:type="character" w:styleId="917">
    <w:name w:val="Заголовок №2_"/>
    <w:next w:val="917"/>
    <w:link w:val="921"/>
    <w:uiPriority w:val="99"/>
    <w:rPr>
      <w:rFonts w:ascii="Calibri" w:hAnsi="Calibri"/>
      <w:sz w:val="28"/>
      <w:shd w:val="clear" w:color="auto" w:fill="ffffff"/>
    </w:rPr>
  </w:style>
  <w:style w:type="character" w:styleId="918">
    <w:name w:val="Другое_"/>
    <w:next w:val="918"/>
    <w:link w:val="922"/>
    <w:uiPriority w:val="99"/>
    <w:rPr>
      <w:sz w:val="22"/>
      <w:shd w:val="clear" w:color="auto" w:fill="ffffff"/>
    </w:rPr>
  </w:style>
  <w:style w:type="paragraph" w:styleId="919">
    <w:name w:val="Основной текст (3)"/>
    <w:basedOn w:val="873"/>
    <w:next w:val="919"/>
    <w:link w:val="915"/>
    <w:uiPriority w:val="99"/>
    <w:pPr>
      <w:spacing w:after="240"/>
      <w:shd w:val="clear" w:color="auto" w:fill="ffffff"/>
      <w:widowControl w:val="off"/>
    </w:pPr>
    <w:rPr>
      <w:rFonts w:ascii="Calibri" w:hAnsi="Calibri"/>
      <w:b/>
      <w:sz w:val="22"/>
      <w:szCs w:val="20"/>
      <w:lang w:eastAsia="ru-RU"/>
    </w:rPr>
  </w:style>
  <w:style w:type="paragraph" w:styleId="920">
    <w:name w:val="Колонтитул (2)"/>
    <w:basedOn w:val="873"/>
    <w:next w:val="920"/>
    <w:link w:val="916"/>
    <w:uiPriority w:val="99"/>
    <w:pPr>
      <w:widowControl w:val="off"/>
    </w:pPr>
    <w:rPr>
      <w:sz w:val="20"/>
      <w:szCs w:val="20"/>
      <w:lang w:eastAsia="ru-RU"/>
    </w:rPr>
  </w:style>
  <w:style w:type="paragraph" w:styleId="921">
    <w:name w:val="Заголовок №2"/>
    <w:basedOn w:val="873"/>
    <w:next w:val="921"/>
    <w:link w:val="917"/>
    <w:uiPriority w:val="99"/>
    <w:pPr>
      <w:jc w:val="center"/>
      <w:spacing w:after="420"/>
      <w:shd w:val="clear" w:color="auto" w:fill="ffffff"/>
      <w:widowControl w:val="off"/>
      <w:outlineLvl w:val="1"/>
    </w:pPr>
    <w:rPr>
      <w:rFonts w:ascii="Calibri" w:hAnsi="Calibri"/>
      <w:sz w:val="28"/>
      <w:szCs w:val="20"/>
      <w:lang w:eastAsia="ru-RU"/>
    </w:rPr>
  </w:style>
  <w:style w:type="paragraph" w:styleId="922">
    <w:name w:val="Другое"/>
    <w:basedOn w:val="873"/>
    <w:next w:val="922"/>
    <w:link w:val="918"/>
    <w:uiPriority w:val="99"/>
    <w:pPr>
      <w:shd w:val="clear" w:color="auto" w:fill="ffffff"/>
      <w:widowControl w:val="off"/>
    </w:pPr>
    <w:rPr>
      <w:sz w:val="22"/>
      <w:szCs w:val="20"/>
      <w:lang w:eastAsia="ru-RU"/>
    </w:rPr>
  </w:style>
  <w:style w:type="paragraph" w:styleId="923">
    <w:name w:val="Основной текст (2)1"/>
    <w:basedOn w:val="873"/>
    <w:next w:val="923"/>
    <w:link w:val="873"/>
    <w:uiPriority w:val="99"/>
    <w:pPr>
      <w:ind w:hanging="260"/>
      <w:jc w:val="both"/>
      <w:spacing w:before="180" w:after="300" w:line="240" w:lineRule="atLeast"/>
      <w:shd w:val="clear" w:color="auto" w:fill="ffffff"/>
      <w:widowControl w:val="off"/>
    </w:pPr>
    <w:rPr>
      <w:sz w:val="21"/>
      <w:szCs w:val="21"/>
      <w:lang w:eastAsia="ru-RU"/>
    </w:rPr>
  </w:style>
  <w:style w:type="character" w:styleId="924" w:default="1">
    <w:name w:val="Default Paragraph Font"/>
    <w:uiPriority w:val="1"/>
    <w:semiHidden/>
    <w:unhideWhenUsed/>
  </w:style>
  <w:style w:type="numbering" w:styleId="925" w:default="1">
    <w:name w:val="No List"/>
    <w:uiPriority w:val="99"/>
    <w:semiHidden/>
    <w:unhideWhenUsed/>
  </w:style>
  <w:style w:type="table" w:styleId="92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hyperlink" Target="http://samsel_nn@r28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JSC UPEC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23</dc:title>
  <dc:creator>Ws1</dc:creator>
  <cp:lastModifiedBy>samsel_nn</cp:lastModifiedBy>
  <cp:revision>11</cp:revision>
  <dcterms:created xsi:type="dcterms:W3CDTF">2024-09-17T00:05:00Z</dcterms:created>
  <dcterms:modified xsi:type="dcterms:W3CDTF">2026-08-27T07:26:34Z</dcterms:modified>
  <cp:version>1048576</cp:version>
</cp:coreProperties>
</file>