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174E3E">
        <w:rPr>
          <w:rFonts w:ascii="Times New Roman" w:eastAsia="Times New Roman" w:hAnsi="Times New Roman"/>
          <w:b/>
          <w:sz w:val="24"/>
          <w:szCs w:val="24"/>
          <w:lang w:eastAsia="ru-RU"/>
        </w:rPr>
        <w:t>заградительной сетки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174E3E">
        <w:rPr>
          <w:rFonts w:ascii="Times New Roman" w:hAnsi="Times New Roman"/>
          <w:b/>
          <w:bCs/>
          <w:sz w:val="24"/>
          <w:szCs w:val="24"/>
          <w:lang w:bidi="ru-RU"/>
        </w:rPr>
        <w:t>Центральный склад ФБУ «Администрация «Волго-Дон»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, </w:t>
      </w:r>
      <w:r w:rsidR="00174E3E" w:rsidRPr="00174E3E">
        <w:rPr>
          <w:rFonts w:ascii="Times New Roman" w:hAnsi="Times New Roman"/>
          <w:b/>
          <w:bCs/>
          <w:sz w:val="24"/>
          <w:szCs w:val="24"/>
          <w:lang w:bidi="ru-RU"/>
        </w:rPr>
        <w:t>404180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, Волгоградская обл., </w:t>
      </w:r>
      <w:r w:rsidR="00174E3E">
        <w:rPr>
          <w:rFonts w:ascii="Times New Roman" w:hAnsi="Times New Roman"/>
          <w:b/>
          <w:bCs/>
          <w:sz w:val="24"/>
          <w:szCs w:val="24"/>
          <w:lang w:bidi="ru-RU"/>
        </w:rPr>
        <w:t>Светлоярский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 район, п. </w:t>
      </w:r>
      <w:r w:rsidR="00174E3E">
        <w:rPr>
          <w:rFonts w:ascii="Times New Roman" w:hAnsi="Times New Roman"/>
          <w:b/>
          <w:bCs/>
          <w:sz w:val="24"/>
          <w:szCs w:val="24"/>
          <w:lang w:bidi="ru-RU"/>
        </w:rPr>
        <w:t>Кирова</w:t>
      </w:r>
      <w:r w:rsidR="00174E3E" w:rsidRPr="00E41606">
        <w:rPr>
          <w:rFonts w:ascii="Times New Roman" w:hAnsi="Times New Roman"/>
          <w:b/>
          <w:bCs/>
          <w:sz w:val="24"/>
          <w:szCs w:val="24"/>
          <w:lang w:bidi="ru-RU"/>
        </w:rPr>
        <w:t>, ул.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="00174E3E">
        <w:rPr>
          <w:rFonts w:ascii="Times New Roman" w:hAnsi="Times New Roman"/>
          <w:b/>
          <w:bCs/>
          <w:sz w:val="24"/>
          <w:szCs w:val="24"/>
          <w:lang w:bidi="ru-RU"/>
        </w:rPr>
        <w:t>Приканальная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 xml:space="preserve">, </w:t>
      </w:r>
      <w:r w:rsidR="00174E3E">
        <w:rPr>
          <w:rFonts w:ascii="Times New Roman" w:hAnsi="Times New Roman"/>
          <w:b/>
          <w:bCs/>
          <w:sz w:val="24"/>
          <w:szCs w:val="24"/>
          <w:lang w:bidi="ru-RU"/>
        </w:rPr>
        <w:t>179</w:t>
      </w:r>
      <w:r w:rsidRPr="00E41606">
        <w:rPr>
          <w:rFonts w:ascii="Times New Roman" w:hAnsi="Times New Roman"/>
          <w:b/>
          <w:bCs/>
          <w:sz w:val="24"/>
          <w:szCs w:val="24"/>
          <w:lang w:bidi="ru-RU"/>
        </w:rPr>
        <w:t>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D84C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BE4975" w:rsidRPr="00BE49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84C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рабочих</w:t>
      </w:r>
      <w:r w:rsidR="00BE4975" w:rsidRPr="00BE49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дней</w:t>
      </w:r>
      <w:r w:rsidR="00174E3E" w:rsidRPr="00BE49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 </w:t>
      </w:r>
      <w:r>
        <w:rPr>
          <w:rFonts w:ascii="Times New Roman" w:hAnsi="Times New Roman"/>
          <w:b/>
          <w:bCs/>
          <w:sz w:val="24"/>
          <w:szCs w:val="24"/>
        </w:rPr>
        <w:t>не являющиеся документами о приёмке Товара.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</w:t>
      </w:r>
      <w:r>
        <w:rPr>
          <w:rFonts w:ascii="Times New Roman" w:hAnsi="Times New Roman"/>
          <w:bCs/>
          <w:sz w:val="24"/>
          <w:szCs w:val="24"/>
        </w:rPr>
        <w:lastRenderedPageBreak/>
        <w:t>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4" w:name="Par123"/>
      <w:bookmarkStart w:id="5" w:name="Par119"/>
      <w:bookmarkEnd w:id="4"/>
      <w:bookmarkEnd w:id="5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6" w:name="Par124"/>
      <w:bookmarkEnd w:id="6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Par129"/>
      <w:bookmarkEnd w:id="7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>
        <w:rPr>
          <w:rFonts w:ascii="Times New Roman" w:hAnsi="Times New Roman"/>
          <w:color w:val="000000"/>
          <w:sz w:val="24"/>
          <w:szCs w:val="20"/>
        </w:rPr>
        <w:t>»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 xml:space="preserve">Донской район гидросооружений и судоходства –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 xml:space="preserve">филиал ФБУ "Администрация Волго-Донского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>
        <w:rPr>
          <w:rFonts w:ascii="Times New Roman" w:hAnsi="Times New Roman"/>
          <w:b/>
          <w:bCs/>
          <w:color w:val="000000"/>
          <w:sz w:val="24"/>
          <w:szCs w:val="20"/>
        </w:rPr>
        <w:t>бассейна внутренних водных путей"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Место нахождения: 404521, Волгоградская область,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Калачевский район, пос. Пятиморск, ул. Ленина 40«б»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ИНН 3448009717; КПП 340902001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9C899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УФК по Волгоградской области (Донской РГСиС </w:t>
      </w:r>
      <w:r>
        <w:rPr>
          <w:rFonts w:ascii="Times New Roman" w:hAnsi="Times New Roman"/>
          <w:color w:val="9C8990"/>
          <w:sz w:val="24"/>
          <w:szCs w:val="20"/>
        </w:rPr>
        <w:t xml:space="preserve">– 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филиал ФБУ «Администрация «Волго-Дон», л/с 20296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X</w:t>
      </w:r>
      <w:r>
        <w:rPr>
          <w:rFonts w:ascii="Times New Roman" w:hAnsi="Times New Roman"/>
          <w:color w:val="000000"/>
          <w:sz w:val="24"/>
          <w:szCs w:val="20"/>
        </w:rPr>
        <w:t>39370)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к/с 40102810445370000021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р/сч 03214643000000012900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ОКЦ №4 ЮГУ Банка России//УФК по Волгоградской 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области г. ВОЛГОГРАД</w:t>
      </w:r>
    </w:p>
    <w:p w:rsidR="008444C4" w:rsidRDefault="00674781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>
        <w:rPr>
          <w:rFonts w:ascii="Times New Roman" w:hAnsi="Times New Roman"/>
          <w:color w:val="000000"/>
          <w:sz w:val="24"/>
          <w:szCs w:val="20"/>
        </w:rPr>
        <w:t>БИК 011806101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8444C4" w:rsidRDefault="0067478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>
        <w:rPr>
          <w:rFonts w:ascii="Times New Roman" w:hAnsi="Times New Roman"/>
          <w:color w:val="000000"/>
          <w:sz w:val="24"/>
          <w:szCs w:val="20"/>
        </w:rPr>
        <w:t>@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>
        <w:rPr>
          <w:rFonts w:ascii="Times New Roman" w:hAnsi="Times New Roman"/>
          <w:color w:val="000000"/>
          <w:sz w:val="24"/>
          <w:szCs w:val="20"/>
        </w:rPr>
        <w:t>.</w:t>
      </w:r>
      <w:r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174E3E"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заградительной сетки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D84C46" w:rsidRPr="00D84C4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10 рабочих </w:t>
            </w:r>
            <w:bookmarkStart w:id="8" w:name="_GoBack"/>
            <w:bookmarkEnd w:id="8"/>
            <w:r w:rsidR="00174E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дней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74E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Центральный склад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 ФБУ «Администрация «Волго-Дон»:</w:t>
            </w:r>
            <w:r w:rsidRPr="00174E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 404180, Волгоградская обл., Светлоярский район, п. Кирова, ул. Приканальная, 179.</w:t>
            </w:r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 20%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2027"/>
        <w:gridCol w:w="3734"/>
        <w:gridCol w:w="579"/>
        <w:gridCol w:w="741"/>
        <w:gridCol w:w="1214"/>
        <w:gridCol w:w="1136"/>
      </w:tblGrid>
      <w:tr w:rsidR="00316FC9" w:rsidTr="00174E3E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174E3E" w:rsidTr="00174E3E">
        <w:trPr>
          <w:trHeight w:val="1506"/>
        </w:trPr>
        <w:tc>
          <w:tcPr>
            <w:tcW w:w="487" w:type="dxa"/>
            <w:shd w:val="clear" w:color="auto" w:fill="auto"/>
          </w:tcPr>
          <w:p w:rsidR="00174E3E" w:rsidRDefault="00174E3E" w:rsidP="00174E3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Pr="00174E3E" w:rsidRDefault="00174E3E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Рыбозаградительный конус РОП-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86" w:type="dxa"/>
            <w:shd w:val="clear" w:color="auto" w:fill="auto"/>
          </w:tcPr>
          <w:p w:rsidR="00174E3E" w:rsidRPr="00174E3E" w:rsidRDefault="00174E3E" w:rsidP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Рабочий диапазон подачи 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2,5–20 л/с (18–90 м³/ч)</w:t>
            </w:r>
          </w:p>
          <w:p w:rsidR="00174E3E" w:rsidRPr="00174E3E" w:rsidRDefault="00174E3E" w:rsidP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нимальный размер защищаемых рыб 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мм</w:t>
            </w:r>
          </w:p>
          <w:p w:rsidR="00174E3E" w:rsidRPr="00174E3E" w:rsidRDefault="00174E3E" w:rsidP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воды на омывание сетки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5% от общего расхода насосной станции</w:t>
            </w:r>
          </w:p>
          <w:p w:rsidR="00174E3E" w:rsidRPr="00174E3E" w:rsidRDefault="00174E3E" w:rsidP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Рабочий напор на омывание 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20–30 м</w:t>
            </w:r>
          </w:p>
          <w:p w:rsidR="00174E3E" w:rsidRPr="00174E3E" w:rsidRDefault="00174E3E" w:rsidP="00174E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кг</w:t>
            </w:r>
          </w:p>
          <w:p w:rsidR="00174E3E" w:rsidRDefault="00174E3E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 (диаметр основания × высота)</w:t>
            </w: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600 × 300 мм </w:t>
            </w:r>
          </w:p>
          <w:p w:rsidR="00BC14AB" w:rsidRPr="00BC14AB" w:rsidRDefault="005065B4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</w:t>
            </w:r>
            <w:r w:rsidR="00174E3E"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ячейк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не более</w:t>
            </w:r>
            <w:r w:rsidR="00174E3E"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1,5м</w:t>
            </w:r>
            <w:r w:rsid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ответные фланцы;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крепёж;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прокладки;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трубопровод подачи омывающей воды;</w:t>
            </w:r>
          </w:p>
          <w:p w:rsidR="00BC14AB" w:rsidRP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штуцеры для подключения;</w:t>
            </w:r>
          </w:p>
          <w:p w:rsidR="00BC14AB" w:rsidRDefault="00BC14AB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1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регулирующие клапаны. </w:t>
            </w:r>
          </w:p>
          <w:p w:rsidR="001A29B6" w:rsidRDefault="001A29B6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актуального паспорта устройства</w:t>
            </w:r>
          </w:p>
          <w:p w:rsidR="001A29B6" w:rsidRPr="009E1B54" w:rsidRDefault="001A29B6" w:rsidP="00BC14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Гарантийный срок эксплуатации составляет 12 календарных месяцев с момента ввода устройства в эксплуатацию, но не позднее 12 месяцев с даты получения.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Pr="001A29B6" w:rsidRDefault="001A29B6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E3E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4E3E" w:rsidTr="00174E3E">
        <w:trPr>
          <w:trHeight w:val="464"/>
        </w:trPr>
        <w:tc>
          <w:tcPr>
            <w:tcW w:w="487" w:type="dxa"/>
            <w:shd w:val="clear" w:color="auto" w:fill="auto"/>
          </w:tcPr>
          <w:p w:rsidR="00174E3E" w:rsidRDefault="00174E3E" w:rsidP="00174E3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Pr="00174E3E" w:rsidRDefault="00174E3E" w:rsidP="00BE49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4E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Рыбозаградительный конус РОП-50 </w:t>
            </w:r>
          </w:p>
        </w:tc>
        <w:tc>
          <w:tcPr>
            <w:tcW w:w="3786" w:type="dxa"/>
            <w:shd w:val="clear" w:color="auto" w:fill="auto"/>
          </w:tcPr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Рабочий диапазон подачи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25–100 л/с (90–360 м³/ч)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размер защищаемой молоди рыб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30 мм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яч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ейки заградительной сетки 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 мм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Рабочий напор на омывание сетки 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20–30 м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 воды на омывание сетки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5% от общего расхода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кг</w:t>
            </w:r>
          </w:p>
          <w:p w:rsidR="00174E3E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Габаритные размеры (диаметр основания × высота)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1000 × 550 мм</w:t>
            </w:r>
          </w:p>
          <w:p w:rsid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ячейки не более 1,5мм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</w:p>
          <w:p w:rsidR="001A29B6" w:rsidRPr="001A29B6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рыбозащитный оголовок;</w:t>
            </w: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(перфорированный конус);</w:t>
            </w:r>
          </w:p>
          <w:p w:rsidR="001A29B6" w:rsidRPr="001A29B6" w:rsidRDefault="001A29B6" w:rsidP="001A29B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ответные фланцы;</w:t>
            </w:r>
          </w:p>
          <w:p w:rsidR="001A29B6" w:rsidRPr="001A29B6" w:rsidRDefault="001A29B6" w:rsidP="001A29B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крепёж и прокладки;</w:t>
            </w:r>
          </w:p>
          <w:p w:rsidR="001A29B6" w:rsidRPr="001A29B6" w:rsidRDefault="001A29B6" w:rsidP="001A29B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трубопровод подачи омывающей воды;</w:t>
            </w:r>
          </w:p>
          <w:p w:rsidR="001A29B6" w:rsidRPr="001A29B6" w:rsidRDefault="001A29B6" w:rsidP="001A29B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штуцеры для подключения;</w:t>
            </w:r>
          </w:p>
          <w:p w:rsidR="001A29B6" w:rsidRPr="001A29B6" w:rsidRDefault="001A29B6" w:rsidP="001A29B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регулирующие клапаны.</w:t>
            </w:r>
          </w:p>
          <w:p w:rsidR="001A29B6" w:rsidRPr="00FF300E" w:rsidRDefault="001A29B6" w:rsidP="001A29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A29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Гарантийный срок эксплуатации составляет 12 календарных месяцев с момента ввода устройства в эксплуатацию, но не позднее 12 месяцев с даты получения.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4E3E" w:rsidRPr="001D153D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5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4E3E" w:rsidRPr="001A29B6" w:rsidRDefault="001A29B6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4E3E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3E" w:rsidRDefault="00174E3E" w:rsidP="00174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D7F" w:rsidRDefault="00900D7F">
      <w:pPr>
        <w:spacing w:line="240" w:lineRule="auto"/>
      </w:pPr>
      <w:r>
        <w:separator/>
      </w:r>
    </w:p>
  </w:endnote>
  <w:endnote w:type="continuationSeparator" w:id="0">
    <w:p w:rsidR="00900D7F" w:rsidRDefault="00900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D7F" w:rsidRDefault="00900D7F">
      <w:pPr>
        <w:spacing w:after="0"/>
      </w:pPr>
      <w:r>
        <w:separator/>
      </w:r>
    </w:p>
  </w:footnote>
  <w:footnote w:type="continuationSeparator" w:id="0">
    <w:p w:rsidR="00900D7F" w:rsidRDefault="00900D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1C2B"/>
    <w:multiLevelType w:val="multilevel"/>
    <w:tmpl w:val="8342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1079B9"/>
    <w:rsid w:val="00110AC1"/>
    <w:rsid w:val="0011159B"/>
    <w:rsid w:val="0011195C"/>
    <w:rsid w:val="001430CB"/>
    <w:rsid w:val="00146574"/>
    <w:rsid w:val="001475FB"/>
    <w:rsid w:val="0016018A"/>
    <w:rsid w:val="001622F3"/>
    <w:rsid w:val="00174E3E"/>
    <w:rsid w:val="0018090E"/>
    <w:rsid w:val="001A29B6"/>
    <w:rsid w:val="001C25E7"/>
    <w:rsid w:val="001D0F43"/>
    <w:rsid w:val="001D153D"/>
    <w:rsid w:val="001D30B6"/>
    <w:rsid w:val="001E371E"/>
    <w:rsid w:val="001F2790"/>
    <w:rsid w:val="001F4009"/>
    <w:rsid w:val="001F7CD7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71EA"/>
    <w:rsid w:val="00316FC9"/>
    <w:rsid w:val="003232B6"/>
    <w:rsid w:val="00324CE1"/>
    <w:rsid w:val="00324DD3"/>
    <w:rsid w:val="00327F62"/>
    <w:rsid w:val="003313B1"/>
    <w:rsid w:val="0033593F"/>
    <w:rsid w:val="00342AD6"/>
    <w:rsid w:val="00354BF7"/>
    <w:rsid w:val="00355EF1"/>
    <w:rsid w:val="00390F67"/>
    <w:rsid w:val="003A4E45"/>
    <w:rsid w:val="003C0280"/>
    <w:rsid w:val="003C27D3"/>
    <w:rsid w:val="003D56C0"/>
    <w:rsid w:val="003E189C"/>
    <w:rsid w:val="00405CC1"/>
    <w:rsid w:val="00407D40"/>
    <w:rsid w:val="0041643E"/>
    <w:rsid w:val="004246CC"/>
    <w:rsid w:val="0043260D"/>
    <w:rsid w:val="00443199"/>
    <w:rsid w:val="004447B1"/>
    <w:rsid w:val="00447C1D"/>
    <w:rsid w:val="0045518D"/>
    <w:rsid w:val="00477990"/>
    <w:rsid w:val="0048221B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4F42C5"/>
    <w:rsid w:val="005012AE"/>
    <w:rsid w:val="005065B4"/>
    <w:rsid w:val="00521DE2"/>
    <w:rsid w:val="0052312B"/>
    <w:rsid w:val="00531D7C"/>
    <w:rsid w:val="0053209B"/>
    <w:rsid w:val="00541574"/>
    <w:rsid w:val="00546857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900D7F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50540"/>
    <w:rsid w:val="00A539F6"/>
    <w:rsid w:val="00A55948"/>
    <w:rsid w:val="00A612FD"/>
    <w:rsid w:val="00A644D3"/>
    <w:rsid w:val="00A65EA5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79FB"/>
    <w:rsid w:val="00B3405B"/>
    <w:rsid w:val="00B44DD5"/>
    <w:rsid w:val="00B515B8"/>
    <w:rsid w:val="00B5694B"/>
    <w:rsid w:val="00B64A95"/>
    <w:rsid w:val="00B80C6C"/>
    <w:rsid w:val="00B90516"/>
    <w:rsid w:val="00BA6999"/>
    <w:rsid w:val="00BB10BF"/>
    <w:rsid w:val="00BB1B0D"/>
    <w:rsid w:val="00BC082F"/>
    <w:rsid w:val="00BC0B1F"/>
    <w:rsid w:val="00BC14AB"/>
    <w:rsid w:val="00BD3116"/>
    <w:rsid w:val="00BE4975"/>
    <w:rsid w:val="00C11818"/>
    <w:rsid w:val="00C20AE0"/>
    <w:rsid w:val="00C26973"/>
    <w:rsid w:val="00C30B93"/>
    <w:rsid w:val="00C35DD5"/>
    <w:rsid w:val="00C4112E"/>
    <w:rsid w:val="00C50CD8"/>
    <w:rsid w:val="00C605FC"/>
    <w:rsid w:val="00C745FE"/>
    <w:rsid w:val="00C80793"/>
    <w:rsid w:val="00C86A1A"/>
    <w:rsid w:val="00CA6C4A"/>
    <w:rsid w:val="00CB26EC"/>
    <w:rsid w:val="00CC2347"/>
    <w:rsid w:val="00CC7518"/>
    <w:rsid w:val="00CF4E35"/>
    <w:rsid w:val="00CF6481"/>
    <w:rsid w:val="00D23618"/>
    <w:rsid w:val="00D3044B"/>
    <w:rsid w:val="00D434ED"/>
    <w:rsid w:val="00D43B33"/>
    <w:rsid w:val="00D528AD"/>
    <w:rsid w:val="00D52F33"/>
    <w:rsid w:val="00D53A69"/>
    <w:rsid w:val="00D758C7"/>
    <w:rsid w:val="00D761F1"/>
    <w:rsid w:val="00D824C5"/>
    <w:rsid w:val="00D84C46"/>
    <w:rsid w:val="00D91C43"/>
    <w:rsid w:val="00D92913"/>
    <w:rsid w:val="00DA1131"/>
    <w:rsid w:val="00DA379E"/>
    <w:rsid w:val="00DA4D86"/>
    <w:rsid w:val="00DA65D4"/>
    <w:rsid w:val="00DC43AB"/>
    <w:rsid w:val="00DD31E8"/>
    <w:rsid w:val="00DE49A7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7BF4"/>
    <w:rsid w:val="00E932C3"/>
    <w:rsid w:val="00E944FA"/>
    <w:rsid w:val="00E95D14"/>
    <w:rsid w:val="00EA3FC0"/>
    <w:rsid w:val="00EA45A0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300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320A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1387E-44BA-499E-963E-B4718348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9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29</cp:revision>
  <cp:lastPrinted>2026-09-03T08:19:00Z</cp:lastPrinted>
  <dcterms:created xsi:type="dcterms:W3CDTF">2026-03-23T06:13:00Z</dcterms:created>
  <dcterms:modified xsi:type="dcterms:W3CDTF">2026-09-03T12:13:00Z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