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Техническое задание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выполнени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е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демонтажу систем кондиционирования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bCs/>
          <w:sz w:val="28"/>
          <w:szCs w:val="28"/>
        </w:rPr>
      </w:r>
    </w:p>
    <w:p>
      <w:pPr>
        <w:pStyle w:val="844"/>
        <w:ind w:firstLine="709"/>
        <w:jc w:val="both"/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ыполнени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работ по демонтажу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системы кондиционирования </w:t>
      </w:r>
      <w:r>
        <w:rPr>
          <w:sz w:val="28"/>
          <w:szCs w:val="28"/>
        </w:rPr>
        <w:t xml:space="preserve">в административн</w:t>
      </w:r>
      <w:r>
        <w:rPr>
          <w:sz w:val="28"/>
          <w:szCs w:val="28"/>
        </w:rPr>
        <w:t xml:space="preserve">ых</w:t>
      </w:r>
      <w:r>
        <w:rPr>
          <w:sz w:val="28"/>
          <w:szCs w:val="28"/>
        </w:rPr>
        <w:t xml:space="preserve"> здани</w:t>
      </w:r>
      <w:r>
        <w:rPr>
          <w:sz w:val="28"/>
          <w:szCs w:val="28"/>
        </w:rPr>
        <w:t xml:space="preserve">ях</w:t>
      </w:r>
      <w:r>
        <w:rPr>
          <w:sz w:val="28"/>
          <w:szCs w:val="28"/>
        </w:rPr>
        <w:t xml:space="preserve"> Управления Федеральной службы государственной регистрации, кадастра и картографии по Тамбовской области (далее – Управление), в целях хозяйственного обеспечения функций Заказчика, устан</w:t>
      </w:r>
      <w:r>
        <w:rPr>
          <w:sz w:val="28"/>
          <w:szCs w:val="28"/>
        </w:rPr>
        <w:t xml:space="preserve">овленных Положением об Управлении Федеральной службы государственной регистрации, кадастра и картографии по Тамбовской области (Заказчик), утвержденным Приказом Федеральной службы государственной регистрации, кадастра и картографии от 30.05.2016 № П/0263. </w:t>
      </w:r>
    </w:p>
    <w:p>
      <w:pPr>
        <w:tabs>
          <w:tab w:val="left" w:pos="4253" w:leader="none"/>
        </w:tabs>
        <w:spacing w:after="0"/>
        <w:ind w:left="4253" w:hanging="340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</w:t>
      </w:r>
      <w:r>
        <w:rPr>
          <w:rFonts w:ascii="Times New Roman" w:hAnsi="Times New Roman" w:cs="Times New Roman"/>
          <w:b/>
          <w:sz w:val="28"/>
          <w:szCs w:val="28"/>
        </w:rPr>
        <w:t xml:space="preserve">. Требования к </w:t>
      </w:r>
      <w:r>
        <w:rPr>
          <w:rFonts w:ascii="Times New Roman" w:hAnsi="Times New Roman" w:cs="Times New Roman"/>
          <w:b/>
          <w:sz w:val="28"/>
          <w:szCs w:val="28"/>
        </w:rPr>
        <w:t xml:space="preserve">демонтажу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tabs>
          <w:tab w:val="left" w:pos="0" w:leader="none"/>
        </w:tabs>
        <w:spacing w:after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Демонтажу</w:t>
      </w:r>
      <w:r>
        <w:rPr>
          <w:rFonts w:ascii="Times New Roman" w:hAnsi="Times New Roman" w:cs="Times New Roman"/>
          <w:sz w:val="28"/>
          <w:szCs w:val="28"/>
        </w:rPr>
        <w:t xml:space="preserve"> подлежа</w:t>
      </w:r>
      <w:r>
        <w:rPr>
          <w:rFonts w:ascii="Times New Roman" w:hAnsi="Times New Roman" w:cs="Times New Roman"/>
          <w:sz w:val="28"/>
          <w:szCs w:val="28"/>
        </w:rPr>
        <w:t xml:space="preserve">т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внешних и внутренних блока кондиционеров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мощностью </w:t>
      </w:r>
      <w:r>
        <w:rPr>
          <w:rFonts w:ascii="Times New Roman" w:hAnsi="Times New Roman" w:cs="Times New Roman"/>
          <w:b/>
          <w:sz w:val="28"/>
          <w:szCs w:val="28"/>
        </w:rPr>
        <w:t xml:space="preserve">до 5 кВт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работы</w:t>
      </w:r>
      <w:r>
        <w:rPr>
          <w:rFonts w:ascii="Times New Roman" w:hAnsi="Times New Roman" w:cs="Times New Roman"/>
          <w:sz w:val="28"/>
          <w:szCs w:val="28"/>
        </w:rPr>
        <w:t xml:space="preserve"> буд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т выполняться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здании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Управления.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0" w:leader="none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0" w:leader="none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b/>
          <w:sz w:val="28"/>
          <w:szCs w:val="28"/>
        </w:rPr>
        <w:t xml:space="preserve">демонтажа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Таблица№1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tbl>
      <w:tblPr>
        <w:tblStyle w:val="843"/>
        <w:tblW w:w="9354" w:type="dxa"/>
        <w:tblLayout w:type="fixed"/>
        <w:tblLook w:val="04A0" w:firstRow="1" w:lastRow="0" w:firstColumn="1" w:lastColumn="0" w:noHBand="0" w:noVBand="1"/>
      </w:tblPr>
      <w:tblGrid>
        <w:gridCol w:w="567"/>
        <w:gridCol w:w="3968"/>
        <w:gridCol w:w="1276"/>
        <w:gridCol w:w="2693"/>
        <w:gridCol w:w="850"/>
      </w:tblGrid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п/п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968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Адрес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(шт.)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Модель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850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Этаж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rPr/>
        <w:tblPrEx/>
        <w:tc>
          <w:tcPr>
            <w:tcW w:w="567" w:type="dxa"/>
            <w:noWrap w:val="false"/>
            <w:textDirection w:val="lrTb"/>
            <w:vAlign w:val="center"/>
          </w:tcPr>
          <w:p>
            <w:pPr>
              <w:tabs>
                <w:tab w:val="left" w:pos="0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968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Тамбовская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Моршанск, </w:t>
              <w:br/>
              <w:t xml:space="preserve">ул. Интернациональная, дом 19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LG G07LH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</w:p>
        </w:tc>
        <w:tc>
          <w:tcPr>
            <w:tcW w:w="850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tbl>
      <w:tblPr>
        <w:tblStyle w:val="843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3968"/>
        <w:gridCol w:w="1276"/>
        <w:gridCol w:w="2693"/>
        <w:gridCol w:w="850"/>
      </w:tblGrid>
      <w:tr>
        <w:trPr>
          <w:trHeight w:val="353"/>
        </w:trPr>
        <w:tblPrEx/>
        <w:tc>
          <w:tcPr>
            <w:tcW w:w="567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968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LG S12LHP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50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tbl>
      <w:tblPr>
        <w:tblStyle w:val="843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276"/>
        <w:gridCol w:w="2693"/>
        <w:gridCol w:w="851"/>
      </w:tblGrid>
      <w:tr>
        <w:trPr/>
        <w:tblPrEx/>
        <w:tc>
          <w:tcPr>
            <w:tcW w:w="567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969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76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693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LG S18LHP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51" w:type="dxa"/>
            <w:noWrap w:val="false"/>
            <w:textDirection w:val="lrTb"/>
          </w:tcPr>
          <w:p>
            <w:pPr>
              <w:tabs>
                <w:tab w:val="left" w:pos="0" w:leader="none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tabs>
          <w:tab w:val="left" w:pos="0" w:leader="none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0" w:leader="none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должны выполняться </w:t>
      </w:r>
      <w:r>
        <w:rPr>
          <w:rFonts w:ascii="Times New Roman" w:hAnsi="Times New Roman" w:cs="Times New Roman"/>
          <w:sz w:val="28"/>
          <w:szCs w:val="28"/>
        </w:rPr>
        <w:t xml:space="preserve">согласно технического описания на данный тип сплит-системы.</w:t>
      </w:r>
      <w:r>
        <w:rPr>
          <w:rFonts w:ascii="Times New Roman" w:hAnsi="Times New Roman" w:cs="Times New Roman"/>
          <w:sz w:val="28"/>
          <w:szCs w:val="28"/>
        </w:rPr>
        <w:t xml:space="preserve"> Снятые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 xml:space="preserve">локи</w:t>
      </w:r>
      <w:r>
        <w:rPr>
          <w:rFonts w:ascii="Times New Roman" w:hAnsi="Times New Roman" w:cs="Times New Roman"/>
          <w:sz w:val="28"/>
          <w:szCs w:val="28"/>
        </w:rPr>
        <w:t xml:space="preserve"> сплит-систем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возвращаю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тся на склад Заказчика в полном объёме до подписания </w:t>
      </w:r>
      <w:r>
        <w:rPr>
          <w:rFonts w:ascii="Times New Roman" w:hAnsi="Times New Roman" w:cs="Times New Roman"/>
          <w:sz w:val="28"/>
          <w:szCs w:val="28"/>
        </w:rPr>
        <w:t xml:space="preserve">документа о приёмке</w:t>
      </w:r>
      <w:r>
        <w:rPr>
          <w:rFonts w:ascii="Times New Roman" w:hAnsi="Times New Roman" w:cs="Times New Roman"/>
          <w:sz w:val="28"/>
          <w:szCs w:val="28"/>
        </w:rPr>
        <w:t xml:space="preserve"> по адресу: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Тамб</w:t>
      </w:r>
      <w:r>
        <w:rPr>
          <w:rFonts w:ascii="Times New Roman" w:hAnsi="Times New Roman" w:cs="Times New Roman"/>
          <w:sz w:val="28"/>
          <w:szCs w:val="28"/>
        </w:rPr>
        <w:t xml:space="preserve">ов, </w:t>
      </w:r>
      <w:r>
        <w:rPr>
          <w:rFonts w:ascii="Times New Roman" w:hAnsi="Times New Roman" w:cs="Times New Roman"/>
          <w:sz w:val="28"/>
          <w:szCs w:val="28"/>
        </w:rPr>
        <w:t xml:space="preserve">ул. Сергея </w:t>
      </w:r>
      <w:r>
        <w:rPr>
          <w:rFonts w:ascii="Times New Roman" w:hAnsi="Times New Roman" w:cs="Times New Roman"/>
          <w:sz w:val="28"/>
          <w:szCs w:val="28"/>
        </w:rPr>
        <w:t xml:space="preserve">Рахманинова, д. 1А, </w:t>
      </w:r>
      <w:r>
        <w:rPr>
          <w:rFonts w:ascii="Times New Roman" w:hAnsi="Times New Roman" w:cs="Times New Roman"/>
          <w:sz w:val="28"/>
          <w:szCs w:val="28"/>
        </w:rPr>
        <w:t xml:space="preserve">за счет сил и средств </w:t>
      </w:r>
      <w:r>
        <w:rPr>
          <w:rFonts w:ascii="Times New Roman" w:hAnsi="Times New Roman" w:cs="Times New Roman"/>
          <w:sz w:val="28"/>
          <w:szCs w:val="28"/>
        </w:rPr>
        <w:t xml:space="preserve">Подрядчика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0" w:leader="none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должны выполняться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использованием автовышек</w:t>
      </w:r>
      <w:r>
        <w:rPr>
          <w:rFonts w:ascii="Times New Roman" w:hAnsi="Times New Roman" w:cs="Times New Roman"/>
          <w:sz w:val="28"/>
          <w:szCs w:val="28"/>
        </w:rPr>
        <w:t xml:space="preserve"> или другой специальной для данного вида работ техникой. Расходные материалы поставляет </w:t>
      </w:r>
      <w:r>
        <w:rPr>
          <w:rFonts w:ascii="Times New Roman" w:hAnsi="Times New Roman" w:cs="Times New Roman"/>
          <w:sz w:val="28"/>
          <w:szCs w:val="28"/>
        </w:rPr>
        <w:t xml:space="preserve">Подрядчик </w:t>
      </w:r>
      <w:r>
        <w:rPr>
          <w:rFonts w:ascii="Times New Roman" w:hAnsi="Times New Roman" w:cs="Times New Roman"/>
          <w:sz w:val="28"/>
          <w:szCs w:val="28"/>
        </w:rPr>
        <w:t xml:space="preserve">за свой счет.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работы выполняются с</w:t>
      </w:r>
      <w:r>
        <w:rPr>
          <w:rFonts w:ascii="Times New Roman" w:hAnsi="Times New Roman" w:cs="Times New Roman"/>
          <w:sz w:val="28"/>
          <w:szCs w:val="28"/>
        </w:rPr>
        <w:t xml:space="preserve">огласно режима работы Заказчика и по согласованию с ним.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0" w:leader="none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</w:t>
      </w:r>
      <w:r>
        <w:rPr>
          <w:rFonts w:ascii="Times New Roman" w:hAnsi="Times New Roman" w:cs="Times New Roman"/>
          <w:sz w:val="28"/>
          <w:szCs w:val="28"/>
        </w:rPr>
        <w:t xml:space="preserve">рок выполнения работ в течение </w:t>
      </w:r>
      <w:r>
        <w:rPr>
          <w:rFonts w:ascii="Times New Roman" w:hAnsi="Times New Roman" w:cs="Times New Roman"/>
          <w:sz w:val="28"/>
          <w:szCs w:val="28"/>
        </w:rPr>
        <w:t xml:space="preserve">5 рабочих дн</w:t>
      </w:r>
      <w:r>
        <w:rPr>
          <w:rFonts w:ascii="Times New Roman" w:hAnsi="Times New Roman" w:cs="Times New Roman"/>
          <w:sz w:val="28"/>
          <w:szCs w:val="28"/>
        </w:rPr>
        <w:t xml:space="preserve">ей с момента заключения                                                 контракта.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0" w:leader="none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Оплата производится за счет средств федерального бюджета в течении 7 рабочих дней с момента подписания </w:t>
      </w:r>
      <w:r>
        <w:rPr>
          <w:rFonts w:ascii="Times New Roman" w:hAnsi="Times New Roman" w:cs="Times New Roman"/>
          <w:sz w:val="28"/>
          <w:szCs w:val="28"/>
        </w:rPr>
        <w:t xml:space="preserve">документа о приёмке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Заказчиком.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0" w:leader="none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5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6"/>
    <w:next w:val="836"/>
    <w:link w:val="661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7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6"/>
    <w:next w:val="836"/>
    <w:link w:val="663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7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6"/>
    <w:next w:val="836"/>
    <w:link w:val="665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7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6"/>
    <w:next w:val="836"/>
    <w:link w:val="667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7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6"/>
    <w:next w:val="836"/>
    <w:link w:val="669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7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6"/>
    <w:next w:val="836"/>
    <w:link w:val="671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7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6"/>
    <w:next w:val="836"/>
    <w:link w:val="673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7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6"/>
    <w:next w:val="836"/>
    <w:link w:val="675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7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6"/>
    <w:next w:val="836"/>
    <w:link w:val="677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7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6"/>
    <w:next w:val="836"/>
    <w:link w:val="680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80">
    <w:name w:val="Title Char"/>
    <w:basedOn w:val="837"/>
    <w:link w:val="679"/>
    <w:uiPriority w:val="10"/>
    <w:rPr>
      <w:sz w:val="48"/>
      <w:szCs w:val="48"/>
    </w:rPr>
  </w:style>
  <w:style w:type="paragraph" w:styleId="681">
    <w:name w:val="Subtitle"/>
    <w:basedOn w:val="836"/>
    <w:next w:val="836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basedOn w:val="837"/>
    <w:link w:val="681"/>
    <w:uiPriority w:val="11"/>
    <w:rPr>
      <w:sz w:val="24"/>
      <w:szCs w:val="24"/>
    </w:rPr>
  </w:style>
  <w:style w:type="paragraph" w:styleId="683">
    <w:name w:val="Quote"/>
    <w:basedOn w:val="836"/>
    <w:next w:val="836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6"/>
    <w:next w:val="836"/>
    <w:link w:val="68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6"/>
    <w:link w:val="688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8">
    <w:name w:val="Header Char"/>
    <w:basedOn w:val="837"/>
    <w:link w:val="687"/>
    <w:uiPriority w:val="99"/>
  </w:style>
  <w:style w:type="paragraph" w:styleId="689">
    <w:name w:val="Footer"/>
    <w:basedOn w:val="836"/>
    <w:link w:val="692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90">
    <w:name w:val="Footer Char"/>
    <w:basedOn w:val="837"/>
    <w:link w:val="689"/>
    <w:uiPriority w:val="99"/>
  </w:style>
  <w:style w:type="paragraph" w:styleId="691">
    <w:name w:val="Caption"/>
    <w:basedOn w:val="836"/>
    <w:next w:val="836"/>
    <w:link w:val="69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basedOn w:val="691"/>
    <w:link w:val="689"/>
    <w:uiPriority w:val="35"/>
  </w:style>
  <w:style w:type="table" w:styleId="693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9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7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8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9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0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1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3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4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5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6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7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8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9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0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28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29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30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31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32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33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34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2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3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4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5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6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7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8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2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3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4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5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6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7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37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7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spacing w:after="57"/>
      <w:ind w:left="0" w:right="0" w:firstLine="0"/>
    </w:pPr>
  </w:style>
  <w:style w:type="paragraph" w:styleId="826">
    <w:name w:val="toc 2"/>
    <w:basedOn w:val="836"/>
    <w:next w:val="836"/>
    <w:uiPriority w:val="39"/>
    <w:unhideWhenUsed/>
    <w:pPr>
      <w:spacing w:after="57"/>
      <w:ind w:left="283" w:right="0" w:firstLine="0"/>
    </w:pPr>
  </w:style>
  <w:style w:type="paragraph" w:styleId="827">
    <w:name w:val="toc 3"/>
    <w:basedOn w:val="836"/>
    <w:next w:val="836"/>
    <w:uiPriority w:val="39"/>
    <w:unhideWhenUsed/>
    <w:pPr>
      <w:spacing w:after="57"/>
      <w:ind w:left="567" w:right="0" w:firstLine="0"/>
    </w:pPr>
  </w:style>
  <w:style w:type="paragraph" w:styleId="828">
    <w:name w:val="toc 4"/>
    <w:basedOn w:val="836"/>
    <w:next w:val="836"/>
    <w:uiPriority w:val="39"/>
    <w:unhideWhenUsed/>
    <w:pPr>
      <w:spacing w:after="57"/>
      <w:ind w:left="850" w:right="0" w:firstLine="0"/>
    </w:pPr>
  </w:style>
  <w:style w:type="paragraph" w:styleId="829">
    <w:name w:val="toc 5"/>
    <w:basedOn w:val="836"/>
    <w:next w:val="836"/>
    <w:uiPriority w:val="39"/>
    <w:unhideWhenUsed/>
    <w:pPr>
      <w:spacing w:after="57"/>
      <w:ind w:left="1134" w:right="0" w:firstLine="0"/>
    </w:pPr>
  </w:style>
  <w:style w:type="paragraph" w:styleId="830">
    <w:name w:val="toc 6"/>
    <w:basedOn w:val="836"/>
    <w:next w:val="836"/>
    <w:uiPriority w:val="39"/>
    <w:unhideWhenUsed/>
    <w:pPr>
      <w:spacing w:after="57"/>
      <w:ind w:left="1417" w:right="0" w:firstLine="0"/>
    </w:pPr>
  </w:style>
  <w:style w:type="paragraph" w:styleId="831">
    <w:name w:val="toc 7"/>
    <w:basedOn w:val="836"/>
    <w:next w:val="836"/>
    <w:uiPriority w:val="39"/>
    <w:unhideWhenUsed/>
    <w:pPr>
      <w:spacing w:after="57"/>
      <w:ind w:left="1701" w:right="0" w:firstLine="0"/>
    </w:pPr>
  </w:style>
  <w:style w:type="paragraph" w:styleId="832">
    <w:name w:val="toc 8"/>
    <w:basedOn w:val="836"/>
    <w:next w:val="836"/>
    <w:uiPriority w:val="39"/>
    <w:unhideWhenUsed/>
    <w:pPr>
      <w:spacing w:after="57"/>
      <w:ind w:left="1984" w:right="0" w:firstLine="0"/>
    </w:pPr>
  </w:style>
  <w:style w:type="paragraph" w:styleId="833">
    <w:name w:val="toc 9"/>
    <w:basedOn w:val="836"/>
    <w:next w:val="836"/>
    <w:uiPriority w:val="39"/>
    <w:unhideWhenUsed/>
    <w:pPr>
      <w:spacing w:after="57"/>
      <w:ind w:left="2268" w:right="0" w:firstLine="0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>
    <w:name w:val="Balloon Text"/>
    <w:basedOn w:val="836"/>
    <w:link w:val="84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41" w:customStyle="1">
    <w:name w:val="Текст выноски Знак"/>
    <w:basedOn w:val="837"/>
    <w:link w:val="840"/>
    <w:uiPriority w:val="99"/>
    <w:semiHidden/>
    <w:rPr>
      <w:rFonts w:ascii="Tahoma" w:hAnsi="Tahoma" w:cs="Tahoma"/>
      <w:sz w:val="16"/>
      <w:szCs w:val="16"/>
    </w:rPr>
  </w:style>
  <w:style w:type="paragraph" w:styleId="842">
    <w:name w:val="List Paragraph"/>
    <w:basedOn w:val="836"/>
    <w:uiPriority w:val="34"/>
    <w:qFormat/>
    <w:pPr>
      <w:ind w:left="720"/>
      <w:contextualSpacing/>
    </w:pPr>
  </w:style>
  <w:style w:type="table" w:styleId="843">
    <w:name w:val="Table Grid"/>
    <w:basedOn w:val="83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4" w:customStyle="1">
    <w:name w:val="content"/>
    <w:basedOn w:val="8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УФРС по Тамбовской области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Nacibulina</dc:creator>
  <cp:keywords/>
  <dc:description/>
  <cp:lastModifiedBy>urr_drokinav</cp:lastModifiedBy>
  <cp:revision>9</cp:revision>
  <dcterms:created xsi:type="dcterms:W3CDTF">2024-08-12T06:09:00Z</dcterms:created>
  <dcterms:modified xsi:type="dcterms:W3CDTF">2026-07-30T12:09:34Z</dcterms:modified>
</cp:coreProperties>
</file>