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customXml/itemProps3.xml" ContentType="application/vnd.openxmlformats-officedocument.customXml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7"/>
        <w:jc w:val="right"/>
        <w:spacing w:before="0" w:after="0" w:line="240" w:lineRule="auto"/>
        <w:tabs>
          <w:tab w:val="clear" w:pos="708" w:leader="none"/>
          <w:tab w:val="left" w:pos="5955" w:leader="none"/>
          <w:tab w:val="left" w:pos="7515" w:leader="none"/>
        </w:tabs>
        <w:rPr>
          <w:rFonts w:ascii="Times New Roman" w:hAnsi="Times New Roman" w:eastAsia="Times New Roman" w:cs="Times New Roman"/>
          <w:i/>
          <w:iCs/>
          <w:lang w:eastAsia="ru-RU"/>
        </w:rPr>
      </w:pPr>
      <w:r>
        <w:rPr>
          <w:rFonts w:ascii="Times New Roman" w:hAnsi="Times New Roman" w:eastAsia="Times New Roman" w:cs="Times New Roman"/>
          <w:i/>
          <w:iCs/>
          <w:lang w:eastAsia="ru-RU"/>
        </w:rPr>
      </w:r>
      <w:r>
        <w:rPr>
          <w:rFonts w:ascii="Times New Roman" w:hAnsi="Times New Roman" w:eastAsia="Times New Roman" w:cs="Times New Roman"/>
          <w:i/>
          <w:iCs/>
          <w:lang w:eastAsia="ru-RU"/>
        </w:rPr>
      </w:r>
      <w:r>
        <w:rPr>
          <w:rFonts w:ascii="Times New Roman" w:hAnsi="Times New Roman" w:eastAsia="Times New Roman" w:cs="Times New Roman"/>
          <w:i/>
          <w:iCs/>
          <w:lang w:eastAsia="ru-RU"/>
        </w:rPr>
      </w:r>
    </w:p>
    <w:p>
      <w:pPr>
        <w:pStyle w:val="937"/>
        <w:ind w:firstLine="720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720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Контракт №1920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об оказании услуг связи юридическому лицу, финансируемому из средств  соответствующего бюджета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before="0" w:after="0" w:line="240" w:lineRule="auto"/>
        <w:rPr>
          <w:rFonts w:ascii="Times New Roman" w:hAnsi="Times New Roman" w:eastAsia="Times New Roman" w:cs="Times New Roman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highlight w:val="none"/>
          <w:lang w:eastAsia="ru-RU"/>
        </w:rPr>
        <w:t xml:space="preserve">ИКЗ </w:t>
      </w:r>
      <w:r>
        <w:rPr>
          <w:rFonts w:ascii="Times New Roman" w:hAnsi="Times New Roman" w:eastAsia="Times New Roman" w:cs="Times New Roman"/>
          <w:highlight w:val="none"/>
          <w:lang w:eastAsia="ru-RU"/>
        </w:rPr>
        <w:t xml:space="preserve">261643901046164390100100170000000244</w:t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</w:p>
    <w:p>
      <w:pPr>
        <w:jc w:val="center"/>
        <w:spacing w:before="0" w:after="0" w:line="240" w:lineRule="auto"/>
        <w:rPr>
          <w:rFonts w:ascii="Times New Roman" w:hAnsi="Times New Roman" w:eastAsia="Times New Roman" w:cs="Times New Roman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</w:p>
    <w:p>
      <w:pPr>
        <w:pStyle w:val="937"/>
        <w:spacing w:before="0" w:after="0" w:line="240" w:lineRule="auto"/>
        <w:rPr>
          <w:rFonts w:ascii="Times New Roman" w:hAnsi="Times New Roman" w:eastAsia="Times New Roman" w:cs="Times New Roman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г.Глазов            </w:t>
        <w:tab/>
        <w:tab/>
        <w:tab/>
        <w:t xml:space="preserve">             </w:t>
        <w:tab/>
        <w:tab/>
        <w:t xml:space="preserve">                                   «_____» _____________2026г.</w:t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</w:p>
    <w:p>
      <w:pPr>
        <w:pStyle w:val="937"/>
        <w:ind w:firstLine="567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567"/>
        <w:jc w:val="both"/>
        <w:spacing w:before="0" w:after="0" w:line="240" w:lineRule="auto"/>
        <w:rPr>
          <w:rFonts w:ascii="Times New Roman" w:hAnsi="Times New Roman" w:eastAsia="Times New Roman" w:cs="Times New Roman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</w:p>
    <w:p>
      <w:pPr>
        <w:pStyle w:val="9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_______________________________________________________________</w:t>
      </w:r>
      <w:r>
        <w:rPr>
          <w:rFonts w:ascii="Times New Roman" w:hAnsi="Times New Roman" w:eastAsia="Times New Roman" w:cs="Times New Roman"/>
          <w:b w:val="0"/>
          <w:bCs w:val="0"/>
          <w:lang w:eastAsia="ru-RU"/>
        </w:rPr>
        <w:t xml:space="preserve">, 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лице __________________________________________________________ действующего на основании ____________________________________________________</w:t>
      </w:r>
      <w:r>
        <w:rPr>
          <w:rFonts w:ascii="Times New Roman" w:hAnsi="Times New Roman" w:eastAsia="Times New Roman" w:cs="Times New Roman"/>
          <w:lang w:eastAsia="ru-RU"/>
        </w:rPr>
        <w:t xml:space="preserve">, с одной стороны, и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Волжское межрегиональное территориальное Управление по надзору за ядерной и радиационной безопасностью Федеральной службы по экологическому, технологическому и атомному надзору (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Волжское МТУ по надзору за ЯРБ Ростехнадзора)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eastAsia="Times New Roman" w:cs="Times New Roman"/>
          <w:lang w:eastAsia="ru-RU"/>
        </w:rPr>
        <w:t xml:space="preserve">именуемое в дальнейшем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«Абонент»,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в лице временно исполняющего обязанности  руководителя Рязанцева Ивана Александровича</w:t>
      </w:r>
      <w:r>
        <w:rPr>
          <w:rFonts w:ascii="Times New Roman" w:hAnsi="Times New Roman" w:eastAsia="Times New Roman" w:cs="Times New Roman"/>
          <w:lang w:eastAsia="ru-RU"/>
        </w:rPr>
        <w:t xml:space="preserve">, действующего на основании Положения, с другой стороны,  принимая во внимание, что Оператор имеет действующие лицензии на предоставление услуг связи заключили настоящий Государственный  контракт (далее – Контракт) о нижеследующем: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37"/>
        <w:ind w:firstLine="567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567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567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1. Предмет Контракта</w:t>
      </w: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pStyle w:val="937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1.1. Осуществление закупки по настоящему Контракту производится на основании п. 4 ч. 1 ст.93 Федерального закона от 05.04.2013 № 44-ФЗ «О контрактной системе в сфере закупок товаров, работ услуг для обеспечения государственных и муниципальных нужд».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lang w:eastAsia="ru-RU"/>
        </w:rPr>
        <w:t xml:space="preserve">1.2. В соответствии с условиями настоящего Контракта Оператор</w:t>
      </w:r>
      <w:r>
        <w:rPr>
          <w:rFonts w:ascii="Times New Roman" w:hAnsi="Times New Roman" w:eastAsia="Times New Roman" w:cs="Times New Roman"/>
          <w:lang w:eastAsia="ru-RU"/>
        </w:rPr>
        <w:t xml:space="preserve"> обязуется оказывать Абоненту услуги связи, (далее – Услуги), а Абонент обязуется принимать и оплачивать оказываемые ему Услуги.  Состав и перечень услуг, а так же дополнительные права и обязанности сторон, определяются Приложениями к настоящему Контракту.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2.    Права и обязанности Сторон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2.1. Оператор обязан: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2.1.1. Оказывать Абоненту Услуги в соответствии с законодательством РФ, лицензиями, настоящим Контрактом.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2.1.2. Вести учет оказываемых Услуг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2.1.3. Устранять неисправности, препятствующие пол</w:t>
      </w:r>
      <w:r>
        <w:rPr>
          <w:rFonts w:ascii="Times New Roman" w:hAnsi="Times New Roman" w:eastAsia="Times New Roman" w:cs="Times New Roman"/>
          <w:lang w:eastAsia="ru-RU"/>
        </w:rPr>
        <w:t xml:space="preserve">ьзованию Услугами, по заявке Абонента с учетом технических возможностей в сроки, установленные действующими нормативными актами, а неисправности, возникшие по вине Абонента, устранять с учетом технических возможностей за дополнительную плату в соответствии</w:t>
      </w:r>
      <w:r>
        <w:rPr>
          <w:rFonts w:ascii="Times New Roman" w:hAnsi="Times New Roman" w:eastAsia="Times New Roman" w:cs="Times New Roman"/>
          <w:color w:val="00b05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с действующими тарифами Оператора.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2.1.4. Извещать Абонента через сайт Оператора связи в информационно-телекоммуникационной сети «Интернет» об изменении действующих тарифов на оказываемые </w:t>
      </w:r>
      <w:r>
        <w:rPr>
          <w:rFonts w:ascii="Times New Roman" w:hAnsi="Times New Roman" w:eastAsia="Times New Roman" w:cs="Times New Roman"/>
          <w:lang w:eastAsia="ru-RU"/>
        </w:rPr>
        <w:t xml:space="preserve">в рамках Контракта услуги, без изменения цены Контракта, о введении тарификации данных услуг, ранее не тарифицируемых, не менее чем за 10 дней до наступления указанных событий. В случае неполучения Оператором в течение 10 (десяти) календарных дней с даты с</w:t>
      </w:r>
      <w:r>
        <w:rPr>
          <w:rFonts w:ascii="Times New Roman" w:hAnsi="Times New Roman" w:eastAsia="Times New Roman" w:cs="Times New Roman"/>
          <w:lang w:eastAsia="ru-RU"/>
        </w:rPr>
        <w:t xml:space="preserve">оответствующего уведомления письменного отказа Абонента от принятия соответствующих изменений, и продолжение пользования Абонентом Услугами на измененных условиях, изменения условий оказания Услуг, предусмотренных Контрактом, считаются принятыми Абонентом.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2.1.5. Оформлять и направлять Акты начала оказания услуг и/или Акты выполненных работ (оказанных услуг) Абоненту (далее совместно именуемые – Акты).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2.1.6. Обеспечить возможнос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ть пользования Услугами 24 часа в сутки 7 (семь) дней в неделю, если иное не установлено законодательством Российской Федерации, а также за исключением случаев проведения необходимых ремонтных, профилактических и регламентных работ на сети связи Оператора.</w:t>
      </w: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2.1.7. Оповещать Абонента о проведении ремонтно-настроечных и профилактических работах на сетях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любыми доступными способами.</w:t>
      </w: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2.1.8. Предоставлять бесплатно и круглосуточно следующие информационно-справочные услуги:</w:t>
      </w: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а) предоставление справочной информации о тарифах на услуги, о состоянии лицевого счета Абонента, в том числе о задолженности по оплате услуг;</w:t>
      </w: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б) предоставлении информации о зоне обслуживания своей сети связи;</w:t>
      </w: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в) прием информации о технической неисправности, препятствующей пользованию услугами.</w:t>
      </w: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2.2. Оператор имеет право: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2.2.1. В одностороннем порядке путем направления Абоненту письменного уведомления вносить изменения в п.10.1. настоящего Контракта, в срок не превышающий 10 (десять) календарных дней с даты введения в действие соответствующих изменений.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2.2.2. Требовать от Абонента исполнения обязательств по настоящему Контракту, в т. ч. неисполненных перед Оператором денежных обязательств.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2.2.3</w:t>
      </w:r>
      <w:r>
        <w:rPr>
          <w:rFonts w:ascii="Times New Roman" w:hAnsi="Times New Roman" w:eastAsia="Times New Roman" w:cs="Times New Roman"/>
          <w:b/>
          <w:bCs/>
          <w:i/>
          <w:i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Приостанавливать оказание Услуг при возникновении чрезвычайных ситуаций природного и техногенного характера, в соответствии со ст.66 Федерального закона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от 07.07.2003 №126-ФЗ «О связи».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2.2.4. Приостанавливать оказание Услуг в случае нарушения Абонентом требований, связанных с оказ</w:t>
      </w:r>
      <w:r>
        <w:rPr>
          <w:rFonts w:ascii="Times New Roman" w:hAnsi="Times New Roman" w:eastAsia="Times New Roman" w:cs="Times New Roman"/>
          <w:lang w:eastAsia="ru-RU"/>
        </w:rPr>
        <w:t xml:space="preserve">анием этих Услуг и установленных Федеральным законом «О связи», иными нормативными правовыми актами и настоящим Контрактом, в том числе нарушения сроков оплаты оказанных Абоненту Услуг, до устранения нарушения или предоставления документов, подтверждающих </w:t>
      </w:r>
      <w:r>
        <w:rPr>
          <w:rFonts w:ascii="Times New Roman" w:hAnsi="Times New Roman" w:eastAsia="Times New Roman" w:cs="Times New Roman"/>
          <w:lang w:eastAsia="ru-RU"/>
        </w:rPr>
        <w:t xml:space="preserve">оплату Оператору стоимости оказанных Услуг. Приостановление оказания Услуг производится Оператором с письменного согласия Абонента или по решению суда. При этом сохраняется доступ к сети связи и возможность вызова Абонентом экстренных (оперативных) служб.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clear" w:pos="708" w:leader="none"/>
          <w:tab w:val="left" w:pos="6875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2.2.5. Передавать сведения об Абоненте операторам взаимодействующих сетей связи для целей осуществления взаимных расчетов за Услуги и рассмотрения претензий.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clear" w:pos="708" w:leader="none"/>
          <w:tab w:val="left" w:pos="6875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2.2.6. Предоставлять (направлять) Абоненту информацию, об услугах Оператора, способах и условиях их предоставления и заказа в соответствии с требованиями действующего законодательства.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both"/>
        <w:spacing w:before="0" w:after="0" w:line="240" w:lineRule="auto"/>
        <w:tabs>
          <w:tab w:val="clear" w:pos="708" w:leader="none"/>
          <w:tab w:val="left" w:pos="6875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2.3.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Абонент обязан:</w:t>
      </w: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2.3.1. Пользоваться услугами исключительно в пределах установленных лимитов бюджетных обязательств. Оплачивать Ус</w:t>
      </w:r>
      <w:r>
        <w:rPr>
          <w:rFonts w:ascii="Times New Roman" w:hAnsi="Times New Roman" w:eastAsia="Times New Roman" w:cs="Times New Roman"/>
          <w:lang w:eastAsia="ru-RU"/>
        </w:rPr>
        <w:t xml:space="preserve">луги в полном объеме и в сроки, определенные в настоящем Контракте, согласно действующим на момент оказания Услуг тарифам Оператора. Осуществлять контроль над расходованием денежных средств, выделенных на Услуги, в пределах лимитов бюджетных обязательств.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возникновения риска увеличения цены Контракта, указанной в п. 3.1.  Контракта, в связи с увеличением объема потребляемых услуг, инициировать заключение </w:t>
      </w:r>
      <w:r>
        <w:rPr>
          <w:rFonts w:ascii="Times New Roman" w:hAnsi="Times New Roman" w:eastAsia="Times New Roman" w:cs="Times New Roman"/>
          <w:lang w:eastAsia="ru-RU"/>
        </w:rPr>
        <w:t xml:space="preserve">дополнительного соглашения или расторжение Контракта по соглашению Сторон.  При несоблюдении условий настоящего пункта оплачивать   фактически оказанные услуги, потребленные сверх лимитов бюджетных обязательств, на основании выставленных Оператором счетов.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2.3.2. Письменно уведомлять Оператора об изменении наименован</w:t>
      </w:r>
      <w:r>
        <w:rPr>
          <w:rFonts w:ascii="Times New Roman" w:hAnsi="Times New Roman" w:eastAsia="Times New Roman" w:cs="Times New Roman"/>
          <w:lang w:eastAsia="ru-RU"/>
        </w:rPr>
        <w:t xml:space="preserve">ия юридического лица, юридического и почтового адреса Абонента в срок, не превышающий 30 (тридцати) календарных дней с даты введения в действие соответствующих изменений. Письменно уведомить Оператора об изменении адреса доставки счетов, счетов-фактур, Акт</w:t>
      </w:r>
      <w:r>
        <w:rPr>
          <w:rFonts w:ascii="Times New Roman" w:hAnsi="Times New Roman" w:eastAsia="Times New Roman" w:cs="Times New Roman"/>
          <w:lang w:eastAsia="ru-RU"/>
        </w:rPr>
        <w:t xml:space="preserve">ов и банковских реквизитов Абонента в течение 5 (пяти) календарных дней с момента изменения. Уведомление производится по реквизитам, указанным в разделе 10 Контракта. Уведомление должно быть подписано лицом, уполномоченным на внесение изменений в Контракт.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2.3.3. Извещать Оператора обо всех случаях перерывов связи в предоставляемых Абоненту Услугах.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2.3.4. Принимать Услуги и возвращать Оператору подписанные со своей стороны уполномоченными лицами оригиналы Актов в течение 10 (десяти) календарных дней с момента получения. В том случае если в течение 10 (десяти) календарных дней со дня 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начала оказания Услуг </w:t>
      </w:r>
      <w:r>
        <w:rPr>
          <w:rFonts w:ascii="Times New Roman" w:hAnsi="Times New Roman" w:eastAsia="Times New Roman" w:cs="Times New Roman"/>
          <w:lang w:eastAsia="ru-RU"/>
        </w:rPr>
        <w:t xml:space="preserve">и (или) окончания Отчетного периода (месяц оказания Услуг) Абонент не предоставляет Оператору письменного мотивированного отказа в признании надлежащего исполнения обязательств</w:t>
      </w:r>
      <w:r>
        <w:rPr>
          <w:rFonts w:ascii="Times New Roman" w:hAnsi="Times New Roman" w:eastAsia="Times New Roman" w:cs="Times New Roman"/>
          <w:lang w:eastAsia="ru-RU"/>
        </w:rPr>
        <w:t xml:space="preserve"> Оператором, Абонент считается согласившимся с датой, объемом и качеством Услуг, указанных в Актах. При этом, Оператор вправе требовать оплату счетов на суммы, указанные в Актах, а Абонент обязан оплачивать эти счета в соответствии с условиями Контракта. 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2.3.5. В рабочее время обеспечить беспрепятственный доступ работников Оператора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lang w:eastAsia="ru-RU"/>
        </w:rPr>
        <w:t xml:space="preserve">предъявивших соответствующее удостоверение, для выполнения работ, необходимых во исполнение настоящего Контракта, а также для проведения осмотра, ремонта и технического обслуживания средст</w:t>
      </w:r>
      <w:r>
        <w:rPr>
          <w:rFonts w:ascii="Times New Roman" w:hAnsi="Times New Roman" w:eastAsia="Times New Roman" w:cs="Times New Roman"/>
          <w:lang w:eastAsia="ru-RU"/>
        </w:rPr>
        <w:t xml:space="preserve">в, сооружений, линий связи в помещениях, находящихся во владении и (или) пользовании Абонента. В случае необходимости проведения работ по организации абонентской линии обеспечить получение необходимых разрешений и согласований от владельца территории (поме</w:t>
      </w:r>
      <w:r>
        <w:rPr>
          <w:rFonts w:ascii="Times New Roman" w:hAnsi="Times New Roman" w:eastAsia="Times New Roman" w:cs="Times New Roman"/>
          <w:lang w:eastAsia="ru-RU"/>
        </w:rPr>
        <w:t xml:space="preserve">щения), на которой расположено оборудование Оператора и (или) оборудование Абонента, на проведение работ по прокладке кабеля, строительству кабельной канализации и организации кабельного ввода, а также по размещению и электропитанию оборудования Оператора.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2.3.6. В случае одностороннего полного (частичного) отказа от Услуг по настоящему Контракту письменно уведомить об этом Оператора, а также оплатить Оператору фактически понесенные расходы за предоставление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доступа к сети местной телефонной связи и стоимость оказанных Услуг в размере, предусмотренном действующими на момент их оказания тарифами Оператора.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2.3.7. Обеспечить наличие пользовательского (оконечного) оборудования, подлежащего подключению к абонентской линии.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2.3.8. Не допускать самовольного подключения к сети по</w:t>
      </w:r>
      <w:r>
        <w:rPr>
          <w:rFonts w:ascii="Times New Roman" w:hAnsi="Times New Roman" w:eastAsia="Times New Roman" w:cs="Times New Roman"/>
          <w:lang w:eastAsia="ru-RU"/>
        </w:rPr>
        <w:t xml:space="preserve">льзовательских (оконечных) устройств и иного оконечного оборудования, подключения к другим абонентским линиям, а также самовольного подключения к сети электросвязи пользовательских (оконечных) устройств с выделенными абонентскими номерами сверх количества.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2.3.9. Не допускать использования средств связи для преднамеренного создания другим абонентам условий, затрудняющих пользование услугами связи, а также создания помех для нормального функционирования сети связи.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numPr>
          <w:ilvl w:val="2"/>
          <w:numId w:val="1"/>
        </w:numPr>
        <w:ind w:firstLine="426"/>
        <w:jc w:val="both"/>
        <w:spacing w:before="0" w:after="0" w:line="240" w:lineRule="auto"/>
        <w:tabs>
          <w:tab w:val="left" w:pos="0" w:leader="none"/>
          <w:tab w:val="left" w:pos="54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2.3.10. Не использовать пользовательское (оконечное) устройство и (или) выделенный абонентский номер для оказания услуг связи третьим лицам, в том числе путем организации шлюзов для доступа к сети связи, </w:t>
      </w:r>
      <w:r>
        <w:rPr>
          <w:rFonts w:ascii="Times New Roman" w:hAnsi="Times New Roman" w:eastAsia="Times New Roman" w:cs="Times New Roman"/>
          <w:lang w:val="en-US" w:eastAsia="ru-RU"/>
        </w:rPr>
        <w:t xml:space="preserve">IP</w:t>
      </w:r>
      <w:r>
        <w:rPr>
          <w:rFonts w:ascii="Times New Roman" w:hAnsi="Times New Roman" w:eastAsia="Times New Roman" w:cs="Times New Roman"/>
          <w:lang w:eastAsia="ru-RU"/>
        </w:rPr>
        <w:t xml:space="preserve">-телефонии и т.п.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numPr>
          <w:ilvl w:val="2"/>
          <w:numId w:val="1"/>
        </w:numPr>
        <w:ind w:firstLine="426"/>
        <w:jc w:val="both"/>
        <w:spacing w:before="0" w:after="0" w:line="240" w:lineRule="auto"/>
        <w:tabs>
          <w:tab w:val="left" w:pos="0" w:leader="none"/>
          <w:tab w:val="left" w:pos="54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2.3.11. Содержать в исправном состоянии абонентскую линию и пользовательское (оконечное) оборудование, находящиеся в помещении Абонента, а также соблюдать правила эксплуатации этого оборудования.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2.4. Абонент имеет право: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2.4.1. Получать от Оператора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информацию, необходимую для исполнения настоящего Контракта, в том числе информацию о реквизитах Оператора, режиме работы, тарифах и оказываемых Услугах, о состоянии лицевого счета Абонента.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2.4.2. Требовать устранения неисправностей, препятствующих пользованию Услугами, в сроки, установленные действующими нормативными актами.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2.4.3. Запрашивать у Оператора направление в адрес Абонента Актов оказанных услуг.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jc w:val="both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3. Стоимость Услуг, порядок расчетов, приемка.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cs="Times New Roman"/>
          <w:color w:val="000000"/>
          <w:highlight w:val="none"/>
        </w:rPr>
      </w:pPr>
      <w:r>
        <w:rPr>
          <w:rFonts w:ascii="Times New Roman" w:hAnsi="Times New Roman" w:cs="Times New Roman"/>
          <w:color w:val="000000"/>
        </w:rPr>
        <w:t xml:space="preserve">3.1. Цена настоящего Контракта составляет </w:t>
      </w:r>
      <w:r>
        <w:rPr>
          <w:rFonts w:ascii="Times New Roman" w:hAnsi="Times New Roman" w:cs="Times New Roman"/>
          <w:b/>
          <w:bCs/>
          <w:color w:val="000000"/>
          <w:u w:val="single"/>
        </w:rPr>
        <w:t xml:space="preserve">44000</w:t>
      </w:r>
      <w:r>
        <w:rPr>
          <w:rFonts w:ascii="Times New Roman" w:hAnsi="Times New Roman" w:cs="Times New Roman"/>
          <w:b/>
          <w:bCs/>
          <w:color w:val="000000"/>
          <w:u w:val="single"/>
        </w:rPr>
        <w:t xml:space="preserve"> (</w:t>
      </w:r>
      <w:r>
        <w:rPr>
          <w:rFonts w:ascii="Times New Roman" w:hAnsi="Times New Roman" w:cs="Times New Roman"/>
          <w:b/>
          <w:color w:val="000000"/>
          <w:u w:val="single"/>
        </w:rPr>
        <w:t xml:space="preserve">сорок четыре тысячи) рублей 00 копеек</w:t>
      </w:r>
      <w:r>
        <w:rPr>
          <w:rFonts w:ascii="Times New Roman" w:hAnsi="Times New Roman" w:cs="Times New Roman"/>
          <w:color w:val="000000"/>
        </w:rPr>
        <w:t xml:space="preserve">,  в том числе НДС.</w:t>
      </w:r>
      <w:r>
        <w:rPr>
          <w:rFonts w:ascii="Times New Roman" w:hAnsi="Times New Roman" w:cs="Times New Roman"/>
          <w:color w:val="000000"/>
        </w:rPr>
        <w:t xml:space="preserve"> из них:</w:t>
      </w: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</w:p>
    <w:p>
      <w:pPr>
        <w:ind w:firstLine="426"/>
        <w:jc w:val="both"/>
        <w:spacing w:before="0" w:after="0" w:line="240" w:lineRule="auto"/>
        <w:rPr>
          <w:rFonts w:ascii="Times New Roman" w:hAnsi="Times New Roman" w:cs="Times New Roman"/>
          <w:color w:val="000000"/>
          <w:highlight w:val="none"/>
        </w:rPr>
      </w:pPr>
      <w:r>
        <w:rPr>
          <w:rFonts w:ascii="Times New Roman" w:hAnsi="Times New Roman" w:cs="Times New Roman"/>
          <w:color w:val="000000"/>
          <w:highlight w:val="none"/>
        </w:rPr>
        <w:t xml:space="preserve">-22000 (двадцать две тысячи) рублей 00 копеек за счет лимитов 2027г;</w:t>
      </w: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</w:p>
    <w:p>
      <w:pPr>
        <w:ind w:firstLine="426"/>
        <w:jc w:val="both"/>
        <w:spacing w:before="0" w:after="0" w:line="240" w:lineRule="auto"/>
        <w:rPr>
          <w:rFonts w:ascii="Times New Roman" w:hAnsi="Times New Roman" w:cs="Times New Roman"/>
          <w:color w:val="000000"/>
          <w:highlight w:val="none"/>
        </w:rPr>
      </w:pPr>
      <w:r>
        <w:rPr>
          <w:rFonts w:ascii="Times New Roman" w:hAnsi="Times New Roman" w:cs="Times New Roman"/>
          <w:color w:val="000000"/>
          <w:highlight w:val="none"/>
        </w:rPr>
        <w:t xml:space="preserve">-22000 (двадцать две тысячи) рублей 00 копеек за счет лимитов 2028г;</w:t>
      </w: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3.2. Цена Контракта является твердой и определяется на весь срок исполнения Контракта. В формировании цены Контракта применяется тарифный метод.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567"/>
        <w:jc w:val="both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Сумма, подлежащая уплате Оператору, уменьшается на размер налогов, сборов и иных обязательных платежей в бюджеты бюджетной системы Р</w:t>
      </w:r>
      <w:r>
        <w:rPr>
          <w:rFonts w:ascii="Times New Roman" w:hAnsi="Times New Roman" w:cs="Times New Roman"/>
        </w:rPr>
        <w:t xml:space="preserve">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3.3. Источник финансирования: </w:t>
      </w:r>
      <w:r>
        <w:rPr>
          <w:rFonts w:ascii="Times New Roman" w:hAnsi="Times New Roman" w:eastAsia="Times New Roman" w:cs="Times New Roman"/>
          <w:u w:val="single"/>
          <w:lang w:eastAsia="ru-RU"/>
        </w:rPr>
        <w:t xml:space="preserve">Федеральный бюджет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3.4. Стоимость Услуг, оказываемых Абоненту Оператором по настоящему Контракту, определяется действующими на момент оказания соответствующих Услуг тарифами Оператора. Та</w:t>
      </w:r>
      <w:r>
        <w:rPr>
          <w:rFonts w:ascii="Times New Roman" w:hAnsi="Times New Roman" w:eastAsia="Times New Roman" w:cs="Times New Roman"/>
          <w:lang w:eastAsia="ru-RU"/>
        </w:rPr>
        <w:t xml:space="preserve">рифы на Услуги утверждаются Оператором самостоятельно, изменение тарифов производится Оператором в соответствии с изменением тарифов для Оператора как субъекта естественных монополий, либо в соответствии с п.1 ст.28 Федерального закона от 07.07.2003 №126-Ф</w:t>
      </w:r>
      <w:r>
        <w:rPr>
          <w:rFonts w:ascii="Times New Roman" w:hAnsi="Times New Roman" w:eastAsia="Times New Roman" w:cs="Times New Roman"/>
          <w:lang w:eastAsia="ru-RU"/>
        </w:rPr>
        <w:t xml:space="preserve">З «О связи». Оплата Услуг по настоящему Контракту производится на основании показаний оборудования Оператора, используемого для учета объема оказанных Услуг и их стоимости. Оплата Услуг осуществляется в зависимости от выбранного Абонентом тарифного плана.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3.5. Сумма к оплате за Услуги определяется с учетом стоимости и объема оказанных Услуг за Расчетный период. Под Расчетным периодом понимается период продолжительностью в один календарный месяц, в котором были оказаны соответствующие Услуги.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3.6. Расчетный период устанавливается с первого до последнего числа (включительно) календарного месяца оказания Оператором Услуг, подлежащих оплате.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3.7. Оператор выставляет Абоненту счет, счет-фактуру и Акт выполненных работ (оказанных услуг) в течение 5 (пяти) календарных дней с момента окончания Расчетного периода.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i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3.8. Оплата Услуг производится путем безналичных расчетов ежемесячно, не позднее 10 (десяти) рабочих дней с даты подписания  акта выполненных работ (оказанных услуг). </w:t>
      </w:r>
      <w:r>
        <w:rPr>
          <w:rFonts w:ascii="Times New Roman" w:hAnsi="Times New Roman" w:eastAsia="Times New Roman" w:cs="Times New Roman"/>
          <w:i/>
          <w:lang w:eastAsia="ru-RU"/>
        </w:rPr>
      </w:r>
      <w:r>
        <w:rPr>
          <w:rFonts w:ascii="Times New Roman" w:hAnsi="Times New Roman" w:eastAsia="Times New Roman" w:cs="Times New Roman"/>
          <w:i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3.9. Утеря, неполучение Абонентом выставленного Оператором счета, счетов-фактур и Актов, в т.ч. в связи с невыполнением условий, предусмотренных п.2.3.2. настоящего Контракта, не освобождает Абонента от обязанности своевременной оплаты Услуг.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3.10. Абонент может уточнить сумму к оплате в Личном кабинете Оператора или по телефону Контактного центра Оператора указанному в разделе 10 Контракта.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3.11. При изменении тарифа в течение периода, за который Абонентом уже была внесена плата за Услуги Оператора перед введением указанных изменений, Оператор производит с Абонентом перерасчет с даты введения в действие соответствующих изменений.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3.12. Выставление счета-фактуры Оператором Абоненту производится в соответствии с налоговым законодательством РФ.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3.13. Абонент </w:t>
      </w:r>
      <w:r>
        <w:rPr>
          <w:rFonts w:ascii="Times New Roman" w:hAnsi="Times New Roman" w:eastAsia="Times New Roman" w:cs="Times New Roman"/>
          <w:lang w:eastAsia="ru-RU"/>
        </w:rPr>
        <w:t xml:space="preserve">вправе производить авансовые платежи за оказываемые Услуги в размере, не превышающем лимиты бюджетных обязательств на соответствующий финансовый год. Сумма авансового платежа учитывается Оператором при выставлении счета в соответствующем Расчетном периоде.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3.14. Стороны обязуются осуществлять сверку расчётов по Контракту с оформлением двустороннего акта сверки расчётов не реже одного раза в год, а также по мере необходимос</w:t>
      </w:r>
      <w:r>
        <w:rPr>
          <w:rFonts w:ascii="Times New Roman" w:hAnsi="Times New Roman" w:eastAsia="Times New Roman" w:cs="Times New Roman"/>
          <w:lang w:eastAsia="ru-RU"/>
        </w:rPr>
        <w:t xml:space="preserve">ти. Если Сторонами не используется система электронного документооборота для направления акта сверки расчётов, то акт может быть направлен почтой по адресу, указанному в п 10 Контракта или Абонент может самостоятельно заказать через сервис Личный Кабинет.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3.15. Стороны согласовали возможность получения Абонентом от Оператора электронных документов/ пакетов электронных документов, подписан</w:t>
      </w:r>
      <w:r>
        <w:rPr>
          <w:rFonts w:ascii="Times New Roman" w:hAnsi="Times New Roman" w:eastAsia="Times New Roman" w:cs="Times New Roman"/>
          <w:lang w:eastAsia="ru-RU"/>
        </w:rPr>
        <w:t xml:space="preserve">ных усиленной квалификационной электронной подписью по телекоммуникационным каналам связи через оператора электронного документооборота. При этом Абонент обязуется обеспечить техническую возможность для приема и обработки им пакетов электронных документов.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3. 16. Акт сверки расчётов составляется заинтересованной Стороной, подписывается уполномоченным представителем такой Стороны. Сторо</w:t>
      </w:r>
      <w:r>
        <w:rPr>
          <w:rFonts w:ascii="Times New Roman" w:hAnsi="Times New Roman" w:eastAsia="Times New Roman" w:cs="Times New Roman"/>
          <w:lang w:eastAsia="ru-RU"/>
        </w:rPr>
        <w:t xml:space="preserve">на-инициатор сверки направляет в адрес Стороны-получателя акт сверки расчётов. В течение 10 (десяти) рабочих дней со дня получения акта сверки расчётов Сторона-получатель должна подписать и направить один экземпляр акта сверки расчётов в адрес Стороны-иниц</w:t>
      </w:r>
      <w:r>
        <w:rPr>
          <w:rFonts w:ascii="Times New Roman" w:hAnsi="Times New Roman" w:eastAsia="Times New Roman" w:cs="Times New Roman"/>
          <w:lang w:eastAsia="ru-RU"/>
        </w:rPr>
        <w:t xml:space="preserve">иатора, или направить Стороне-инициатору свои письменные мотивированные возражения по поводу достоверности содержащейся в акте сверки расчётов информации. Если в течение 10 (десяти) рабочих дней со дня получения акта сверки расчётов Сторона-получатель не н</w:t>
      </w:r>
      <w:r>
        <w:rPr>
          <w:rFonts w:ascii="Times New Roman" w:hAnsi="Times New Roman" w:eastAsia="Times New Roman" w:cs="Times New Roman"/>
          <w:lang w:eastAsia="ru-RU"/>
        </w:rPr>
        <w:t xml:space="preserve">аправит в адрес Стороны-инициатора подписанный акт сверки расчётов или письменные мотивированные возражения по поводу достоверности содержащейся в нем информации, акт сверки расчётов считается признанным Стороной-получателем в редакции Стороны-инициатора.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Стороны признают равную юридическую силу собственноручной подписи и факсимильной подписи, воспроизведенных с помощью средств механического или иного копирования на актах сверки расчётов к настоящему Контракту.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center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4. Ответственность Сторон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center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4.1. За просрочку Оператором обязательств, предусмотренных контрактом,  указанных в п. 4.1.1. Контракта, устанавлива</w:t>
      </w:r>
      <w:r>
        <w:rPr>
          <w:rFonts w:ascii="Times New Roman" w:hAnsi="Times New Roman" w:eastAsia="Times New Roman" w:cs="Times New Roman"/>
          <w:lang w:eastAsia="ru-RU"/>
        </w:rPr>
        <w:t xml:space="preserve">ется пени в размере 1/300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Оператором.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4.1.1. Не своевременном исполнением Оператором обязательств по Контракту являются: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  нарушение сроков обеспечения доступа к сети местной связи;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 нарушение установленных в Контракте сроков оказания услуг.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4.2. За просрочку Абонентом обязательств, указанных в п. 4.2.1. Контракта, устанавливается пени в размере 1/300 действующей на дату уплаты пени ключевой ставки Центрального банка Российской Федерации от не уплаченной в срок суммы.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4.2.1. Не своевременном исполнением Абонентом обязательств по Контракту являются: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а) неоплата, неполная или несвоевременная оплата услуг.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4.3. Сторона Контракта освобождается от уплаты неустойки (штрафа, пени)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center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5. Порядок разрешения споров</w:t>
      </w: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pStyle w:val="937"/>
        <w:ind w:firstLine="426"/>
        <w:jc w:val="center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5.1. Все </w:t>
      </w:r>
      <w:r>
        <w:rPr>
          <w:rFonts w:ascii="Times New Roman" w:hAnsi="Times New Roman" w:eastAsia="Times New Roman" w:cs="Times New Roman"/>
          <w:lang w:eastAsia="ru-RU"/>
        </w:rPr>
        <w:t xml:space="preserve">споры и разногласия, которые могут возникнуть из настоящего Контракта или в связи с ним, Стороны рассматривают предварительно в претензионном порядке. Срок рассмотрения ответа на письменную претензию – 30 (тридцать) календарных дней с момента ее получения.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i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если споры и разногласия не урегулированы в претензионном порядке в сроки, определенные в настоящем пункте, каждая из Сторон вправе обратиться в Арбитражный суд по месту нахождения ответчика с иском о разрешении спора.</w:t>
      </w:r>
      <w:r>
        <w:rPr>
          <w:rFonts w:ascii="Times New Roman" w:hAnsi="Times New Roman" w:eastAsia="Times New Roman" w:cs="Times New Roman"/>
          <w:i/>
          <w:lang w:eastAsia="ru-RU"/>
        </w:rPr>
      </w:r>
      <w:r>
        <w:rPr>
          <w:rFonts w:ascii="Times New Roman" w:hAnsi="Times New Roman" w:eastAsia="Times New Roman" w:cs="Times New Roman"/>
          <w:i/>
          <w:lang w:eastAsia="ru-RU"/>
        </w:rPr>
      </w:r>
    </w:p>
    <w:p>
      <w:pPr>
        <w:pStyle w:val="937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jc w:val="center"/>
        <w:spacing w:before="0" w:after="0" w:line="240" w:lineRule="auto"/>
        <w:rPr>
          <w:rFonts w:ascii="Times New Roman" w:hAnsi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6. </w:t>
      </w:r>
      <w:r>
        <w:rPr>
          <w:rFonts w:ascii="Times New Roman" w:hAnsi="Times New Roman" w:cs="Times New Roman"/>
          <w:b/>
          <w:bCs/>
          <w:lang w:eastAsia="ru-RU"/>
        </w:rPr>
        <w:t xml:space="preserve">Адреса и способы доставки расчетно-платежных документов (РПД) и уведомлений </w:t>
      </w:r>
      <w:r>
        <w:rPr>
          <w:rFonts w:ascii="Times New Roman" w:hAnsi="Times New Roman" w:cs="Times New Roman"/>
          <w:b/>
          <w:bCs/>
          <w:lang w:eastAsia="ru-RU"/>
        </w:rPr>
      </w:r>
      <w:r>
        <w:rPr>
          <w:rFonts w:ascii="Times New Roman" w:hAnsi="Times New Roman" w:cs="Times New Roman"/>
          <w:b/>
          <w:bCs/>
          <w:lang w:eastAsia="ru-RU"/>
        </w:rPr>
      </w:r>
    </w:p>
    <w:p>
      <w:pPr>
        <w:pStyle w:val="937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567"/>
        <w:jc w:val="both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  <w:t xml:space="preserve">Абонент соглашается получать от Оператора РПД (счет, счет-фактура, Акт выполненных работ (оказанных услуг) и письменные уведомления, подписанные Электронной подписью по</w:t>
      </w:r>
      <w:r>
        <w:rPr>
          <w:rFonts w:ascii="Times New Roman" w:hAnsi="Times New Roman" w:eastAsia="Times New Roman" w:cs="Times New Roman"/>
          <w:iCs/>
          <w:lang w:eastAsia="ru-RU"/>
        </w:rPr>
        <w:t xml:space="preserve"> телекоммуникационным каналам связи через оператора электронного документооборота. При этом, электронный документ, подписанный электронной подписью, признается документом, равнозначным документу на бумажном носителе, подписанному собственноручной подписью.</w:t>
      </w: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</w:p>
    <w:p>
      <w:pPr>
        <w:pStyle w:val="937"/>
        <w:ind w:firstLine="284"/>
        <w:jc w:val="both"/>
        <w:spacing w:before="0" w:after="0" w:line="240" w:lineRule="auto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  <w:t xml:space="preserve">6.1. Способ доставки РПД </w:t>
      </w: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</w:p>
    <w:tbl>
      <w:tblPr>
        <w:tblW w:w="1070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52"/>
        <w:gridCol w:w="5351"/>
      </w:tblGrid>
      <w:tr>
        <w:tblPrEx/>
        <w:trPr/>
        <w:tc>
          <w:tcPr>
            <w:tcW w:w="5352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Способ доставки</w:t>
            </w:r>
            <w:r>
              <w:rPr>
                <w:rFonts w:ascii="Times New Roman" w:hAnsi="Times New Roman" w:eastAsia="Times New Roman" w:cs="Times New Roman"/>
                <w:iCs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val="en-US" w:eastAsia="ru-RU"/>
              </w:rPr>
            </w:r>
          </w:p>
        </w:tc>
        <w:tc>
          <w:tcPr>
            <w:tcW w:w="5351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Адрес доставки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</w:tr>
      <w:tr>
        <w:tblPrEx/>
        <w:trPr/>
        <w:tc>
          <w:tcPr>
            <w:tcW w:w="5352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Получение Абонентом документов, электронных документов/ пакетов электронных документов, подписанных усиленной квалификационной электронной подписью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  <w:tc>
          <w:tcPr>
            <w:tcW w:w="5351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П. 3.12.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</w:tr>
      <w:tr>
        <w:tblPrEx/>
        <w:trPr/>
        <w:tc>
          <w:tcPr>
            <w:tcW w:w="5352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Получение Абонентом / уполномоченным лицом Абонента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  <w:tc>
          <w:tcPr>
            <w:tcW w:w="5351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Сервисная служба Оператора, расположенная по адресу: __________________________________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</w:tr>
      <w:tr>
        <w:tblPrEx/>
        <w:trPr/>
        <w:tc>
          <w:tcPr>
            <w:tcW w:w="5352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Получение Абонентом / уполномоченным лицом Абонента документов по электронной почте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  <w:tc>
          <w:tcPr>
            <w:tcW w:w="5351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Электронная почта Абонента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vmtufo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ru-RU" w:eastAsia="en-US" w:bidi="ar-SA"/>
              </w:rPr>
              <w:t xml:space="preserve">@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vol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ru-RU" w:eastAsia="en-US" w:bidi="ar-SA"/>
              </w:rPr>
              <w:t xml:space="preserve">-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nrs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ru-RU" w:eastAsia="en-US" w:bidi="ar-SA"/>
              </w:rPr>
              <w:t xml:space="preserve">.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gosnadzor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ru-RU" w:eastAsia="en-US" w:bidi="ar-SA"/>
              </w:rPr>
              <w:t xml:space="preserve">.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gov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ru-RU" w:eastAsia="en-US" w:bidi="ar-SA"/>
              </w:rPr>
              <w:t xml:space="preserve">.</w:t>
            </w:r>
            <w:r>
              <w:rPr>
                <w:rFonts w:ascii="Times New Roman" w:hAnsi="Times New Roman" w:eastAsia="Calibri" w:cs="Times New Roman"/>
                <w:color w:val="333333"/>
                <w:sz w:val="22"/>
                <w:szCs w:val="22"/>
                <w:shd w:val="clear" w:color="auto" w:fill="ffffff"/>
                <w:lang w:val="en-US" w:eastAsia="en-US" w:bidi="ar-SA"/>
              </w:rPr>
              <w:t xml:space="preserve">ru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</w:tr>
    </w:tbl>
    <w:p>
      <w:pPr>
        <w:pStyle w:val="937"/>
        <w:ind w:firstLine="567"/>
        <w:jc w:val="both"/>
        <w:spacing w:before="0" w:after="0" w:line="240" w:lineRule="auto"/>
        <w:rPr>
          <w:rFonts w:ascii="Times New Roman" w:hAnsi="Times New Roman" w:eastAsia="Times New Roman" w:cs="Times New Roman"/>
          <w:iCs/>
          <w:lang w:eastAsia="ru-RU"/>
        </w:rPr>
      </w:pP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  <w:r>
        <w:rPr>
          <w:rFonts w:ascii="Times New Roman" w:hAnsi="Times New Roman" w:eastAsia="Times New Roman" w:cs="Times New Roman"/>
          <w:iCs/>
          <w:lang w:eastAsia="ru-RU"/>
        </w:rPr>
      </w:r>
    </w:p>
    <w:p>
      <w:pPr>
        <w:pStyle w:val="937"/>
        <w:ind w:firstLine="567"/>
        <w:jc w:val="center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567"/>
        <w:jc w:val="center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567"/>
        <w:jc w:val="center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7. Сроки действия Контракта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567"/>
        <w:jc w:val="center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7.1.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</w:t>
      </w:r>
      <w:r>
        <w:rPr>
          <w:rFonts w:ascii="Times New Roman" w:hAnsi="Times New Roman" w:cs="Times New Roman"/>
        </w:rPr>
        <w:t xml:space="preserve">Настоящий Контракт вступает в силу с момента подписания и действует по 30.11.2028 г., а в части оплаты Услуг до выполнения Абонентом обязательств. Условия настоящего Контракта распространяются на отношения Сторон, возникшие с 01.12.2026г.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center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 Прочие условия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937"/>
        <w:jc w:val="center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8.1.  Подписанием Контракта Абонент подтверждает своё согласие со всеми его условиями, с действующими Тарифными планами, с которыми Абонент ознакомлен и согласен с их применением, дает согласие/гарантирует получение согласи</w:t>
      </w:r>
      <w:r>
        <w:rPr>
          <w:rFonts w:ascii="Times New Roman" w:hAnsi="Times New Roman" w:eastAsia="Times New Roman" w:cs="Times New Roman"/>
          <w:lang w:eastAsia="ru-RU"/>
        </w:rPr>
        <w:t xml:space="preserve">я собственника на размещение оборудования связи Оператора в местах общего пользования, а также то, что до него в понятной, доступной форме и в полном объеме доведены сведения об основных потребительских свойствах предоставляемых Оператором услуг, цены/тари</w:t>
      </w:r>
      <w:r>
        <w:rPr>
          <w:rFonts w:ascii="Times New Roman" w:hAnsi="Times New Roman" w:eastAsia="Times New Roman" w:cs="Times New Roman"/>
          <w:lang w:eastAsia="ru-RU"/>
        </w:rPr>
        <w:t xml:space="preserve">фы на услуги, тарификация соединений, порядок и сроки расчетов, правила и условия оказания и использования услуг, правила использования сервиса «Личный кабинет юридических лиц», информация об Операторе, территория обслуживания и иная необходимая информация</w:t>
      </w:r>
      <w:r>
        <w:rPr>
          <w:rFonts w:ascii="Times New Roman" w:hAnsi="Times New Roman" w:eastAsia="Times New Roman" w:cs="Times New Roman"/>
          <w:lang w:eastAsia="ru-RU"/>
        </w:rPr>
        <w:t xml:space="preserve">, в т.ч. предусмотренная п.17 и п. 57 Правил оказания услуг телефонной связи (утв. Постановлением Правительства РФ № 1994 от 30.12.2024г.),  п. 16 Правил оказания услуг связи по передаче данных (утв. Постановлением Правительства РФ № 2606 от 31.12.2021г.)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8.2. </w:t>
      </w:r>
      <w:r>
        <w:rPr>
          <w:rFonts w:ascii="Times New Roman" w:hAnsi="Times New Roman" w:eastAsia="Times New Roman" w:cs="Times New Roman"/>
          <w:lang w:eastAsia="ru-RU"/>
        </w:rPr>
        <w:t xml:space="preserve">  Все изменения и дополнения к настоящему Контракту действительны, если они оформлены в письменной форме и подписаны обеими Сторонами. Изменения и дополнения к настоящему Контракту вносятся путем подписания Дополнительных соглашений к настоящему Контракту.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Изменения цены Контракта возможно по соглашению сторон в случаях, предусмотренных ст. 95 Федерального закона гот 05.04.2013 №44-ФЗ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8.3.  В случае измен</w:t>
      </w:r>
      <w:r>
        <w:rPr>
          <w:rFonts w:ascii="Times New Roman" w:hAnsi="Times New Roman" w:eastAsia="Times New Roman" w:cs="Times New Roman"/>
          <w:lang w:eastAsia="ru-RU"/>
        </w:rPr>
        <w:t xml:space="preserve">ения лимитов бюджетных средств по п. 3.1. настоящего Контракта, Абонент, не позднее 14 (четырнадцати) календарных дней со дня доведения до Абонента суммы скорректированных лимитов, обязуется направить в адрес Оператора подписанное Дополнительное соглашение</w:t>
      </w:r>
      <w:r>
        <w:rPr>
          <w:rFonts w:ascii="Times New Roman" w:hAnsi="Times New Roman" w:eastAsia="Times New Roman" w:cs="Times New Roman"/>
          <w:lang w:eastAsia="ru-RU"/>
        </w:rPr>
        <w:t xml:space="preserve"> или соглашение о расторжении  (1 или 2 экземпляра, в зависимости от того, применяется или нет Сторонами ЭДО) об изменении цены к настоящему Контракту. При этом новая цена Контракта не должна противоречить фактически исполненной части настоящего Контракта.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8.4.  Внесение изменений в настоящий Контракт в части изменения перечня Услуг, перечня абонентских номеров или тарифных планов производится Оператором по письменной заявке Абонента, с обязательным оформлением впоследствии.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8.5.   </w:t>
      </w:r>
      <w:r>
        <w:rPr>
          <w:rFonts w:ascii="Times New Roman" w:hAnsi="Times New Roman" w:eastAsia="Times New Roman" w:cs="Times New Roman"/>
          <w:lang w:eastAsia="ru-RU"/>
        </w:rPr>
        <w:t xml:space="preserve">Досрочное расторжение Контракта допускается по соглашению сторон, по решению суда, а в случае одностороннего отказа Абонента от исполнения Контракта в соответствии с гражданским законодательством.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937"/>
        <w:ind w:firstLine="426"/>
        <w:jc w:val="both"/>
        <w:spacing w:before="0" w:after="0" w:line="240" w:lineRule="auto"/>
        <w:rPr>
          <w:rFonts w:ascii="Times New Roman" w:hAnsi="Times New Roman" w:eastAsia="Times New Roman" w:cs="Times New Roman"/>
          <w:iCs/>
          <w:color w:val="ff0000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8.6. Контракт составлен в двух идентичных экземплярах, имеющих одинаковую юридическую силу.</w:t>
      </w:r>
      <w:r>
        <w:rPr>
          <w:rFonts w:ascii="Times New Roman" w:hAnsi="Times New Roman" w:eastAsia="Times New Roman" w:cs="Times New Roman"/>
          <w:iCs/>
          <w:color w:val="ff0000"/>
          <w:lang w:eastAsia="ru-RU"/>
        </w:rPr>
      </w:r>
      <w:r>
        <w:rPr>
          <w:rFonts w:ascii="Times New Roman" w:hAnsi="Times New Roman" w:eastAsia="Times New Roman" w:cs="Times New Roman"/>
          <w:iCs/>
          <w:color w:val="ff0000"/>
          <w:lang w:eastAsia="ru-RU"/>
        </w:rPr>
      </w:r>
    </w:p>
    <w:p>
      <w:pPr>
        <w:pStyle w:val="937"/>
        <w:jc w:val="both"/>
        <w:spacing w:before="0" w:after="0" w:line="240" w:lineRule="auto"/>
        <w:tabs>
          <w:tab w:val="clear" w:pos="708" w:leader="none"/>
          <w:tab w:val="left" w:pos="4515" w:leader="none"/>
        </w:tabs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tbl>
      <w:tblPr>
        <w:tblW w:w="10490" w:type="dxa"/>
        <w:tblInd w:w="15" w:type="dxa"/>
        <w:tblLayout w:type="fixed"/>
        <w:tblCellMar>
          <w:left w:w="15" w:type="dxa"/>
          <w:top w:w="0" w:type="dxa"/>
          <w:right w:w="15" w:type="dxa"/>
          <w:bottom w:w="0" w:type="dxa"/>
        </w:tblCellMar>
        <w:tblLook w:val="00A0" w:firstRow="1" w:lastRow="0" w:firstColumn="1" w:lastColumn="0" w:noHBand="0" w:noVBand="0"/>
      </w:tblPr>
      <w:tblGrid>
        <w:gridCol w:w="16"/>
        <w:gridCol w:w="4220"/>
        <w:gridCol w:w="1028"/>
        <w:gridCol w:w="665"/>
        <w:gridCol w:w="2156"/>
        <w:gridCol w:w="2247"/>
        <w:gridCol w:w="157"/>
      </w:tblGrid>
      <w:tr>
        <w:tblPrEx/>
        <w:trPr>
          <w:trHeight w:val="20"/>
        </w:trPr>
        <w:tc>
          <w:tcPr>
            <w:gridSpan w:val="2"/>
            <w:shd w:val="clear" w:color="auto" w:fill="ffffff"/>
            <w:tcW w:w="4236" w:type="dxa"/>
            <w:vAlign w:val="center"/>
            <w:textDirection w:val="lrTb"/>
            <w:noWrap w:val="false"/>
          </w:tcPr>
          <w:p>
            <w:pPr>
              <w:pStyle w:val="937"/>
              <w:ind w:right="57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9. Телефон контактного центра: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shd w:val="clear" w:color="auto" w:fill="ffffff"/>
            <w:tcW w:w="1693" w:type="dxa"/>
            <w:vAlign w:val="center"/>
            <w:textDirection w:val="lrTb"/>
            <w:noWrap w:val="false"/>
          </w:tcPr>
          <w:p>
            <w:pPr>
              <w:pStyle w:val="937"/>
              <w:ind w:right="57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ffffff"/>
            <w:tcW w:w="2156" w:type="dxa"/>
            <w:vAlign w:val="center"/>
            <w:textDirection w:val="lrTb"/>
            <w:noWrap w:val="false"/>
          </w:tcPr>
          <w:p>
            <w:pPr>
              <w:pStyle w:val="937"/>
              <w:ind w:right="57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shd w:val="clear" w:color="auto" w:fill="ffffff"/>
            <w:tcW w:w="2404" w:type="dxa"/>
            <w:vAlign w:val="center"/>
            <w:textDirection w:val="lrTb"/>
            <w:noWrap w:val="false"/>
          </w:tcPr>
          <w:p>
            <w:pPr>
              <w:pStyle w:val="937"/>
              <w:ind w:right="57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69"/>
        </w:trPr>
        <w:tc>
          <w:tcPr>
            <w:gridSpan w:val="7"/>
            <w:shd w:val="clear" w:color="auto" w:fill="ffffff"/>
            <w:tcW w:w="10489" w:type="dxa"/>
            <w:textDirection w:val="lrTb"/>
            <w:noWrap w:val="false"/>
          </w:tcPr>
          <w:p>
            <w:pPr>
              <w:pStyle w:val="937"/>
              <w:ind w:right="57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pStyle w:val="937"/>
              <w:ind w:right="57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pStyle w:val="937"/>
              <w:ind w:right="57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10. Адреса и реквизиты Сторон: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6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  <w:lang w:eastAsia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8" w:type="dxa"/>
            <w:textDirection w:val="lrTb"/>
            <w:noWrap w:val="false"/>
          </w:tcPr>
          <w:p>
            <w:pPr>
              <w:pStyle w:val="937"/>
              <w:ind w:left="0" w:firstLine="0"/>
              <w:spacing w:before="0" w:after="0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10.1.Оператор: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8" w:type="dxa"/>
            <w:textDirection w:val="lrTb"/>
            <w:noWrap w:val="false"/>
          </w:tcPr>
          <w:p>
            <w:pPr>
              <w:pStyle w:val="937"/>
              <w:jc w:val="both"/>
              <w:spacing w:before="0"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10.2. Абонент: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pStyle w:val="937"/>
              <w:jc w:val="both"/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Волжское межрегиональное территориальное управление по надзору за ядерной и радиационной безопасностью Федеральной службы по экологическому, технологическому и атомному надзору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37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</w:rPr>
              <w:t xml:space="preserve">ИНН/КПП 6439010461/643901001</w:t>
            </w:r>
            <w:r/>
          </w:p>
          <w:p>
            <w:pPr>
              <w:pStyle w:val="937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</w:rPr>
              <w:t xml:space="preserve">адрес: 413864, г. Балаково, Саратовской обл. ул. 30 лет Победы , 57 А.</w:t>
            </w:r>
            <w:r/>
          </w:p>
          <w:p>
            <w:pPr>
              <w:pStyle w:val="937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</w:rPr>
              <w:t xml:space="preserve">Почтовый адрес: 413864, г. Балаково-24, а/я 19.</w:t>
            </w:r>
            <w:r/>
          </w:p>
          <w:p>
            <w:pPr>
              <w:pStyle w:val="937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</w:rPr>
              <w:t xml:space="preserve">ОГРН 1026401399782, ОКПО 36160601 ОКТМО 63607101001</w:t>
            </w:r>
            <w:r/>
          </w:p>
          <w:p>
            <w:pPr>
              <w:pStyle w:val="937"/>
              <w:spacing w:before="0" w:after="0" w:line="240" w:lineRule="auto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Получатель: УФК по Саратовской области (Волжское МТУ по надзору за ЯРБ Ростехнадзора л.сч. 03601078870)</w:t>
            </w:r>
            <w:r/>
          </w:p>
          <w:p>
            <w:pPr>
              <w:pStyle w:val="937"/>
              <w:spacing w:before="0" w:after="0" w:line="240" w:lineRule="auto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Номер казначейского счета: 03211643000000013247</w:t>
            </w:r>
            <w:r/>
          </w:p>
          <w:p>
            <w:pPr>
              <w:pStyle w:val="937"/>
              <w:spacing w:before="0" w:after="0" w:line="240" w:lineRule="auto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Банка: ОКЦ №1 ВВГУ Банка России//УФК по Нижегородской области, г. Нижний Новгород</w:t>
            </w:r>
            <w:r/>
          </w:p>
          <w:p>
            <w:pPr>
              <w:pStyle w:val="937"/>
              <w:spacing w:before="0" w:after="0" w:line="240" w:lineRule="auto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Единый казначейский счет: 40102810745370000024</w:t>
            </w:r>
            <w:r/>
          </w:p>
          <w:p>
            <w:pPr>
              <w:pStyle w:val="937"/>
              <w:spacing w:before="0" w:after="0" w:line="240" w:lineRule="auto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БИК: 012202102</w:t>
            </w:r>
            <w:r/>
          </w:p>
          <w:p>
            <w:pPr>
              <w:pStyle w:val="937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</w:rPr>
              <w:t xml:space="preserve">Эл. почта: vol-nrs@gosnadzor.ru</w:t>
            </w:r>
            <w:r/>
          </w:p>
          <w:p>
            <w:pPr>
              <w:pStyle w:val="937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</w:rPr>
              <w:t xml:space="preserve">Тел. (8453) 39-05-98, 66-93-00</w:t>
            </w:r>
            <w:r/>
          </w:p>
          <w:p>
            <w:pPr>
              <w:pStyle w:val="937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</w:r>
          </w:p>
        </w:tc>
        <w:tc>
          <w:tcPr>
            <w:tcW w:w="157" w:type="dxa"/>
            <w:textDirection w:val="lrTb"/>
            <w:noWrap w:val="false"/>
          </w:tcPr>
          <w:p>
            <w:pPr>
              <w:pStyle w:val="937"/>
              <w:jc w:val="left"/>
              <w:spacing w:before="0" w:beforeAutospacing="0" w:after="200" w:afterAutospacing="0" w:line="276" w:lineRule="auto"/>
              <w:widowControl/>
            </w:pPr>
            <w:r/>
            <w:r/>
          </w:p>
        </w:tc>
      </w:tr>
    </w:tbl>
    <w:p>
      <w:pPr>
        <w:pStyle w:val="937"/>
        <w:spacing w:before="0" w:after="0" w:line="240" w:lineRule="auto"/>
        <w:rPr>
          <w:rFonts w:ascii="Times New Roman" w:hAnsi="Times New Roman" w:eastAsia="Times New Roman" w:cs="Times New Roman"/>
          <w:lang w:val="en-US" w:eastAsia="ru-RU"/>
        </w:rPr>
      </w:pPr>
      <w:r>
        <w:rPr>
          <w:rFonts w:ascii="Times New Roman" w:hAnsi="Times New Roman" w:eastAsia="Times New Roman" w:cs="Times New Roman"/>
          <w:lang w:val="en-US" w:eastAsia="ru-RU"/>
        </w:rPr>
      </w:r>
      <w:r>
        <w:rPr>
          <w:rFonts w:ascii="Times New Roman" w:hAnsi="Times New Roman" w:eastAsia="Times New Roman" w:cs="Times New Roman"/>
          <w:lang w:val="en-US" w:eastAsia="ru-RU"/>
        </w:rPr>
      </w:r>
      <w:r>
        <w:rPr>
          <w:rFonts w:ascii="Times New Roman" w:hAnsi="Times New Roman" w:eastAsia="Times New Roman" w:cs="Times New Roman"/>
          <w:lang w:val="en-US" w:eastAsia="ru-RU"/>
        </w:rPr>
      </w:r>
    </w:p>
    <w:p>
      <w:pPr>
        <w:pStyle w:val="937"/>
        <w:spacing w:before="0" w:after="0" w:line="240" w:lineRule="auto"/>
        <w:rPr>
          <w:rFonts w:ascii="Times New Roman" w:hAnsi="Times New Roman" w:eastAsia="Times New Roman" w:cs="Times New Roman"/>
          <w:lang w:val="en-US" w:eastAsia="ru-RU"/>
        </w:rPr>
      </w:pPr>
      <w:r>
        <w:rPr>
          <w:rFonts w:ascii="Times New Roman" w:hAnsi="Times New Roman" w:eastAsia="Times New Roman" w:cs="Times New Roman"/>
          <w:lang w:val="en-US" w:eastAsia="ru-RU"/>
        </w:rPr>
      </w:r>
      <w:r>
        <w:rPr>
          <w:rFonts w:ascii="Times New Roman" w:hAnsi="Times New Roman" w:eastAsia="Times New Roman" w:cs="Times New Roman"/>
          <w:lang w:val="en-US" w:eastAsia="ru-RU"/>
        </w:rPr>
      </w:r>
      <w:r>
        <w:rPr>
          <w:rFonts w:ascii="Times New Roman" w:hAnsi="Times New Roman" w:eastAsia="Times New Roman" w:cs="Times New Roman"/>
          <w:lang w:val="en-US" w:eastAsia="ru-RU"/>
        </w:rPr>
      </w:r>
    </w:p>
    <w:tbl>
      <w:tblPr>
        <w:tblW w:w="1047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239"/>
        <w:gridCol w:w="5239"/>
      </w:tblGrid>
      <w:tr>
        <w:tblPrEx/>
        <w:trPr/>
        <w:tc>
          <w:tcPr>
            <w:tcW w:w="5239" w:type="dxa"/>
            <w:textDirection w:val="lrTb"/>
            <w:noWrap w:val="false"/>
          </w:tcPr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/>
            <w:bookmarkStart w:id="0" w:name="_GoBack"/>
            <w:r>
              <w:rPr>
                <w:rFonts w:ascii="Times New Roman" w:hAnsi="Times New Roman" w:eastAsia="Calibri" w:cs="Times New Roman"/>
                <w:sz w:val="22"/>
                <w:szCs w:val="22"/>
                <w:lang w:val="ru-RU" w:eastAsia="en-US" w:bidi="ar-SA"/>
              </w:rPr>
              <w:t xml:space="preserve">Оператор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239" w:type="dxa"/>
            <w:textDirection w:val="lrTb"/>
            <w:noWrap w:val="false"/>
          </w:tcPr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val="ru-RU" w:eastAsia="en-US" w:bidi="ar-SA"/>
              </w:rPr>
              <w:t xml:space="preserve">Абонент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5239" w:type="dxa"/>
            <w:textDirection w:val="lrTb"/>
            <w:noWrap w:val="false"/>
          </w:tcPr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239" w:type="dxa"/>
            <w:textDirection w:val="lrTb"/>
            <w:noWrap w:val="false"/>
          </w:tcPr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5239" w:type="dxa"/>
            <w:textDirection w:val="lrTb"/>
            <w:noWrap w:val="false"/>
          </w:tcPr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_________________________/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_________________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МП              (подпись)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     (</w:t>
            </w: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расшифровка подписи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239" w:type="dxa"/>
            <w:textDirection w:val="lrTb"/>
            <w:noWrap w:val="false"/>
          </w:tcPr>
          <w:p>
            <w:pPr>
              <w:pStyle w:val="93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___________________________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en-US" w:bidi="ar-SA"/>
              </w:rPr>
              <w:t xml:space="preserve">/И.А.Рязанцев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37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МП        (</w:t>
            </w: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подпись)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  <w:t xml:space="preserve">    (</w:t>
            </w:r>
            <w:r>
              <w:rPr>
                <w:rFonts w:ascii="Times New Roman" w:hAnsi="Times New Roman" w:eastAsia="Times New Roman" w:cs="Times New Roman"/>
                <w:iCs/>
                <w:sz w:val="22"/>
                <w:szCs w:val="22"/>
                <w:lang w:val="ru-RU" w:eastAsia="ru-RU" w:bidi="ar-SA"/>
              </w:rPr>
              <w:t xml:space="preserve">расшифровка подписи)</w:t>
            </w:r>
            <w:bookmarkEnd w:id="0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lef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jc w:val="right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 w:bidi="en-US"/>
        </w:rPr>
        <w:t xml:space="preserve">Приложение  к контракту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  <w:lang w:val="ru-RU" w:bidi="en-US"/>
        </w:rPr>
        <w:t xml:space="preserve">№ 1920 от «___»____________2026г.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2"/>
          <w:szCs w:val="22"/>
          <w:lang w:val="ru-RU" w:bidi="en-US"/>
        </w:rPr>
      </w:pPr>
      <w:r>
        <w:rPr>
          <w:rFonts w:ascii="Times New Roman" w:hAnsi="Times New Roman" w:eastAsia="Times New Roman" w:cs="Times New Roman"/>
          <w:sz w:val="22"/>
          <w:szCs w:val="22"/>
          <w:lang w:val="ru-RU" w:bidi="en-US"/>
        </w:rPr>
        <w:t xml:space="preserve">Об оказании услуг связи юридическому лицу, финансируемому из  средств соответствующего бюджета</w:t>
      </w:r>
      <w:r>
        <w:rPr>
          <w:rFonts w:ascii="Times New Roman" w:hAnsi="Times New Roman" w:eastAsia="Times New Roman" w:cs="Times New Roman"/>
          <w:sz w:val="22"/>
          <w:szCs w:val="22"/>
          <w:lang w:val="ru-RU" w:bidi="en-US"/>
        </w:rPr>
      </w:r>
      <w:r>
        <w:rPr>
          <w:rFonts w:ascii="Times New Roman" w:hAnsi="Times New Roman" w:eastAsia="Times New Roman" w:cs="Times New Roman"/>
          <w:sz w:val="22"/>
          <w:szCs w:val="22"/>
          <w:lang w:val="ru-RU" w:bidi="en-US"/>
        </w:rPr>
      </w:r>
    </w:p>
    <w:p>
      <w:pPr>
        <w:ind w:left="0" w:right="0" w:firstLine="0"/>
        <w:jc w:val="both"/>
        <w:spacing w:before="0" w:after="0" w:line="240" w:lineRule="auto"/>
        <w:rPr>
          <w:rFonts w:ascii="Times New Roman" w:hAnsi="Times New Roman" w:eastAsia="Times New Roman" w:cs="Times New Roman"/>
          <w:sz w:val="22"/>
          <w:szCs w:val="22"/>
          <w:lang w:val="ru-RU" w:bidi="en-US"/>
        </w:rPr>
      </w:pPr>
      <w:r>
        <w:rPr>
          <w:rFonts w:ascii="Times New Roman" w:hAnsi="Times New Roman" w:eastAsia="Times New Roman" w:cs="Times New Roman"/>
          <w:sz w:val="22"/>
          <w:szCs w:val="22"/>
          <w:lang w:val="ru-RU" w:bidi="en-US"/>
        </w:rPr>
      </w:r>
      <w:r>
        <w:rPr>
          <w:rFonts w:ascii="Times New Roman" w:hAnsi="Times New Roman" w:eastAsia="Times New Roman" w:cs="Times New Roman"/>
          <w:sz w:val="22"/>
          <w:szCs w:val="22"/>
          <w:lang w:val="ru-RU" w:bidi="en-US"/>
        </w:rPr>
      </w:r>
      <w:r>
        <w:rPr>
          <w:rFonts w:ascii="Times New Roman" w:hAnsi="Times New Roman" w:eastAsia="Times New Roman" w:cs="Times New Roman"/>
          <w:sz w:val="22"/>
          <w:szCs w:val="22"/>
          <w:lang w:val="ru-RU" w:bidi="en-US"/>
        </w:rPr>
      </w:r>
    </w:p>
    <w:tbl>
      <w:tblPr>
        <w:tblStyle w:val="1030"/>
        <w:tblW w:w="0" w:type="auto"/>
        <w:tblInd w:w="2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646"/>
        <w:gridCol w:w="1147"/>
        <w:gridCol w:w="1575"/>
        <w:gridCol w:w="1685"/>
        <w:gridCol w:w="1643"/>
        <w:gridCol w:w="2208"/>
      </w:tblGrid>
      <w:tr>
        <w:tblPrEx/>
        <w:trPr>
          <w:trHeight w:val="12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6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Абонентский номер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7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Местная связь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Внутризоновая связь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5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Междугородная связь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3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Адрес установки абонентского (оконечного) оборудования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Вид (тип) оборудования (телефонный аппарат, факсимильный аппарат, автоответчик, иное)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rHeight w:val="12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6" w:type="dxa"/>
            <w:vAlign w:val="top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8(341-41)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5-23-53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7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bidi="en-US"/>
              </w:rPr>
              <w:t xml:space="preserve">      v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            v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5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            v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3" w:type="dxa"/>
            <w:vAlign w:val="top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Глазов, ул.Белова, 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vAlign w:val="top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Отдельный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rHeight w:val="11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8 (341-2)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 37-97-99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r>
            <w:r>
              <w:rPr>
                <w:color w:val="auto"/>
                <w:sz w:val="22"/>
                <w:szCs w:val="22"/>
              </w:rPr>
            </w:r>
          </w:p>
          <w:p>
            <w:pPr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7" w:type="dxa"/>
            <w:vAlign w:val="top"/>
            <w:vMerge w:val="restart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bidi="en-US"/>
              </w:rPr>
              <w:t xml:space="preserve">      v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top"/>
            <w:vMerge w:val="restart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            v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5" w:type="dxa"/>
            <w:vAlign w:val="top"/>
            <w:vMerge w:val="restart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  <w:t xml:space="preserve">            v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Ижевск,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Ухтомского, д.24, к.414</w:t>
            </w: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Отдельный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937"/>
        <w:ind w:firstLine="0"/>
        <w:jc w:val="center"/>
        <w:spacing w:before="0" w:after="0" w:line="240" w:lineRule="auto"/>
        <w:rPr>
          <w:rFonts w:ascii="Times New Roman" w:hAnsi="Times New Roman" w:eastAsia="Lucida Sans Unicode" w:cs="Times New Roman"/>
          <w:b/>
          <w:sz w:val="24"/>
          <w:szCs w:val="24"/>
          <w:lang w:eastAsia="en-US" w:bidi="en-US"/>
        </w:rPr>
      </w:pPr>
      <w:r>
        <w:rPr>
          <w:rFonts w:ascii="Times New Roman" w:hAnsi="Times New Roman" w:eastAsia="Times New Roman CYR" w:cs="Times New Roman"/>
          <w:b/>
          <w:sz w:val="24"/>
          <w:szCs w:val="24"/>
        </w:rPr>
      </w:r>
      <w:r>
        <w:rPr>
          <w:rFonts w:ascii="Times New Roman" w:hAnsi="Times New Roman" w:eastAsia="Lucida Sans Unicode" w:cs="Times New Roman"/>
          <w:b/>
          <w:sz w:val="24"/>
          <w:szCs w:val="24"/>
          <w:lang w:eastAsia="en-US" w:bidi="en-US"/>
        </w:rPr>
      </w:r>
      <w:r>
        <w:rPr>
          <w:rFonts w:ascii="Times New Roman" w:hAnsi="Times New Roman" w:eastAsia="Lucida Sans Unicode" w:cs="Times New Roman"/>
          <w:b/>
          <w:sz w:val="24"/>
          <w:szCs w:val="24"/>
          <w:lang w:eastAsia="en-US" w:bidi="en-US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Максимальное значение цены </w:t>
      </w:r>
      <w:r>
        <w:rPr>
          <w:rFonts w:ascii="Times New Roman" w:hAnsi="Times New Roman" w:eastAsia="Times New Roman CYR" w:cs="Times New Roman"/>
          <w:b/>
          <w:bCs/>
          <w:sz w:val="24"/>
          <w:szCs w:val="24"/>
          <w:lang w:eastAsia="ru-RU"/>
        </w:rPr>
        <w:t xml:space="preserve"> контракта</w:t>
      </w:r>
      <w:r>
        <w:rPr>
          <w:rFonts w:ascii="Times New Roman" w:hAnsi="Times New Roman" w:eastAsia="Times New Roman CYR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eastAsia="Times New Roman CYR" w:cs="Times New Roman"/>
          <w:sz w:val="24"/>
          <w:szCs w:val="24"/>
          <w:lang w:eastAsia="ru-RU"/>
        </w:rPr>
        <w:t xml:space="preserve">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рублей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Источник финансирования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Федеральный бюджет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cs="Times New Roman"/>
          <w:b w:val="0"/>
          <w:bCs w:val="0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Адрес предоставления услуги</w:t>
      </w:r>
      <w:r>
        <w:rPr>
          <w:rFonts w:ascii="Times New Roman" w:hAnsi="Times New Roman" w:eastAsia="Times New Roman" w:cs="Times New Roman"/>
          <w:b/>
          <w:iCs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г. Глазов, ул. Белова, 7</w:t>
      </w: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;</w:t>
      </w:r>
      <w:r>
        <w:t xml:space="preserve"> г.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2"/>
          <w:szCs w:val="22"/>
        </w:rPr>
        <w:t xml:space="preserve">Ижевск,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2"/>
          <w:szCs w:val="22"/>
        </w:rPr>
        <w:t xml:space="preserve">ул.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2"/>
          <w:szCs w:val="22"/>
        </w:rPr>
        <w:t xml:space="preserve">Ухтомского, д.24, к.414</w:t>
      </w:r>
      <w:r>
        <w:rPr>
          <w:rFonts w:ascii="Times New Roman" w:hAnsi="Times New Roman" w:cs="Times New Roman"/>
          <w:b w:val="0"/>
          <w:bCs w:val="0"/>
          <w:iCs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Cs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Срок оказания услуг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 01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декабря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2026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г. по 30 ноября 2028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 CYR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 CYR" w:cs="Times New Roman"/>
          <w:b/>
          <w:sz w:val="24"/>
          <w:szCs w:val="24"/>
          <w:lang w:eastAsia="ru-RU"/>
        </w:rPr>
        <w:t xml:space="preserve">Объем оказываемых услуг: </w:t>
      </w:r>
      <w:r>
        <w:rPr>
          <w:rFonts w:ascii="Times New Roman" w:hAnsi="Times New Roman" w:eastAsia="Times New Roman CYR" w:cs="Times New Roman"/>
          <w:sz w:val="24"/>
          <w:szCs w:val="24"/>
          <w:lang w:eastAsia="ru-RU"/>
        </w:rPr>
        <w:t xml:space="preserve">закупка с неопределенным объемом</w:t>
      </w:r>
      <w:r>
        <w:rPr>
          <w:rFonts w:ascii="Times New Roman" w:hAnsi="Times New Roman" w:eastAsia="Times New Roman CYR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 CYR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 CYR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 CYR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 CYR" w:cs="Times New Roman"/>
          <w:sz w:val="24"/>
          <w:szCs w:val="24"/>
          <w:lang w:eastAsia="ru-RU"/>
        </w:rPr>
      </w:r>
    </w:p>
    <w:p>
      <w:pPr>
        <w:pStyle w:val="937"/>
        <w:ind w:firstLine="709"/>
        <w:jc w:val="both"/>
        <w:spacing w:before="0"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Условия оказания услуг:</w:t>
      </w:r>
      <w:r/>
    </w:p>
    <w:p>
      <w:pPr>
        <w:pStyle w:val="937"/>
        <w:ind w:firstLine="709"/>
        <w:jc w:val="both"/>
        <w:spacing w:before="0"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1.1. Ранее подключенная номерная емкость к услугам имеющаяся у Абонента должна быть сохранена.</w:t>
      </w:r>
      <w:r/>
    </w:p>
    <w:p>
      <w:pPr>
        <w:pStyle w:val="937"/>
        <w:ind w:firstLine="709"/>
        <w:jc w:val="both"/>
        <w:spacing w:before="0"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1.2. Время реакции Оператора на аварийную заявку Абонента не должно превышать 4 (четырех) часов в ра</w:t>
      </w:r>
      <w:r>
        <w:rPr>
          <w:rFonts w:ascii="Times New Roman" w:hAnsi="Times New Roman" w:cs="Times New Roman"/>
          <w:sz w:val="24"/>
          <w:szCs w:val="24"/>
        </w:rPr>
        <w:t xml:space="preserve">бочие дни с 08.00-17.00 часов по местному времени в соответствии с действующим законодательством Российской Федерации и 8 часов в остальное время, в том числе в выходные и праздничные дни в соответствии с действующим законодательством Российской Федерации.</w:t>
      </w:r>
      <w:r/>
    </w:p>
    <w:p>
      <w:pPr>
        <w:pStyle w:val="937"/>
        <w:ind w:firstLine="709"/>
        <w:jc w:val="both"/>
        <w:spacing w:before="0"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1.3. Исполнитель обязан иметь </w:t>
      </w:r>
      <w:r>
        <w:rPr>
          <w:rFonts w:ascii="Times New Roman" w:hAnsi="Times New Roman" w:eastAsia="Times New Roman CYR" w:cs="Times New Roman"/>
          <w:sz w:val="24"/>
          <w:szCs w:val="24"/>
        </w:rPr>
        <w:t xml:space="preserve">собственную действующую лицензию на оказание услуг </w:t>
      </w:r>
      <w:r>
        <w:rPr>
          <w:rFonts w:ascii="Times New Roman" w:hAnsi="Times New Roman" w:cs="Times New Roman"/>
          <w:sz w:val="24"/>
          <w:szCs w:val="24"/>
        </w:rPr>
        <w:t xml:space="preserve">междугородной телефонной связи.</w:t>
      </w:r>
      <w:r/>
    </w:p>
    <w:p>
      <w:pPr>
        <w:pStyle w:val="937"/>
        <w:ind w:firstLine="709"/>
        <w:jc w:val="both"/>
        <w:spacing w:before="0"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1.4. Сеть телефонной связи Исполнителя должна обеспечивать:</w:t>
      </w:r>
      <w:r/>
    </w:p>
    <w:p>
      <w:pPr>
        <w:pStyle w:val="1019"/>
        <w:contextualSpacing w:val="0"/>
        <w:ind w:left="0" w:firstLine="709"/>
        <w:jc w:val="both"/>
        <w:spacing w:before="0"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1.4.1 Предоставление услуг в соответствии с Правилами оказания услуг телефонной связи.</w:t>
      </w:r>
      <w:r/>
    </w:p>
    <w:p>
      <w:pPr>
        <w:pStyle w:val="1019"/>
        <w:contextualSpacing w:val="0"/>
        <w:ind w:left="0" w:firstLine="709"/>
        <w:jc w:val="both"/>
        <w:spacing w:before="0"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1.4.2 Качество связи в соответствии с международными стандартами и нормами.</w:t>
      </w:r>
      <w:r/>
    </w:p>
    <w:p>
      <w:pPr>
        <w:pStyle w:val="1019"/>
        <w:contextualSpacing w:val="0"/>
        <w:ind w:left="0" w:firstLine="709"/>
        <w:jc w:val="both"/>
        <w:spacing w:before="0"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1.4.3 Оборудование Исполнителя, с помощью которого оказываются услуги, должно быть совместимо с оборудованием, используемым Абонентом.</w:t>
      </w:r>
      <w:r>
        <w:rPr>
          <w:rFonts w:ascii="Times New Roman" w:hAnsi="Times New Roman" w:cs="Times New Roman"/>
          <w:sz w:val="20"/>
          <w:szCs w:val="24"/>
        </w:rPr>
      </w:r>
      <w:r/>
    </w:p>
    <w:tbl>
      <w:tblPr>
        <w:tblStyle w:val="1156"/>
        <w:tblW w:w="10782" w:type="dxa"/>
        <w:tblInd w:w="-16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2"/>
        <w:gridCol w:w="5670"/>
      </w:tblGrid>
      <w:tr>
        <w:tblPrEx/>
        <w:trPr>
          <w:trHeight w:val="20"/>
        </w:trPr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112" w:type="dxa"/>
            <w:vAlign w:val="center"/>
            <w:textDirection w:val="lrTb"/>
            <w:noWrap w:val="false"/>
          </w:tcPr>
          <w:p>
            <w:pPr>
              <w:ind w:left="15" w:right="0"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Оператор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</w:p>
        </w:tc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ind w:left="15" w:right="0"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Абонент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112" w:type="dxa"/>
            <w:vAlign w:val="center"/>
            <w:textDirection w:val="lrTb"/>
            <w:noWrap w:val="false"/>
          </w:tcPr>
          <w:p>
            <w:pPr>
              <w:ind w:left="15" w:right="0"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</w:p>
        </w:tc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ind w:left="15" w:right="0"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Волжское МТУ по надзору за ЯРБ Ростехнадзора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</w:p>
        </w:tc>
      </w:tr>
      <w:tr>
        <w:tblPrEx/>
        <w:trPr>
          <w:trHeight w:val="799"/>
        </w:trPr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112" w:type="dxa"/>
            <w:vAlign w:val="center"/>
            <w:textDirection w:val="lrTb"/>
            <w:noWrap w:val="false"/>
          </w:tcPr>
          <w:p>
            <w:pPr>
              <w:ind w:left="1836" w:right="0" w:hanging="1821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  <w:t xml:space="preserve">_____________ /                                                     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</w:p>
        </w:tc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ind w:left="1827" w:right="0" w:hanging="1812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  <w:t xml:space="preserve">_____________ /                                                    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r>
          </w:p>
        </w:tc>
      </w:tr>
      <w:tr>
        <w:tblPrEx/>
        <w:trPr>
          <w:trHeight w:val="257"/>
        </w:trPr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112" w:type="dxa"/>
            <w:vAlign w:val="center"/>
            <w:textDirection w:val="lrTb"/>
            <w:noWrap w:val="false"/>
          </w:tcPr>
          <w:p>
            <w:pPr>
              <w:ind w:left="1836" w:right="0" w:hanging="1821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  <w:t xml:space="preserve">действующий на основании доверенности №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</w:r>
          </w:p>
        </w:tc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ind w:left="1827" w:right="0" w:hanging="1812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  <w:t xml:space="preserve">действующий на основании положения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lang w:val="ru-RU" w:bidi="ru-RU"/>
              </w:rPr>
            </w:r>
          </w:p>
        </w:tc>
      </w:tr>
      <w:tr>
        <w:tblPrEx/>
        <w:trPr>
          <w:trHeight w:val="396"/>
        </w:trPr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112" w:type="dxa"/>
            <w:vAlign w:val="center"/>
            <w:textDirection w:val="lrTb"/>
            <w:noWrap w:val="false"/>
          </w:tcPr>
          <w:p>
            <w:pPr>
              <w:ind w:left="1836" w:right="0" w:hanging="1821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ru-RU" w:bidi="ru-RU"/>
              </w:rPr>
              <w:t xml:space="preserve">      МП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r>
          </w:p>
        </w:tc>
        <w:tc>
          <w:tcPr>
            <w:shd w:val="clear" w:color="ffffff" w:fill="ffffff"/>
            <w:tcBorders>
              <w:top w:val="single" w:color="C0C0C0" w:sz="12" w:space="0"/>
              <w:left w:val="single" w:color="C0C0C0" w:sz="12" w:space="0"/>
              <w:bottom w:val="single" w:color="C0C0C0" w:sz="12" w:space="0"/>
              <w:right w:val="single" w:color="C0C0C0" w:sz="12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ind w:left="1827" w:right="0" w:hanging="1812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en-US" w:bidi="ru-RU"/>
              </w:rPr>
              <w:t xml:space="preserve">      МП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ru-RU"/>
              </w:rPr>
            </w:r>
          </w:p>
        </w:tc>
      </w:tr>
    </w:tbl>
    <w:p>
      <w:pPr>
        <w:pStyle w:val="937"/>
        <w:ind w:left="0"/>
        <w:jc w:val="left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567" w:right="567" w:bottom="567" w:left="851" w:header="0" w:footer="17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Lucida Sans Unicode">
    <w:panose1 w:val="020B0604030504040204"/>
  </w:font>
  <w:font w:name="Wingdings">
    <w:panose1 w:val="05010000000000000000"/>
  </w:font>
  <w:font w:name="Symbol">
    <w:panose1 w:val="05010000000000000000"/>
  </w:font>
  <w:font w:name="Droid Sans Fallback">
    <w:panose1 w:val="020B0502000000000001"/>
  </w:font>
  <w:font w:name="Courier New">
    <w:panose1 w:val="02070309020205020404"/>
  </w:font>
  <w:font w:name="Lohit Devanagari">
    <w:panose1 w:val="020B0600000000000000"/>
  </w:font>
  <w:font w:name="Open Sans">
    <w:panose1 w:val="020B0606030504020204"/>
  </w:font>
  <w:font w:name="Consolas">
    <w:panose1 w:val="020B0609020204030204"/>
  </w:font>
  <w:font w:name="Cambria">
    <w:panose1 w:val="02040803050406030204"/>
  </w:font>
  <w:font w:name="Tahoma">
    <w:panose1 w:val="020B0604030504040204"/>
  </w:font>
  <w:font w:name="MS Mincho">
    <w:panose1 w:val="0207060902020509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1"/>
      <w:ind w:right="360"/>
      <w:jc w:val="right"/>
      <w:tabs>
        <w:tab w:val="center" w:pos="4677" w:leader="none"/>
        <w:tab w:val="left" w:pos="9355" w:leader="none"/>
      </w:tabs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1435" cy="116840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1480" cy="117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1"/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7</w: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18;o:allowoverlap:true;o:allowincell:false;mso-position-horizontal-relative:margin;mso-position-horizontal:right;mso-position-vertical-relative:text;margin-top:0.05pt;mso-position-vertical:absolute;width:4.05pt;height:9.2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1"/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 xml:space="preserve">7</w: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1"/>
      <w:ind w:right="36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1"/>
                            <w:rPr>
                              <w:rStyle w:val="970"/>
                            </w:rPr>
                          </w:pPr>
                          <w:r>
                            <w:rPr>
                              <w:rStyle w:val="97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</w:rPr>
                          </w:r>
                          <w:r>
                            <w:rPr>
                              <w:rStyle w:val="97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2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1"/>
                      <w:rPr>
                        <w:rStyle w:val="970"/>
                      </w:rPr>
                    </w:pPr>
                    <w:r>
                      <w:rPr>
                        <w:rStyle w:val="970"/>
                        <w:color w:val="000000"/>
                      </w:rPr>
                      <w:fldChar w:fldCharType="begin"/>
                    </w:r>
                    <w:r>
                      <w:rPr>
                        <w:rStyle w:val="97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70"/>
                        <w:color w:val="000000"/>
                      </w:rPr>
                      <w:fldChar w:fldCharType="separate"/>
                    </w:r>
                    <w:r>
                      <w:rPr>
                        <w:rStyle w:val="970"/>
                        <w:color w:val="000000"/>
                      </w:rPr>
                      <w:t xml:space="preserve">0</w:t>
                    </w:r>
                    <w:r>
                      <w:rPr>
                        <w:rStyle w:val="970"/>
                        <w:color w:val="000000"/>
                      </w:rPr>
                      <w:fldChar w:fldCharType="end"/>
                    </w:r>
                    <w:r>
                      <w:rPr>
                        <w:rStyle w:val="970"/>
                      </w:rPr>
                    </w:r>
                    <w:r>
                      <w:rPr>
                        <w:rStyle w:val="970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1"/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0</w: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-3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1"/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 xml:space="preserve">0</w: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1435" cy="116840"/>
              <wp:effectExtent l="0" t="0" r="0" b="0"/>
              <wp:wrapSquare wrapText="bothSides"/>
              <wp:docPr id="5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1480" cy="117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1"/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0</w: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1" type="#_x0000_t1" style="position:absolute;z-index:-20;o:allowoverlap:true;o:allowincell:false;mso-position-horizontal-relative:margin;mso-position-horizontal:right;mso-position-vertical-relative:text;margin-top:0.05pt;mso-position-vertical:absolute;width:4.05pt;height:9.2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1"/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 xml:space="preserve">0</w: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1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1435" cy="115570"/>
              <wp:effectExtent l="0" t="0" r="0" b="0"/>
              <wp:wrapSquare wrapText="bothSides"/>
              <wp:docPr id="6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1480" cy="115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1"/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0</w: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5" o:spid="_x0000_s5" o:spt="1" type="#_x0000_t1" style="position:absolute;z-index:-21;o:allowoverlap:true;o:allowincell:false;mso-position-horizontal-relative:margin;mso-position-horizontal:right;mso-position-vertical-relative:text;margin-top:0.05pt;mso-position-vertical:absolute;width:4.05pt;height:9.1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1"/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 xml:space="preserve">0</w: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1435" cy="116840"/>
              <wp:effectExtent l="0" t="0" r="0" b="0"/>
              <wp:wrapSquare wrapText="bothSides"/>
              <wp:docPr id="7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1480" cy="117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1"/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0</w: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6" o:spid="_x0000_s6" o:spt="1" type="#_x0000_t1" style="position:absolute;z-index:-22;o:allowoverlap:true;o:allowincell:false;mso-position-horizontal-relative:margin;mso-position-horizontal:right;mso-position-vertical-relative:text;margin-top:0.05pt;mso-position-vertical:absolute;width:4.05pt;height:9.2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1"/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 xml:space="preserve">0</w: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1"/>
      <w:ind w:right="360"/>
      <w:jc w:val="right"/>
      <w:tabs>
        <w:tab w:val="center" w:pos="4677" w:leader="none"/>
        <w:tab w:val="left" w:pos="9355" w:leader="none"/>
      </w:tabs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1435" cy="116840"/>
              <wp:effectExtent l="0" t="0" r="0" b="0"/>
              <wp:wrapSquare wrapText="bothSides"/>
              <wp:docPr id="8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1480" cy="117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1"/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7</w:t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  <w:r>
                            <w:rPr>
                              <w:rStyle w:val="97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7" o:spid="_x0000_s7" o:spt="1" type="#_x0000_t1" style="position:absolute;z-index:-18;o:allowoverlap:true;o:allowincell:false;mso-position-horizontal-relative:margin;mso-position-horizontal:right;mso-position-vertical-relative:text;margin-top:0.05pt;mso-position-vertical:absolute;width:4.05pt;height:9.2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1"/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 xml:space="preserve">7</w:t>
                    </w:r>
                    <w:r>
                      <w:rPr>
                        <w:rStyle w:val="970"/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  <w:r>
                      <w:rPr>
                        <w:rStyle w:val="970"/>
                        <w:rFonts w:ascii="Times New Roman" w:hAnsi="Times New Roman" w:cs="Times New Roman"/>
                        <w:sz w:val="16"/>
                        <w:szCs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2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12"/>
                            <w:rPr>
                              <w:rStyle w:val="970"/>
                            </w:rPr>
                          </w:pPr>
                          <w:r>
                            <w:rPr>
                              <w:rStyle w:val="97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970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70"/>
                            </w:rPr>
                          </w:r>
                          <w:r>
                            <w:rPr>
                              <w:rStyle w:val="970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4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12"/>
                      <w:rPr>
                        <w:rStyle w:val="970"/>
                      </w:rPr>
                    </w:pPr>
                    <w:r>
                      <w:rPr>
                        <w:rStyle w:val="970"/>
                        <w:color w:val="000000"/>
                      </w:rPr>
                      <w:fldChar w:fldCharType="begin"/>
                    </w:r>
                    <w:r>
                      <w:rPr>
                        <w:rStyle w:val="97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70"/>
                        <w:color w:val="000000"/>
                      </w:rPr>
                      <w:fldChar w:fldCharType="separate"/>
                    </w:r>
                    <w:r>
                      <w:rPr>
                        <w:rStyle w:val="970"/>
                        <w:color w:val="000000"/>
                      </w:rPr>
                      <w:t xml:space="preserve">0</w:t>
                    </w:r>
                    <w:r>
                      <w:rPr>
                        <w:rStyle w:val="970"/>
                        <w:color w:val="000000"/>
                      </w:rPr>
                      <w:fldChar w:fldCharType="end"/>
                    </w:r>
                    <w:r>
                      <w:rPr>
                        <w:rStyle w:val="970"/>
                      </w:rPr>
                    </w:r>
                    <w:r>
                      <w:rPr>
                        <w:rStyle w:val="970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pStyle w:val="1023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37" w:default="1">
    <w:name w:val="Normal"/>
    <w:qFormat/>
    <w:pPr>
      <w:jc w:val="left"/>
      <w:spacing w:before="0" w:beforeAutospacing="0" w:after="200" w:afterAutospacing="0" w:line="276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938">
    <w:name w:val="Heading 1"/>
    <w:basedOn w:val="937"/>
    <w:qFormat/>
    <w:pPr>
      <w:ind w:right="-34"/>
      <w:keepNext/>
      <w:spacing w:before="0" w:after="0" w:line="240" w:lineRule="auto"/>
      <w:outlineLvl w:val="0"/>
    </w:pPr>
    <w:rPr>
      <w:rFonts w:ascii="Times New Roman" w:hAnsi="Times New Roman" w:eastAsia="MS Mincho" w:cs="Times New Roman"/>
      <w:b/>
      <w:bCs/>
      <w:caps/>
      <w:sz w:val="24"/>
      <w:szCs w:val="24"/>
      <w:lang w:eastAsia="ru-RU"/>
    </w:rPr>
  </w:style>
  <w:style w:type="paragraph" w:styleId="939">
    <w:name w:val="Heading 2"/>
    <w:basedOn w:val="937"/>
    <w:qFormat/>
    <w:pPr>
      <w:keepNext/>
      <w:spacing w:before="240" w:after="60" w:line="240" w:lineRule="auto"/>
      <w:outlineLvl w:val="1"/>
    </w:pPr>
    <w:rPr>
      <w:rFonts w:ascii="Arial" w:hAnsi="Arial" w:eastAsia="MS Mincho" w:cs="Arial"/>
      <w:b/>
      <w:bCs/>
      <w:i/>
      <w:iCs/>
      <w:sz w:val="28"/>
      <w:szCs w:val="28"/>
      <w:lang w:eastAsia="ru-RU"/>
    </w:rPr>
  </w:style>
  <w:style w:type="paragraph" w:styleId="940">
    <w:name w:val="Heading 3"/>
    <w:basedOn w:val="93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941">
    <w:name w:val="Heading 4"/>
    <w:basedOn w:val="937"/>
    <w:uiPriority w:val="9"/>
    <w:semiHidden/>
    <w:unhideWhenUsed/>
    <w:qFormat/>
    <w:pPr>
      <w:keepLines/>
      <w:keepNext/>
      <w:spacing w:before="40" w:after="0"/>
      <w:outlineLvl w:val="3"/>
    </w:pPr>
    <w:rPr>
      <w:rFonts w:ascii="Cambria" w:hAnsi="Cambria" w:eastAsia="Arial" w:cs="Arial" w:asciiTheme="majorHAnsi" w:hAnsiTheme="majorHAnsi" w:eastAsiaTheme="majorEastAsia" w:cstheme="majorBidi"/>
      <w:i/>
      <w:iCs/>
      <w:color w:val="365f91" w:themeColor="accent1" w:themeShade="BF"/>
    </w:rPr>
  </w:style>
  <w:style w:type="paragraph" w:styleId="942">
    <w:name w:val="Heading 5"/>
    <w:basedOn w:val="9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43">
    <w:name w:val="Heading 6"/>
    <w:basedOn w:val="93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44">
    <w:name w:val="Heading 7"/>
    <w:basedOn w:val="937"/>
    <w:qFormat/>
    <w:pPr>
      <w:spacing w:before="240" w:after="60" w:line="240" w:lineRule="auto"/>
      <w:outlineLvl w:val="6"/>
    </w:pPr>
    <w:rPr>
      <w:rFonts w:ascii="Times New Roman" w:hAnsi="Times New Roman" w:eastAsia="MS Mincho" w:cs="Times New Roman"/>
      <w:sz w:val="24"/>
      <w:szCs w:val="24"/>
      <w:lang w:eastAsia="ru-RU"/>
    </w:rPr>
  </w:style>
  <w:style w:type="paragraph" w:styleId="945">
    <w:name w:val="Heading 8"/>
    <w:basedOn w:val="93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46">
    <w:name w:val="Heading 9"/>
    <w:basedOn w:val="93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47">
    <w:name w:val="Heading 1 Char"/>
    <w:basedOn w:val="967"/>
    <w:uiPriority w:val="9"/>
    <w:qFormat/>
    <w:rPr>
      <w:rFonts w:ascii="Arial" w:hAnsi="Arial" w:eastAsia="Arial" w:cs="Arial"/>
      <w:sz w:val="40"/>
      <w:szCs w:val="40"/>
    </w:rPr>
  </w:style>
  <w:style w:type="character" w:styleId="948">
    <w:name w:val="Heading 2 Char"/>
    <w:basedOn w:val="967"/>
    <w:uiPriority w:val="9"/>
    <w:qFormat/>
    <w:rPr>
      <w:rFonts w:ascii="Arial" w:hAnsi="Arial" w:eastAsia="Arial" w:cs="Arial"/>
      <w:sz w:val="34"/>
    </w:rPr>
  </w:style>
  <w:style w:type="character" w:styleId="949">
    <w:name w:val="Heading 3 Char"/>
    <w:basedOn w:val="967"/>
    <w:uiPriority w:val="9"/>
    <w:qFormat/>
    <w:rPr>
      <w:rFonts w:ascii="Arial" w:hAnsi="Arial" w:eastAsia="Arial" w:cs="Arial"/>
      <w:sz w:val="30"/>
      <w:szCs w:val="30"/>
    </w:rPr>
  </w:style>
  <w:style w:type="character" w:styleId="950">
    <w:name w:val="Heading 4 Char"/>
    <w:basedOn w:val="967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951">
    <w:name w:val="Heading 5 Char"/>
    <w:basedOn w:val="967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952">
    <w:name w:val="Heading 6 Char"/>
    <w:basedOn w:val="96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953">
    <w:name w:val="Heading 7 Char"/>
    <w:basedOn w:val="96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954">
    <w:name w:val="Heading 8 Char"/>
    <w:basedOn w:val="96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55">
    <w:name w:val="Heading 9 Char"/>
    <w:basedOn w:val="967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956">
    <w:name w:val="Title Char"/>
    <w:basedOn w:val="967"/>
    <w:uiPriority w:val="10"/>
    <w:qFormat/>
    <w:rPr>
      <w:sz w:val="48"/>
      <w:szCs w:val="48"/>
    </w:rPr>
  </w:style>
  <w:style w:type="character" w:styleId="957">
    <w:name w:val="Subtitle Char"/>
    <w:basedOn w:val="967"/>
    <w:uiPriority w:val="11"/>
    <w:qFormat/>
    <w:rPr>
      <w:sz w:val="24"/>
      <w:szCs w:val="24"/>
    </w:rPr>
  </w:style>
  <w:style w:type="character" w:styleId="958">
    <w:name w:val="Quote Char"/>
    <w:uiPriority w:val="29"/>
    <w:qFormat/>
    <w:rPr>
      <w:i/>
    </w:rPr>
  </w:style>
  <w:style w:type="character" w:styleId="959">
    <w:name w:val="Intense Quote Char"/>
    <w:uiPriority w:val="30"/>
    <w:qFormat/>
    <w:rPr>
      <w:i/>
    </w:rPr>
  </w:style>
  <w:style w:type="character" w:styleId="960">
    <w:name w:val="Header Char"/>
    <w:basedOn w:val="967"/>
    <w:uiPriority w:val="99"/>
    <w:qFormat/>
  </w:style>
  <w:style w:type="character" w:styleId="961">
    <w:name w:val="Footer Char"/>
    <w:basedOn w:val="967"/>
    <w:uiPriority w:val="99"/>
    <w:qFormat/>
  </w:style>
  <w:style w:type="character" w:styleId="962">
    <w:name w:val="Caption Char"/>
    <w:uiPriority w:val="99"/>
    <w:qFormat/>
  </w:style>
  <w:style w:type="character" w:styleId="963">
    <w:name w:val="Footnote Text Char"/>
    <w:uiPriority w:val="99"/>
    <w:qFormat/>
    <w:rPr>
      <w:sz w:val="18"/>
    </w:rPr>
  </w:style>
  <w:style w:type="character" w:styleId="964">
    <w:name w:val="Endnote Text Char"/>
    <w:uiPriority w:val="99"/>
    <w:qFormat/>
    <w:rPr>
      <w:sz w:val="20"/>
    </w:rPr>
  </w:style>
  <w:style w:type="character" w:styleId="96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966">
    <w:name w:val="endnote reference"/>
    <w:rPr>
      <w:vertAlign w:val="superscript"/>
    </w:rPr>
  </w:style>
  <w:style w:type="character" w:styleId="967" w:default="1">
    <w:name w:val="Default Paragraph Font"/>
    <w:uiPriority w:val="1"/>
    <w:semiHidden/>
    <w:unhideWhenUsed/>
    <w:qFormat/>
  </w:style>
  <w:style w:type="character" w:styleId="968" w:customStyle="1">
    <w:name w:val="Нижний колонтитул Знак"/>
    <w:basedOn w:val="967"/>
    <w:uiPriority w:val="99"/>
    <w:qFormat/>
  </w:style>
  <w:style w:type="character" w:styleId="969" w:customStyle="1">
    <w:name w:val="Верхний колонтитул Знак"/>
    <w:basedOn w:val="967"/>
    <w:qFormat/>
  </w:style>
  <w:style w:type="character" w:styleId="970">
    <w:name w:val="page number"/>
    <w:basedOn w:val="967"/>
    <w:qFormat/>
  </w:style>
  <w:style w:type="character" w:styleId="971" w:customStyle="1">
    <w:name w:val="Текст выноски Знак"/>
    <w:basedOn w:val="967"/>
    <w:uiPriority w:val="99"/>
    <w:semiHidden/>
    <w:qFormat/>
    <w:rPr>
      <w:rFonts w:ascii="Tahoma" w:hAnsi="Tahoma" w:cs="Tahoma"/>
      <w:sz w:val="16"/>
      <w:szCs w:val="16"/>
    </w:rPr>
  </w:style>
  <w:style w:type="character" w:styleId="972" w:customStyle="1">
    <w:name w:val="Основной текст с отступом Знак"/>
    <w:basedOn w:val="967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3">
    <w:name w:val="annotation reference"/>
    <w:basedOn w:val="967"/>
    <w:uiPriority w:val="99"/>
    <w:semiHidden/>
    <w:unhideWhenUsed/>
    <w:qFormat/>
    <w:rPr>
      <w:sz w:val="16"/>
      <w:szCs w:val="16"/>
    </w:rPr>
  </w:style>
  <w:style w:type="character" w:styleId="974" w:customStyle="1">
    <w:name w:val="Текст примечания Знак"/>
    <w:basedOn w:val="967"/>
    <w:uiPriority w:val="99"/>
    <w:semiHidden/>
    <w:qFormat/>
    <w:rPr>
      <w:sz w:val="20"/>
      <w:szCs w:val="20"/>
    </w:rPr>
  </w:style>
  <w:style w:type="character" w:styleId="975" w:customStyle="1">
    <w:name w:val="Тема примечания Знак"/>
    <w:basedOn w:val="974"/>
    <w:uiPriority w:val="99"/>
    <w:semiHidden/>
    <w:qFormat/>
    <w:rPr>
      <w:b/>
      <w:bCs/>
      <w:sz w:val="20"/>
      <w:szCs w:val="20"/>
    </w:rPr>
  </w:style>
  <w:style w:type="character" w:styleId="976">
    <w:name w:val="Hyperlink"/>
    <w:basedOn w:val="967"/>
    <w:uiPriority w:val="99"/>
    <w:unhideWhenUsed/>
    <w:rPr>
      <w:color w:val="0000ff" w:themeColor="hyperlink"/>
      <w:u w:val="single"/>
    </w:rPr>
  </w:style>
  <w:style w:type="character" w:styleId="977" w:customStyle="1">
    <w:name w:val="Заголовок 1 Знак"/>
    <w:basedOn w:val="967"/>
    <w:qFormat/>
    <w:rPr>
      <w:rFonts w:ascii="Times New Roman" w:hAnsi="Times New Roman" w:eastAsia="MS Mincho" w:cs="Times New Roman"/>
      <w:b/>
      <w:bCs/>
      <w:caps/>
      <w:sz w:val="24"/>
      <w:szCs w:val="24"/>
      <w:lang w:eastAsia="ru-RU"/>
    </w:rPr>
  </w:style>
  <w:style w:type="character" w:styleId="978" w:customStyle="1">
    <w:name w:val="Заголовок 2 Знак"/>
    <w:basedOn w:val="967"/>
    <w:qFormat/>
    <w:rPr>
      <w:rFonts w:ascii="Arial" w:hAnsi="Arial" w:eastAsia="MS Mincho" w:cs="Arial"/>
      <w:b/>
      <w:bCs/>
      <w:i/>
      <w:iCs/>
      <w:sz w:val="28"/>
      <w:szCs w:val="28"/>
      <w:lang w:eastAsia="ru-RU"/>
    </w:rPr>
  </w:style>
  <w:style w:type="character" w:styleId="979" w:customStyle="1">
    <w:name w:val="Заголовок 7 Знак"/>
    <w:basedOn w:val="967"/>
    <w:qFormat/>
    <w:rPr>
      <w:rFonts w:ascii="Times New Roman" w:hAnsi="Times New Roman" w:eastAsia="MS Mincho" w:cs="Times New Roman"/>
      <w:sz w:val="24"/>
      <w:szCs w:val="24"/>
      <w:lang w:eastAsia="ru-RU"/>
    </w:rPr>
  </w:style>
  <w:style w:type="character" w:styleId="980" w:customStyle="1">
    <w:name w:val="!Основной Знак"/>
    <w:qFormat/>
    <w:rPr>
      <w:rFonts w:ascii="Times New Roman" w:hAnsi="Times New Roman" w:eastAsia="MS Mincho" w:cs="Times New Roman"/>
      <w:sz w:val="24"/>
      <w:szCs w:val="24"/>
      <w:lang w:eastAsia="ru-RU"/>
    </w:rPr>
  </w:style>
  <w:style w:type="character" w:styleId="981" w:customStyle="1">
    <w:name w:val="Текст сноски Знак"/>
    <w:basedOn w:val="967"/>
    <w:semiHidden/>
    <w:qFormat/>
    <w:rPr>
      <w:rFonts w:ascii="Times New Roman" w:hAnsi="Times New Roman" w:eastAsia="MS Mincho" w:cs="Times New Roman"/>
      <w:sz w:val="20"/>
      <w:szCs w:val="20"/>
      <w:lang w:eastAsia="ru-RU"/>
    </w:rPr>
  </w:style>
  <w:style w:type="character" w:styleId="982">
    <w:name w:val="Символ сноски"/>
    <w:qFormat/>
    <w:rPr>
      <w:vertAlign w:val="superscript"/>
    </w:rPr>
  </w:style>
  <w:style w:type="character" w:styleId="983">
    <w:name w:val="footnote reference"/>
    <w:rPr>
      <w:vertAlign w:val="superscript"/>
    </w:rPr>
  </w:style>
  <w:style w:type="character" w:styleId="984" w:customStyle="1">
    <w:name w:val="Текст Знак"/>
    <w:basedOn w:val="967"/>
    <w:uiPriority w:val="99"/>
    <w:semiHidden/>
    <w:qFormat/>
    <w:rPr>
      <w:rFonts w:ascii="Consolas" w:hAnsi="Consolas"/>
      <w:sz w:val="21"/>
      <w:szCs w:val="21"/>
    </w:rPr>
  </w:style>
  <w:style w:type="character" w:styleId="985" w:customStyle="1">
    <w:name w:val="Основной текст Знак"/>
    <w:basedOn w:val="967"/>
    <w:uiPriority w:val="99"/>
    <w:qFormat/>
  </w:style>
  <w:style w:type="character" w:styleId="986" w:customStyle="1">
    <w:name w:val="Заголовок 4 Знак"/>
    <w:basedOn w:val="967"/>
    <w:uiPriority w:val="9"/>
    <w:semiHidden/>
    <w:qFormat/>
    <w:rPr>
      <w:rFonts w:ascii="Cambria" w:hAnsi="Cambria" w:eastAsia="Arial" w:cs="Arial" w:asciiTheme="majorHAnsi" w:hAnsiTheme="majorHAnsi" w:eastAsiaTheme="majorEastAsia" w:cstheme="majorBidi"/>
      <w:i/>
      <w:iCs/>
      <w:color w:val="365f91" w:themeColor="accent1" w:themeShade="BF"/>
    </w:rPr>
  </w:style>
  <w:style w:type="paragraph" w:styleId="987">
    <w:name w:val="Заголовок"/>
    <w:basedOn w:val="937"/>
    <w:next w:val="988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988">
    <w:name w:val="Body Text"/>
    <w:basedOn w:val="937"/>
    <w:uiPriority w:val="99"/>
    <w:unhideWhenUsed/>
    <w:pPr>
      <w:spacing w:before="0" w:after="120"/>
    </w:pPr>
  </w:style>
  <w:style w:type="paragraph" w:styleId="989">
    <w:name w:val="List"/>
    <w:basedOn w:val="988"/>
    <w:rPr>
      <w:rFonts w:cs="Lohit Devanagari"/>
    </w:rPr>
  </w:style>
  <w:style w:type="paragraph" w:styleId="990">
    <w:name w:val="Caption"/>
    <w:basedOn w:val="937"/>
    <w:link w:val="9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991">
    <w:name w:val="Указатель"/>
    <w:basedOn w:val="937"/>
    <w:qFormat/>
    <w:pPr>
      <w:suppressLineNumbers/>
    </w:pPr>
    <w:rPr>
      <w:rFonts w:cs="Lohit Devanagari"/>
    </w:rPr>
  </w:style>
  <w:style w:type="paragraph" w:styleId="992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993">
    <w:name w:val="Title"/>
    <w:basedOn w:val="937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994">
    <w:name w:val="Subtitle"/>
    <w:basedOn w:val="937"/>
    <w:uiPriority w:val="11"/>
    <w:qFormat/>
    <w:pPr>
      <w:spacing w:before="200" w:after="200"/>
    </w:pPr>
    <w:rPr>
      <w:sz w:val="24"/>
      <w:szCs w:val="24"/>
    </w:rPr>
  </w:style>
  <w:style w:type="paragraph" w:styleId="995">
    <w:name w:val="Quote"/>
    <w:basedOn w:val="937"/>
    <w:uiPriority w:val="29"/>
    <w:qFormat/>
    <w:pPr>
      <w:ind w:left="720" w:right="720"/>
    </w:pPr>
    <w:rPr>
      <w:i/>
    </w:rPr>
  </w:style>
  <w:style w:type="paragraph" w:styleId="996">
    <w:name w:val="Intense Quote"/>
    <w:basedOn w:val="937"/>
    <w:uiPriority w:val="30"/>
    <w:qFormat/>
    <w:pPr>
      <w:ind w:left="720" w:right="720"/>
      <w:spacing w:before="0" w:after="20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997">
    <w:name w:val="endnote text"/>
    <w:basedOn w:val="937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998">
    <w:name w:val="toc 1"/>
    <w:basedOn w:val="937"/>
    <w:uiPriority w:val="39"/>
    <w:unhideWhenUsed/>
    <w:pPr>
      <w:ind w:left="0" w:right="0" w:firstLine="0"/>
      <w:spacing w:before="0" w:after="57"/>
    </w:pPr>
  </w:style>
  <w:style w:type="paragraph" w:styleId="999">
    <w:name w:val="toc 2"/>
    <w:basedOn w:val="937"/>
    <w:uiPriority w:val="39"/>
    <w:unhideWhenUsed/>
    <w:pPr>
      <w:ind w:left="283" w:right="0" w:firstLine="0"/>
      <w:spacing w:before="0" w:after="57"/>
    </w:pPr>
  </w:style>
  <w:style w:type="paragraph" w:styleId="1000">
    <w:name w:val="toc 3"/>
    <w:basedOn w:val="937"/>
    <w:uiPriority w:val="39"/>
    <w:unhideWhenUsed/>
    <w:pPr>
      <w:ind w:left="567" w:right="0" w:firstLine="0"/>
      <w:spacing w:before="0" w:after="57"/>
    </w:pPr>
  </w:style>
  <w:style w:type="paragraph" w:styleId="1001">
    <w:name w:val="toc 4"/>
    <w:basedOn w:val="937"/>
    <w:uiPriority w:val="39"/>
    <w:unhideWhenUsed/>
    <w:pPr>
      <w:ind w:left="850" w:right="0" w:firstLine="0"/>
      <w:spacing w:before="0" w:after="57"/>
    </w:pPr>
  </w:style>
  <w:style w:type="paragraph" w:styleId="1002">
    <w:name w:val="toc 5"/>
    <w:basedOn w:val="937"/>
    <w:uiPriority w:val="39"/>
    <w:unhideWhenUsed/>
    <w:pPr>
      <w:ind w:left="1134" w:right="0" w:firstLine="0"/>
      <w:spacing w:before="0" w:after="57"/>
    </w:pPr>
  </w:style>
  <w:style w:type="paragraph" w:styleId="1003">
    <w:name w:val="toc 6"/>
    <w:basedOn w:val="937"/>
    <w:uiPriority w:val="39"/>
    <w:unhideWhenUsed/>
    <w:pPr>
      <w:ind w:left="1417" w:right="0" w:firstLine="0"/>
      <w:spacing w:before="0" w:after="57"/>
    </w:pPr>
  </w:style>
  <w:style w:type="paragraph" w:styleId="1004">
    <w:name w:val="toc 7"/>
    <w:basedOn w:val="937"/>
    <w:uiPriority w:val="39"/>
    <w:unhideWhenUsed/>
    <w:pPr>
      <w:ind w:left="1701" w:right="0" w:firstLine="0"/>
      <w:spacing w:before="0" w:after="57"/>
    </w:pPr>
  </w:style>
  <w:style w:type="paragraph" w:styleId="1005">
    <w:name w:val="toc 8"/>
    <w:basedOn w:val="937"/>
    <w:uiPriority w:val="39"/>
    <w:unhideWhenUsed/>
    <w:pPr>
      <w:ind w:left="1984" w:right="0" w:firstLine="0"/>
      <w:spacing w:before="0" w:after="57"/>
    </w:pPr>
  </w:style>
  <w:style w:type="paragraph" w:styleId="1006">
    <w:name w:val="toc 9"/>
    <w:basedOn w:val="937"/>
    <w:uiPriority w:val="39"/>
    <w:unhideWhenUsed/>
    <w:pPr>
      <w:ind w:left="2268" w:right="0" w:firstLine="0"/>
      <w:spacing w:before="0" w:after="57"/>
    </w:pPr>
  </w:style>
  <w:style w:type="paragraph" w:styleId="1007">
    <w:name w:val="Index Heading"/>
    <w:basedOn w:val="987"/>
  </w:style>
  <w:style w:type="paragraph" w:styleId="1008">
    <w:name w:val="TOC Heading"/>
    <w:uiPriority w:val="39"/>
    <w:unhideWhenUsed/>
    <w:qFormat/>
    <w:pPr>
      <w:jc w:val="left"/>
      <w:spacing w:before="0" w:beforeAutospacing="0" w:after="200" w:afterAutospacing="0" w:line="276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1009">
    <w:name w:val="table of figures"/>
    <w:basedOn w:val="937"/>
    <w:uiPriority w:val="99"/>
    <w:unhideWhenUsed/>
    <w:pPr>
      <w:spacing w:before="0" w:after="0" w:afterAutospacing="0"/>
    </w:pPr>
  </w:style>
  <w:style w:type="paragraph" w:styleId="1010">
    <w:name w:val="Колонтитул"/>
    <w:basedOn w:val="937"/>
    <w:qFormat/>
  </w:style>
  <w:style w:type="paragraph" w:styleId="1011">
    <w:name w:val="Footer"/>
    <w:basedOn w:val="937"/>
    <w:uiPriority w:val="99"/>
    <w:unhideWhenUsed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1012">
    <w:name w:val="Header"/>
    <w:basedOn w:val="937"/>
    <w:unhideWhenUsed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1013">
    <w:name w:val="Balloon Text"/>
    <w:basedOn w:val="937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1014">
    <w:name w:val="Revision"/>
    <w:uiPriority w:val="99"/>
    <w:semiHidden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1015">
    <w:name w:val="Body Text Indent"/>
    <w:basedOn w:val="937"/>
    <w:pPr>
      <w:ind w:firstLine="709"/>
      <w:jc w:val="both"/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6" w:customStyle="1">
    <w:name w:val="Стиль"/>
    <w:basedOn w:val="937"/>
    <w:qFormat/>
    <w:pPr>
      <w:jc w:val="right"/>
      <w:spacing w:before="0" w:after="160" w:line="240" w:lineRule="exact"/>
      <w:widowControl w:val="off"/>
    </w:pPr>
    <w:rPr>
      <w:rFonts w:ascii="Arial" w:hAnsi="Arial" w:eastAsia="Times New Roman" w:cs="Arial"/>
      <w:sz w:val="20"/>
      <w:szCs w:val="20"/>
      <w:lang w:val="en-GB"/>
    </w:rPr>
  </w:style>
  <w:style w:type="paragraph" w:styleId="1017">
    <w:name w:val="annotation text"/>
    <w:basedOn w:val="93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1018">
    <w:name w:val="annotation subject"/>
    <w:basedOn w:val="1017"/>
    <w:uiPriority w:val="99"/>
    <w:semiHidden/>
    <w:unhideWhenUsed/>
    <w:qFormat/>
    <w:rPr>
      <w:b/>
      <w:bCs/>
    </w:rPr>
  </w:style>
  <w:style w:type="paragraph" w:styleId="1019">
    <w:name w:val="List Paragraph"/>
    <w:basedOn w:val="937"/>
    <w:uiPriority w:val="34"/>
    <w:qFormat/>
    <w:pPr>
      <w:contextualSpacing/>
      <w:ind w:left="720"/>
      <w:spacing w:before="0" w:after="200"/>
    </w:pPr>
  </w:style>
  <w:style w:type="paragraph" w:styleId="1020" w:customStyle="1">
    <w:name w:val="!Основной"/>
    <w:qFormat/>
    <w:pPr>
      <w:ind w:firstLine="737"/>
      <w:jc w:val="both"/>
      <w:keepNext/>
      <w:spacing w:before="0" w:beforeAutospacing="0" w:after="0" w:afterAutospacing="0" w:line="240" w:lineRule="auto"/>
      <w:widowControl/>
    </w:pPr>
    <w:rPr>
      <w:rFonts w:ascii="Times New Roman" w:hAnsi="Times New Roman" w:eastAsia="MS Mincho" w:cs="Times New Roman"/>
      <w:color w:val="auto"/>
      <w:sz w:val="24"/>
      <w:szCs w:val="24"/>
      <w:lang w:val="ru-RU" w:eastAsia="ru-RU" w:bidi="ar-SA"/>
    </w:rPr>
  </w:style>
  <w:style w:type="paragraph" w:styleId="1021" w:customStyle="1">
    <w:name w:val="Приложение №"/>
    <w:basedOn w:val="937"/>
    <w:qFormat/>
    <w:pPr>
      <w:jc w:val="right"/>
      <w:spacing w:before="0" w:after="0" w:line="240" w:lineRule="auto"/>
      <w:outlineLvl w:val="0"/>
    </w:pPr>
    <w:rPr>
      <w:rFonts w:ascii="Times New Roman" w:hAnsi="Times New Roman" w:eastAsia="MS Mincho" w:cs="Times New Roman"/>
      <w:b/>
      <w:bCs/>
      <w:lang w:eastAsia="ru-RU"/>
    </w:rPr>
  </w:style>
  <w:style w:type="paragraph" w:styleId="1022" w:customStyle="1">
    <w:name w:val="заголовок 6"/>
    <w:basedOn w:val="937"/>
    <w:qFormat/>
    <w:pPr>
      <w:ind w:firstLine="284"/>
      <w:jc w:val="center"/>
      <w:keepNext/>
      <w:spacing w:before="0" w:after="0" w:line="240" w:lineRule="atLeast"/>
      <w:widowControl w:val="off"/>
      <w:tabs>
        <w:tab w:val="clear" w:pos="708" w:leader="none"/>
        <w:tab w:val="left" w:pos="9639" w:leader="underscore"/>
      </w:tabs>
    </w:pPr>
    <w:rPr>
      <w:rFonts w:ascii="Times New Roman" w:hAnsi="Times New Roman" w:eastAsia="MS Mincho" w:cs="Times New Roman"/>
      <w:b/>
      <w:bCs/>
      <w:sz w:val="20"/>
      <w:szCs w:val="20"/>
    </w:rPr>
  </w:style>
  <w:style w:type="paragraph" w:styleId="1023" w:customStyle="1">
    <w:name w:val="Текст_бюл"/>
    <w:qFormat/>
    <w:pPr>
      <w:numPr>
        <w:ilvl w:val="0"/>
        <w:numId w:val="2"/>
      </w:numPr>
      <w:ind w:left="720"/>
      <w:jc w:val="both"/>
      <w:spacing w:before="0" w:beforeAutospacing="0" w:after="200" w:afterAutospacing="0" w:line="276" w:lineRule="auto"/>
      <w:widowControl/>
      <w:tabs>
        <w:tab w:val="clear" w:pos="708" w:leader="none"/>
        <w:tab w:val="left" w:pos="720" w:leader="none"/>
        <w:tab w:val="left" w:pos="851" w:leader="none"/>
      </w:tabs>
    </w:pPr>
    <w:rPr>
      <w:rFonts w:ascii="Times New Roman" w:hAnsi="Times New Roman" w:eastAsia="MS Mincho" w:cs="Times New Roman"/>
      <w:color w:val="auto"/>
      <w:sz w:val="26"/>
      <w:szCs w:val="26"/>
      <w:lang w:val="ru-RU" w:eastAsia="ru-RU" w:bidi="ar-SA"/>
    </w:rPr>
  </w:style>
  <w:style w:type="paragraph" w:styleId="1024">
    <w:name w:val="footnote text"/>
    <w:basedOn w:val="937"/>
    <w:semiHidden/>
    <w:pPr>
      <w:spacing w:before="0" w:after="0" w:line="240" w:lineRule="auto"/>
    </w:pPr>
    <w:rPr>
      <w:rFonts w:ascii="Times New Roman" w:hAnsi="Times New Roman" w:eastAsia="MS Mincho" w:cs="Times New Roman"/>
      <w:sz w:val="20"/>
      <w:szCs w:val="20"/>
      <w:lang w:eastAsia="ru-RU"/>
    </w:rPr>
  </w:style>
  <w:style w:type="paragraph" w:styleId="1025">
    <w:name w:val="Normal (Web)"/>
    <w:basedOn w:val="937"/>
    <w:unhideWhenUsed/>
    <w:qFormat/>
    <w:pPr>
      <w:spacing w:beforeAutospacing="1" w:afterAutospacing="1" w:line="240" w:lineRule="auto"/>
    </w:pPr>
    <w:rPr>
      <w:rFonts w:ascii="Times New Roman" w:hAnsi="Times New Roman" w:eastAsia="Arial" w:cs="Times New Roman" w:eastAsiaTheme="minorEastAsia"/>
      <w:sz w:val="24"/>
      <w:szCs w:val="24"/>
      <w:lang w:eastAsia="ru-RU"/>
    </w:rPr>
  </w:style>
  <w:style w:type="paragraph" w:styleId="1026">
    <w:name w:val="Plain Text"/>
    <w:basedOn w:val="937"/>
    <w:uiPriority w:val="99"/>
    <w:semiHidden/>
    <w:unhideWhenUsed/>
    <w:qFormat/>
    <w:pPr>
      <w:spacing w:before="0" w:after="0" w:line="240" w:lineRule="auto"/>
    </w:pPr>
    <w:rPr>
      <w:rFonts w:ascii="Consolas" w:hAnsi="Consolas"/>
      <w:sz w:val="21"/>
      <w:szCs w:val="21"/>
    </w:rPr>
  </w:style>
  <w:style w:type="paragraph" w:styleId="1027">
    <w:name w:val="Содержимое врезки"/>
    <w:basedOn w:val="937"/>
    <w:qFormat/>
  </w:style>
  <w:style w:type="paragraph" w:styleId="1028" w:customStyle="1">
    <w:name w:val="Текстовка"/>
    <w:qFormat/>
    <w:pPr>
      <w:ind w:left="0" w:right="0" w:firstLine="567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18"/>
      <w:u w:val="none"/>
      <w:vertAlign w:val="baseline"/>
      <w:lang w:val="ru-RU" w:eastAsia="ru-RU" w:bidi="ar-SA"/>
      <w14:ligatures w14:val="none"/>
    </w:rPr>
  </w:style>
  <w:style w:type="numbering" w:styleId="1029" w:default="1">
    <w:name w:val="No List"/>
    <w:uiPriority w:val="99"/>
    <w:semiHidden/>
    <w:unhideWhenUsed/>
    <w:qFormat/>
  </w:style>
  <w:style w:type="table" w:styleId="1030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31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32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1033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1034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1035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1036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37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4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5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6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7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8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9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0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1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2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3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4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5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6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7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8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1059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1060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1061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1062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1063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1064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1065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106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106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106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106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107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107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1072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107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107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107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107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107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107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1079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6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7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8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9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0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1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2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3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094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095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096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097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098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099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00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1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2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3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4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5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6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7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8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9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10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11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12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13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14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1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1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1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1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1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2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21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12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12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112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112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112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112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1128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112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113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113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113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113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113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1135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136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1137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1138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1139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1140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1141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1142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143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1144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1145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1146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1147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1148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1149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150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151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1152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1153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1154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1155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115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Relationship Id="rId18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D6B63CA9E9AA4BB92DA6098B3F1093" ma:contentTypeVersion="1" ma:contentTypeDescription="Создание документа." ma:contentTypeScope="" ma:versionID="444ff536874c37f99fe48708409f7d3e">
  <xsd:schema xmlns:xsd="http://www.w3.org/2001/XMLSchema" xmlns:xs="http://www.w3.org/2001/XMLSchema" xmlns:p="http://schemas.microsoft.com/office/2006/metadata/properties" xmlns:ns2="4c0ddcbe-94e5-481c-9c01-0b4772b5100b" targetNamespace="http://schemas.microsoft.com/office/2006/metadata/properties" ma:root="true" ma:fieldsID="1a82e51b33673e8fb29f7381cee00cf8" ns2:_="">
    <xsd:import namespace="4c0ddcbe-94e5-481c-9c01-0b4772b5100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ddcbe-94e5-481c-9c01-0b4772b510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490A2-407B-4010-8A2B-0CD34D79C8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F0324A-9EDB-48ED-9939-4EA7ECA738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6C96BD-40B9-4EC4-A497-A0829A68B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0ddcbe-94e5-481c-9c01-0b4772b51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C35031-77CD-4E1B-AF0F-3C4672F64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Utel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(Муниципальный) Контракт на комплекс услуг связи B2G</dc:title>
  <dc:subject/>
  <dc:creator>Ермакова Ирина Александровна</dc:creator>
  <dc:description/>
  <dc:language>ru-RU</dc:language>
  <cp:lastModifiedBy>e.gorbunova</cp:lastModifiedBy>
  <cp:revision>44</cp:revision>
  <dcterms:created xsi:type="dcterms:W3CDTF">2023-12-19T12:36:00Z</dcterms:created>
  <dcterms:modified xsi:type="dcterms:W3CDTF">2026-09-23T06:32:52Z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0x01010099D6B63CA9E9AA4BB92DA6098B3F1093</vt:lpwstr>
  </property>
  <property fmtid="{D5CDD505-2E9C-101B-9397-08002B2CF9AE}" pid="3" name="CustomerCategories1">
    <vt:lpwstr>7;#3К|7dac49d7-e08e-4a79-b286-f46e87945e0a;#237;#МСП|9de0d368-4fad-44d0-92cd-e0d356dd941d</vt:lpwstr>
  </property>
  <property fmtid="{D5CDD505-2E9C-101B-9397-08002B2CF9AE}" pid="4" name="Product">
    <vt:lpwstr/>
  </property>
  <property fmtid="{D5CDD505-2E9C-101B-9397-08002B2CF9AE}" pid="5" name="Regions1">
    <vt:lpwstr>239;#Федеральный контент|08d6a144-115e-4e3e-b379-48d33df03e00</vt:lpwstr>
  </property>
  <property fmtid="{D5CDD505-2E9C-101B-9397-08002B2CF9AE}" pid="6" name="Role12">
    <vt:lpwstr>236;#Базовая роль|7925d7bc-3ff2-4ae9-949f-6035127e3b16</vt:lpwstr>
  </property>
  <property fmtid="{D5CDD505-2E9C-101B-9397-08002B2CF9AE}" pid="7" name="TaxKeyword">
    <vt:lpwstr/>
  </property>
</Properties>
</file>