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right"/>
      </w:pPr>
      <w:r>
        <w:t xml:space="preserve">.</w:t>
      </w:r>
      <w:r>
        <w:t xml:space="preserve"> </w:t>
      </w:r>
      <w:r/>
    </w:p>
    <w:p>
      <w:pPr>
        <w:pStyle w:val="837"/>
        <w:ind w:firstLine="709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37"/>
        <w:ind w:firstLine="709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ОБОСНОВАНИЕ И РАСЧЕТ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ArialMT" w:hAnsi="ArialMT" w:cs="ArialMT" w:eastAsiaTheme="minorHAnsi"/>
          <w:b/>
          <w:bCs/>
          <w:i/>
          <w:color w:val="3d3d3d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начальной (максимальной) цены контракта </w:t>
      </w:r>
      <w:r>
        <w:rPr>
          <w:b/>
          <w:sz w:val="24"/>
          <w:szCs w:val="24"/>
        </w:rPr>
        <w:t xml:space="preserve">на </w:t>
      </w:r>
      <w:r>
        <w:rPr>
          <w:b/>
          <w:bCs/>
          <w:i/>
          <w:sz w:val="24"/>
          <w:szCs w:val="24"/>
        </w:rPr>
        <w:t xml:space="preserve">оказание услуг по обслуживанию, проведению текущего ремонта, частичного техниче</w:t>
      </w:r>
      <w:r>
        <w:rPr>
          <w:b/>
          <w:bCs/>
          <w:i/>
          <w:sz w:val="24"/>
          <w:szCs w:val="24"/>
        </w:rPr>
        <w:t xml:space="preserve">ского освидетельствования и полного технического освидетельствования подъемных сооружений Кран-манипулятора автомобильного FG 314, Кран-манипулятора автомобильного HGC515.П (78К122), Подъемника автомобильного гидравлического с рабочей платформой ВИПО-18-01</w:t>
      </w:r>
      <w:r>
        <w:rPr>
          <w:b/>
          <w:bCs/>
          <w:i/>
          <w:sz w:val="24"/>
          <w:szCs w:val="24"/>
        </w:rPr>
        <w:t xml:space="preserve">.</w:t>
      </w:r>
      <w:r>
        <w:rPr>
          <w:rFonts w:ascii="ArialMT" w:hAnsi="ArialMT" w:cs="ArialMT" w:eastAsiaTheme="minorHAnsi"/>
          <w:b/>
          <w:bCs/>
          <w:i/>
          <w:color w:val="3d3d3d"/>
          <w:sz w:val="24"/>
          <w:szCs w:val="24"/>
          <w:lang w:eastAsia="en-US"/>
        </w:rPr>
      </w:r>
      <w:r>
        <w:rPr>
          <w:rFonts w:ascii="ArialMT" w:hAnsi="ArialMT" w:cs="ArialMT" w:eastAsiaTheme="minorHAnsi"/>
          <w:b/>
          <w:bCs/>
          <w:i/>
          <w:color w:val="3d3d3d"/>
          <w:sz w:val="24"/>
          <w:szCs w:val="24"/>
          <w:lang w:eastAsia="en-US"/>
        </w:rPr>
      </w:r>
    </w:p>
    <w:p>
      <w:pPr>
        <w:ind w:firstLine="567"/>
        <w:jc w:val="both"/>
        <w:spacing w:before="120"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Начальная (м</w:t>
      </w:r>
      <w:r>
        <w:rPr>
          <w:sz w:val="22"/>
          <w:szCs w:val="22"/>
        </w:rPr>
        <w:t xml:space="preserve">аксимальная) цена контракта определена и обоснована в соответствии с требованиями статьи 22 Закона о контрактной системе и методических рекомендаций по применению методов определения начальной (максимальной) цены контракта, утвержденных приказом Минэкономр</w:t>
      </w:r>
      <w:r>
        <w:rPr>
          <w:sz w:val="22"/>
          <w:szCs w:val="22"/>
        </w:rPr>
        <w:t xml:space="preserve">азвития РФ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посредством применения </w:t>
      </w:r>
      <w:r>
        <w:rPr>
          <w:i/>
          <w:iCs/>
          <w:sz w:val="22"/>
          <w:szCs w:val="22"/>
        </w:rPr>
        <w:t xml:space="preserve">метода сопоставимых рыночных цен (анализа рынка).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1579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992"/>
        <w:gridCol w:w="567"/>
        <w:gridCol w:w="1417"/>
        <w:gridCol w:w="1417"/>
        <w:gridCol w:w="1418"/>
        <w:gridCol w:w="1451"/>
        <w:gridCol w:w="1167"/>
        <w:gridCol w:w="990"/>
        <w:gridCol w:w="1418"/>
      </w:tblGrid>
      <w:tr>
        <w:tblPrEx/>
        <w:trPr>
          <w:trHeight w:val="493"/>
        </w:trPr>
        <w:tc>
          <w:tcPr>
            <w:tcBorders>
              <w:right w:val="single" w:color="auto" w:sz="4" w:space="0"/>
            </w:tcBorders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ind w:left="-108" w:right="-108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№ п/п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-108"/>
              <w:jc w:val="center"/>
              <w:widowControl w:val="off"/>
            </w:pPr>
            <w:r/>
            <w:r/>
          </w:p>
        </w:tc>
        <w:tc>
          <w:tcPr>
            <w:tcBorders>
              <w:left w:val="single" w:color="auto" w:sz="4" w:space="0"/>
            </w:tcBorders>
            <w:tcW w:w="45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widowControl w:val="off"/>
            </w:pPr>
            <w:r/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left="-108" w:right="-108"/>
              <w:jc w:val="center"/>
              <w:widowControl w:val="off"/>
            </w:pPr>
            <w:r>
              <w:t xml:space="preserve">Единица</w:t>
            </w:r>
            <w:r/>
          </w:p>
          <w:p>
            <w:pPr>
              <w:ind w:left="-108" w:right="-108"/>
              <w:jc w:val="center"/>
              <w:widowControl w:val="off"/>
            </w:pPr>
            <w:r>
              <w:t xml:space="preserve">измерения</w:t>
            </w:r>
            <w:r/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ind w:left="-44" w:right="-109" w:hanging="64"/>
              <w:jc w:val="center"/>
              <w:widowControl w:val="off"/>
            </w:pPr>
            <w:r/>
            <w:r/>
          </w:p>
          <w:p>
            <w:pPr>
              <w:ind w:right="-109"/>
              <w:jc w:val="center"/>
              <w:widowControl w:val="off"/>
            </w:pPr>
            <w:r>
              <w:t xml:space="preserve">Кол</w:t>
            </w:r>
            <w:r>
              <w:t xml:space="preserve">-</w:t>
            </w:r>
            <w:r>
              <w:t xml:space="preserve">во</w:t>
            </w:r>
            <w:r/>
          </w:p>
        </w:tc>
        <w:tc>
          <w:tcPr>
            <w:gridSpan w:val="3"/>
            <w:tcW w:w="425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Источники информации о ценах, руб.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Средняя цена,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-108" w:right="-109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руб.</w:t>
            </w:r>
            <w:r>
              <w:rPr>
                <w:color w:val="000000"/>
                <w:vertAlign w:val="superscript"/>
              </w:rPr>
            </w:r>
            <w:r>
              <w:rPr>
                <w:color w:val="000000"/>
                <w:vertAlign w:val="superscript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ind w:left="-109" w:right="-107"/>
              <w:jc w:val="center"/>
              <w:rPr>
                <w:vertAlign w:val="superscript"/>
              </w:rPr>
            </w:pPr>
            <w:r>
              <w:rPr>
                <w:color w:val="000000"/>
              </w:rPr>
              <w:t xml:space="preserve">Среднее квадратичное отклонение</w: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W w:w="990" w:type="dxa"/>
            <w:vAlign w:val="center"/>
            <w:vMerge w:val="restart"/>
            <w:textDirection w:val="lrTb"/>
            <w:noWrap w:val="false"/>
          </w:tcPr>
          <w:p>
            <w:pPr>
              <w:ind w:left="-109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Коэффици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-109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ент</w:t>
            </w:r>
            <w:r>
              <w:rPr>
                <w:color w:val="000000"/>
              </w:rPr>
              <w:t xml:space="preserve"> вариации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-109" w:right="-108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%</w:t>
            </w:r>
            <w:r>
              <w:rPr>
                <w:color w:val="000000"/>
                <w:vertAlign w:val="superscript"/>
              </w:rPr>
            </w:r>
            <w:r>
              <w:rPr>
                <w:color w:val="000000"/>
                <w:vertAlign w:val="superscript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Расчет цены,</w:t>
            </w:r>
            <w:r/>
          </w:p>
          <w:p>
            <w:pPr>
              <w:ind w:left="-108" w:right="-108"/>
              <w:jc w:val="center"/>
              <w:rPr>
                <w:color w:val="000000"/>
                <w:vertAlign w:val="superscript"/>
              </w:rPr>
            </w:pPr>
            <w:r>
              <w:t xml:space="preserve">(произведение столбцов №№4 и 8), в руб.</w:t>
            </w:r>
            <w:r>
              <w:rPr>
                <w:color w:val="000000"/>
                <w:vertAlign w:val="superscript"/>
              </w:rPr>
            </w:r>
            <w:r>
              <w:rPr>
                <w:color w:val="000000"/>
                <w:vertAlign w:val="superscript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4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4" w:space="0"/>
            </w:tcBorders>
            <w:tcW w:w="453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sz w:val="18"/>
                <w:szCs w:val="18"/>
                <w:lang w:eastAsia="en-US"/>
              </w:rPr>
              <w:t xml:space="preserve">Коммерческое предложение                № 1 (руб.)</w:t>
            </w:r>
            <w:r/>
          </w:p>
        </w:tc>
        <w:tc>
          <w:tcPr>
            <w:shd w:val="clear" w:color="auto" w:fill="auto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sz w:val="18"/>
                <w:szCs w:val="18"/>
                <w:lang w:eastAsia="en-US"/>
              </w:rPr>
              <w:t xml:space="preserve">Коммерческое предложение                № 2 (руб.)</w:t>
            </w:r>
            <w:r/>
          </w:p>
        </w:tc>
        <w:tc>
          <w:tcPr>
            <w:shd w:val="clear" w:color="auto" w:fill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sz w:val="18"/>
                <w:szCs w:val="18"/>
                <w:lang w:eastAsia="en-US"/>
              </w:rPr>
              <w:t xml:space="preserve">Коммерческое предложение                № 3 (руб.)</w:t>
            </w:r>
            <w:r/>
          </w:p>
        </w:tc>
        <w:tc>
          <w:tcPr>
            <w:tcW w:w="1451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167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990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18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42"/>
        </w:trPr>
        <w:tc>
          <w:tcPr>
            <w:tcBorders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13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rPr>
                <w:b/>
                <w:i/>
              </w:rPr>
            </w:pPr>
            <w:r>
              <w:rPr>
                <w:i/>
              </w:rPr>
              <w:t xml:space="preserve">Н</w:t>
            </w:r>
            <w:r>
              <w:rPr>
                <w:i/>
              </w:rPr>
              <w:t xml:space="preserve">ачальная цена единицы услуги (одного нормо-часа)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по</w:t>
            </w:r>
            <w:r>
              <w:rPr>
                <w:i/>
              </w:rPr>
              <w:t xml:space="preserve"> Ремонтным работам</w:t>
            </w:r>
            <w:r>
              <w:rPr>
                <w:i/>
              </w:rPr>
              <w:t xml:space="preserve">:</w:t>
            </w:r>
            <w:r>
              <w:rPr>
                <w:i/>
                <w:highlight w:val="yellow"/>
              </w:rPr>
              <w:t xml:space="preserve">                                    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н/час.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3 57</w:t>
            </w:r>
            <w:r>
              <w:rPr>
                <w:sz w:val="19"/>
                <w:szCs w:val="19"/>
              </w:rPr>
              <w:t xml:space="preserve">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3 527</w:t>
            </w:r>
            <w:r>
              <w:rPr>
                <w:sz w:val="19"/>
                <w:szCs w:val="19"/>
              </w:rPr>
              <w:t xml:space="preserve">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3 675</w:t>
            </w:r>
            <w:r>
              <w:rPr>
                <w:sz w:val="19"/>
                <w:szCs w:val="19"/>
              </w:rPr>
              <w:t xml:space="preserve">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3 590,67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1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76,13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2,12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3 590,67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</w:tr>
      <w:tr>
        <w:tblPrEx/>
        <w:trPr>
          <w:trHeight w:val="13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Н</w:t>
            </w:r>
            <w:r>
              <w:rPr>
                <w:i/>
              </w:rPr>
              <w:t xml:space="preserve">ачальная цена единицы услуги (одного нормо-часа)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по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Токарны</w:t>
            </w:r>
            <w:r>
              <w:rPr>
                <w:i/>
              </w:rPr>
              <w:t xml:space="preserve">м</w:t>
            </w:r>
            <w:r>
              <w:rPr>
                <w:i/>
              </w:rPr>
              <w:t xml:space="preserve">, слесарны</w:t>
            </w:r>
            <w:r>
              <w:rPr>
                <w:i/>
              </w:rPr>
              <w:t xml:space="preserve">м</w:t>
            </w:r>
            <w:r>
              <w:rPr>
                <w:i/>
              </w:rPr>
              <w:t xml:space="preserve">, сварочны</w:t>
            </w:r>
            <w:r>
              <w:rPr>
                <w:i/>
              </w:rPr>
              <w:t xml:space="preserve">м</w:t>
            </w:r>
            <w:r>
              <w:rPr>
                <w:i/>
              </w:rPr>
              <w:t xml:space="preserve"> работ</w:t>
            </w:r>
            <w:r>
              <w:rPr>
                <w:i/>
              </w:rPr>
              <w:t xml:space="preserve">ам</w:t>
            </w:r>
            <w:r>
              <w:rPr>
                <w:i/>
              </w:rPr>
              <w:t xml:space="preserve">:</w:t>
            </w:r>
            <w:r>
              <w:rPr>
                <w:i/>
                <w:highlight w:val="yellow"/>
              </w:rPr>
              <w:t xml:space="preserve">                                     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н/час.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5 100,00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5 357,00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5 250,00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5 235,67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1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129,10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2,47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5 235,67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</w:tr>
      <w:tr>
        <w:tblPrEx/>
        <w:trPr>
          <w:trHeight w:val="13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Н</w:t>
            </w:r>
            <w:r>
              <w:rPr>
                <w:i/>
              </w:rPr>
              <w:t xml:space="preserve">ачальная цена единицы услуги</w:t>
            </w:r>
            <w:r>
              <w:rPr>
                <w:i/>
              </w:rPr>
              <w:t xml:space="preserve"> ТО 1</w:t>
            </w:r>
            <w:r>
              <w:rPr>
                <w:i/>
                <w:highlight w:val="yellow"/>
              </w:rPr>
              <w:t xml:space="preserve">                                    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усл.ед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7 140,00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7 498,00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7 350,00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</w:t>
            </w:r>
            <w:r>
              <w:rPr>
                <w:sz w:val="19"/>
                <w:szCs w:val="19"/>
              </w:rPr>
              <w:t xml:space="preserve"> 329,33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1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179,89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2,45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</w:t>
            </w:r>
            <w:r>
              <w:rPr>
                <w:sz w:val="19"/>
                <w:szCs w:val="19"/>
              </w:rPr>
              <w:t xml:space="preserve"> 329,33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</w:tr>
      <w:tr>
        <w:tblPrEx/>
        <w:trPr>
          <w:trHeight w:val="13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Н</w:t>
            </w:r>
            <w:r>
              <w:rPr>
                <w:i/>
              </w:rPr>
              <w:t xml:space="preserve">ачальная цена единицы услуги</w:t>
            </w:r>
            <w:r>
              <w:rPr>
                <w:i/>
              </w:rPr>
              <w:t xml:space="preserve"> ТО 2</w:t>
            </w:r>
            <w:r>
              <w:rPr>
                <w:i/>
                <w:highlight w:val="yellow"/>
              </w:rPr>
              <w:t xml:space="preserve">                                    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усл.ед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14 280,00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14 280,00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14 700,00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14 420,00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1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242,49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1,68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14 420,00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</w:tr>
      <w:tr>
        <w:tblPrEx/>
        <w:trPr>
          <w:trHeight w:val="13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Начальная цена единицы услуги Сезонно</w:t>
            </w:r>
            <w:r>
              <w:rPr>
                <w:i/>
              </w:rPr>
              <w:t xml:space="preserve">го</w:t>
            </w:r>
            <w:r>
              <w:rPr>
                <w:i/>
              </w:rPr>
              <w:t xml:space="preserve"> техническо</w:t>
            </w:r>
            <w:r>
              <w:rPr>
                <w:i/>
              </w:rPr>
              <w:t xml:space="preserve">го</w:t>
            </w:r>
            <w:r>
              <w:rPr>
                <w:i/>
              </w:rPr>
              <w:t xml:space="preserve"> обслуживани</w:t>
            </w:r>
            <w:r>
              <w:rPr>
                <w:i/>
              </w:rPr>
              <w:t xml:space="preserve">я</w:t>
            </w:r>
            <w:r>
              <w:rPr>
                <w:i/>
              </w:rPr>
              <w:t xml:space="preserve">:                                     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усл.ед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shd w:val="clear" w:color="ffffcc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815</w:t>
            </w:r>
            <w:r>
              <w:rPr>
                <w:color w:val="000000"/>
              </w:rPr>
              <w:t xml:space="preserve">,00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cc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83 216,00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cc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82 163,00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81</w:t>
            </w:r>
            <w:r>
              <w:rPr>
                <w:sz w:val="19"/>
                <w:szCs w:val="19"/>
              </w:rPr>
              <w:t xml:space="preserve"> 731,33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1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1 741,11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2,13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81</w:t>
            </w:r>
            <w:r>
              <w:rPr>
                <w:sz w:val="19"/>
                <w:szCs w:val="19"/>
              </w:rPr>
              <w:t xml:space="preserve"> 731,33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</w:tr>
      <w:tr>
        <w:tblPrEx/>
        <w:trPr>
          <w:trHeight w:val="13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Начальная цена единицы услуги </w:t>
            </w:r>
            <w:r>
              <w:rPr>
                <w:i/>
              </w:rPr>
              <w:t xml:space="preserve">Проведени</w:t>
            </w:r>
            <w:r>
              <w:rPr>
                <w:i/>
              </w:rPr>
              <w:t xml:space="preserve">я</w:t>
            </w:r>
            <w:r>
              <w:rPr>
                <w:i/>
              </w:rPr>
              <w:t xml:space="preserve"> полного технического освидетельствования</w:t>
            </w:r>
            <w:r>
              <w:rPr>
                <w:i/>
              </w:rPr>
              <w:t xml:space="preserve">:                                     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усл.ед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</w:t>
            </w:r>
            <w:r>
              <w:rPr>
                <w:sz w:val="19"/>
                <w:szCs w:val="19"/>
              </w:rPr>
              <w:t xml:space="preserve">9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198</w:t>
            </w:r>
            <w:r>
              <w:rPr>
                <w:sz w:val="19"/>
                <w:szCs w:val="19"/>
              </w:rPr>
              <w:t xml:space="preserve">,00   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32 154,00   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30 056,00   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</w:t>
            </w:r>
            <w:r>
              <w:rPr>
                <w:sz w:val="19"/>
                <w:szCs w:val="19"/>
              </w:rPr>
              <w:t xml:space="preserve"> 469,33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1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</w:t>
            </w:r>
            <w:r>
              <w:rPr>
                <w:sz w:val="19"/>
                <w:szCs w:val="19"/>
              </w:rPr>
              <w:t xml:space="preserve"> 520,73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4,99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</w:t>
            </w:r>
            <w:r>
              <w:rPr>
                <w:sz w:val="19"/>
                <w:szCs w:val="19"/>
              </w:rPr>
              <w:t xml:space="preserve"> 469,33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</w:tr>
      <w:tr>
        <w:tblPrEx/>
        <w:trPr>
          <w:trHeight w:val="13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Начальная цена единицы услуги </w:t>
            </w:r>
            <w:r>
              <w:rPr>
                <w:i/>
              </w:rPr>
              <w:t xml:space="preserve">Про</w:t>
            </w:r>
            <w:r>
              <w:rPr>
                <w:i/>
              </w:rPr>
              <w:t xml:space="preserve">ведение частичного технического о</w:t>
            </w:r>
            <w:r>
              <w:rPr>
                <w:i/>
              </w:rPr>
              <w:t xml:space="preserve">свидетельствования</w:t>
            </w:r>
            <w:r>
              <w:rPr>
                <w:i/>
              </w:rPr>
              <w:t xml:space="preserve">:                                     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усл.ед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</w:t>
            </w:r>
            <w:r>
              <w:rPr>
                <w:sz w:val="19"/>
                <w:szCs w:val="19"/>
              </w:rPr>
              <w:t xml:space="preserve">741</w:t>
            </w:r>
            <w:r>
              <w:rPr>
                <w:sz w:val="19"/>
                <w:szCs w:val="19"/>
              </w:rPr>
              <w:t xml:space="preserve">,00   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24 250,00   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22 381,00   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</w:t>
            </w:r>
            <w:r>
              <w:rPr>
                <w:sz w:val="19"/>
                <w:szCs w:val="19"/>
              </w:rPr>
              <w:t xml:space="preserve"> 790,67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1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</w:t>
            </w:r>
            <w:r>
              <w:rPr>
                <w:sz w:val="19"/>
                <w:szCs w:val="19"/>
              </w:rPr>
              <w:t xml:space="preserve"> 303,70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5,72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</w:t>
            </w:r>
            <w:r>
              <w:rPr>
                <w:sz w:val="19"/>
                <w:szCs w:val="19"/>
              </w:rPr>
              <w:t xml:space="preserve"> 790,67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</w:tr>
      <w:tr>
        <w:tblPrEx/>
        <w:trPr>
          <w:trHeight w:val="407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rPr>
                <w:b/>
                <w:i/>
              </w:rPr>
            </w:pPr>
            <w:r>
              <w:rPr>
                <w:i/>
              </w:rPr>
              <w:t xml:space="preserve">Н</w:t>
            </w:r>
            <w:r>
              <w:rPr>
                <w:i/>
              </w:rPr>
              <w:t xml:space="preserve">ачальная сумма цен единиц запасных частей</w:t>
            </w:r>
            <w:r>
              <w:rPr>
                <w:i/>
              </w:rPr>
              <w:t xml:space="preserve"> и расходных материалов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усл.ед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  <w:t xml:space="preserve"> 203 326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Calibri"/>
                <w:color w:val="000000"/>
              </w:rPr>
            </w:pPr>
            <w:r>
              <w:rPr>
                <w:rFonts w:cs="Calibri" w:asciiTheme="minorHAnsi" w:hAnsiTheme="minorHAnsi"/>
                <w:color w:val="000000"/>
              </w:rPr>
              <w:t xml:space="preserve">5</w:t>
            </w:r>
            <w:r>
              <w:rPr>
                <w:rFonts w:cs="Calibri" w:asciiTheme="minorHAnsi" w:hAnsiTheme="minorHAnsi"/>
                <w:color w:val="000000"/>
              </w:rPr>
              <w:t xml:space="preserve"> </w:t>
            </w:r>
            <w:r>
              <w:rPr>
                <w:rFonts w:cs="Calibri" w:asciiTheme="minorHAnsi" w:hAnsiTheme="minorHAnsi"/>
                <w:color w:val="000000"/>
              </w:rPr>
              <w:t xml:space="preserve">76</w:t>
            </w:r>
            <w:r>
              <w:rPr>
                <w:rFonts w:cs="Calibri" w:asciiTheme="minorHAnsi" w:hAnsiTheme="minorHAnsi"/>
                <w:color w:val="000000"/>
              </w:rPr>
              <w:t xml:space="preserve">6</w:t>
            </w:r>
            <w:r>
              <w:rPr>
                <w:rFonts w:cs="Calibri" w:asciiTheme="minorHAnsi" w:hAnsiTheme="minorHAnsi"/>
                <w:color w:val="000000"/>
              </w:rPr>
              <w:t xml:space="preserve"> 4</w:t>
            </w:r>
            <w:r>
              <w:rPr>
                <w:rFonts w:cs="Calibri" w:asciiTheme="minorHAnsi" w:hAnsiTheme="minorHAnsi"/>
                <w:color w:val="000000"/>
              </w:rPr>
              <w:t xml:space="preserve">1</w:t>
            </w:r>
            <w:r>
              <w:rPr>
                <w:rFonts w:cs="Calibri" w:asciiTheme="minorHAnsi" w:hAnsiTheme="minorHAnsi"/>
                <w:color w:val="000000"/>
              </w:rPr>
              <w:t xml:space="preserve">0,00</w:t>
            </w:r>
            <w:r>
              <w:rPr>
                <w:rFonts w:ascii="Tinos" w:hAnsi="Tinos" w:cs="Calibri"/>
                <w:color w:val="000000"/>
              </w:rPr>
              <w:t xml:space="preserve">   </w:t>
            </w:r>
            <w:r>
              <w:rPr>
                <w:rFonts w:ascii="Tinos" w:hAnsi="Tinos" w:cs="Calibri"/>
                <w:color w:val="000000"/>
              </w:rPr>
            </w:r>
            <w:r>
              <w:rPr>
                <w:rFonts w:ascii="Tinos" w:hAnsi="Tinos" w:cs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  <w:t xml:space="preserve"> 35</w:t>
            </w: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  <w:t xml:space="preserve"> 127,00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5</w:t>
            </w:r>
            <w:r>
              <w:t xml:space="preserve"> </w:t>
            </w:r>
            <w:r>
              <w:t xml:space="preserve">4</w:t>
            </w:r>
            <w:r>
              <w:t xml:space="preserve">41 954</w:t>
            </w:r>
            <w:r>
              <w:t xml:space="preserve">,</w:t>
            </w:r>
            <w:r>
              <w:t xml:space="preserve">33</w:t>
            </w:r>
            <w:r/>
          </w:p>
        </w:tc>
        <w:tc>
          <w:tcPr>
            <w:tcBorders>
              <w:top w:val="single" w:color="auto" w:sz="4" w:space="0"/>
            </w:tcBorders>
            <w:tcW w:w="116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291 188</w:t>
            </w:r>
            <w:r>
              <w:t xml:space="preserve">,</w:t>
            </w:r>
            <w:r>
              <w:t xml:space="preserve">33</w:t>
            </w:r>
            <w:r/>
          </w:p>
        </w:tc>
        <w:tc>
          <w:tcPr>
            <w:tcBorders>
              <w:top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5,35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</w:rPr>
              <w:t xml:space="preserve">5 441 954,33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13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r>
              <w:rPr>
                <w:b/>
                <w:i/>
              </w:rPr>
              <w:t xml:space="preserve">Начальная сумма цен единиц </w:t>
            </w:r>
            <w:r>
              <w:rPr>
                <w:b/>
                <w:i/>
              </w:rPr>
              <w:t xml:space="preserve">услуги (одного нормо-часа</w:t>
            </w:r>
            <w:r>
              <w:rPr>
                <w:b/>
                <w:i/>
              </w:rPr>
              <w:t xml:space="preserve">,</w:t>
            </w:r>
            <w:r>
              <w:rPr>
                <w:b/>
                <w:i/>
              </w:rPr>
              <w:t xml:space="preserve"> запасных частей</w:t>
            </w:r>
            <w:r>
              <w:rPr>
                <w:b/>
                <w:i/>
              </w:rPr>
              <w:t xml:space="preserve"> и расходных материалов</w:t>
            </w:r>
            <w:r>
              <w:rPr>
                <w:b/>
                <w:i/>
              </w:rPr>
              <w:t xml:space="preserve">)</w:t>
            </w:r>
            <w:r/>
          </w:p>
        </w:tc>
        <w:tc>
          <w:tcPr>
            <w:tcBorders>
              <w:top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усл.ед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 xml:space="preserve"> 364 170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Calibri"/>
                <w:color w:val="000000"/>
              </w:rPr>
            </w:pPr>
            <w:r>
              <w:rPr>
                <w:rFonts w:ascii="Tinos" w:hAnsi="Tinos" w:cs="Calibri"/>
                <w:color w:val="000000"/>
              </w:rPr>
              <w:t xml:space="preserve">5</w:t>
            </w:r>
            <w:r>
              <w:rPr>
                <w:rFonts w:ascii="Tinos" w:hAnsi="Tinos" w:cs="Calibri"/>
                <w:color w:val="000000"/>
              </w:rPr>
              <w:t xml:space="preserve"> </w:t>
            </w:r>
            <w:r>
              <w:rPr>
                <w:rFonts w:cs="Calibri" w:asciiTheme="minorHAnsi" w:hAnsiTheme="minorHAnsi"/>
                <w:color w:val="000000"/>
              </w:rPr>
              <w:t xml:space="preserve">93</w:t>
            </w:r>
            <w:r>
              <w:rPr>
                <w:rFonts w:cs="Calibri" w:asciiTheme="minorHAnsi" w:hAnsiTheme="minorHAnsi"/>
                <w:color w:val="000000"/>
              </w:rPr>
              <w:t xml:space="preserve">6</w:t>
            </w:r>
            <w:r>
              <w:rPr>
                <w:rFonts w:cs="Calibri" w:asciiTheme="minorHAnsi" w:hAnsiTheme="minorHAnsi"/>
                <w:color w:val="000000"/>
              </w:rPr>
              <w:t xml:space="preserve"> </w:t>
            </w:r>
            <w:r>
              <w:rPr>
                <w:rFonts w:cs="Calibri" w:asciiTheme="minorHAnsi" w:hAnsiTheme="minorHAnsi"/>
                <w:color w:val="000000"/>
              </w:rPr>
              <w:t xml:space="preserve">692</w:t>
            </w:r>
            <w:r>
              <w:rPr>
                <w:rFonts w:cs="Calibri" w:asciiTheme="minorHAnsi" w:hAnsiTheme="minorHAnsi"/>
                <w:color w:val="000000"/>
              </w:rPr>
              <w:t xml:space="preserve">,00</w:t>
            </w:r>
            <w:r>
              <w:rPr>
                <w:rFonts w:ascii="Tinos" w:hAnsi="Tinos" w:cs="Calibri"/>
                <w:color w:val="000000"/>
              </w:rPr>
              <w:t xml:space="preserve">   </w:t>
            </w:r>
            <w:r>
              <w:rPr>
                <w:rFonts w:ascii="Tinos" w:hAnsi="Tinos" w:cs="Calibri"/>
                <w:color w:val="000000"/>
              </w:rPr>
            </w:r>
            <w:r>
              <w:rPr>
                <w:rFonts w:ascii="Tinos" w:hAnsi="Tinos" w:cs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  <w:t xml:space="preserve">21 702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  <w:t xml:space="preserve"> 607 521,33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1167" w:type="dxa"/>
            <w:vAlign w:val="center"/>
            <w:textDirection w:val="lrTb"/>
            <w:noWrap w:val="false"/>
          </w:tcPr>
          <w:p>
            <w:pPr>
              <w:ind w:left="-141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295 751,72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</w:rPr>
              <w:t xml:space="preserve"> 607 521,3</w:t>
            </w: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left="284"/>
        <w:jc w:val="both"/>
        <w:spacing w:before="120"/>
        <w:rPr>
          <w:i/>
          <w:sz w:val="22"/>
          <w:szCs w:val="22"/>
          <w:highlight w:val="white"/>
        </w:rPr>
      </w:pPr>
      <w:r>
        <w:rPr>
          <w:sz w:val="24"/>
          <w:szCs w:val="24"/>
        </w:rPr>
        <w:t xml:space="preserve">         </w:t>
      </w:r>
      <w:r>
        <w:rPr>
          <w:b/>
          <w:i/>
          <w:sz w:val="22"/>
          <w:szCs w:val="22"/>
        </w:rPr>
        <w:t xml:space="preserve">Начальная сумма цен единицы услуги и запасных ча</w:t>
      </w:r>
      <w:bookmarkStart w:id="0" w:name="_GoBack"/>
      <w:r/>
      <w:bookmarkEnd w:id="0"/>
      <w:r>
        <w:rPr>
          <w:b/>
          <w:i/>
          <w:sz w:val="22"/>
          <w:szCs w:val="22"/>
        </w:rPr>
        <w:t xml:space="preserve">стей </w:t>
      </w:r>
      <w:r>
        <w:rPr>
          <w:sz w:val="22"/>
          <w:szCs w:val="22"/>
        </w:rPr>
        <w:t xml:space="preserve">определена заказчиком в размере </w:t>
      </w:r>
      <w:r>
        <w:rPr>
          <w:b/>
          <w:bCs/>
        </w:rPr>
        <w:t xml:space="preserve">5 </w:t>
      </w:r>
      <w:r>
        <w:rPr>
          <w:b/>
          <w:bCs/>
        </w:rPr>
        <w:t xml:space="preserve">607</w:t>
      </w:r>
      <w:r>
        <w:rPr>
          <w:b/>
          <w:bCs/>
        </w:rPr>
        <w:t xml:space="preserve"> </w:t>
      </w:r>
      <w:r>
        <w:rPr>
          <w:b/>
          <w:bCs/>
        </w:rPr>
        <w:t xml:space="preserve">521</w:t>
      </w:r>
      <w:r>
        <w:rPr>
          <w:b/>
          <w:bCs/>
        </w:rPr>
        <w:t xml:space="preserve"> </w:t>
      </w:r>
      <w:r>
        <w:rPr>
          <w:b/>
          <w:i/>
          <w:sz w:val="24"/>
          <w:szCs w:val="24"/>
        </w:rPr>
        <w:t xml:space="preserve">(</w:t>
      </w:r>
      <w:r>
        <w:rPr>
          <w:b/>
          <w:i/>
          <w:sz w:val="22"/>
          <w:szCs w:val="22"/>
        </w:rPr>
        <w:t xml:space="preserve">пять</w:t>
      </w:r>
      <w:r>
        <w:rPr>
          <w:b/>
          <w:i/>
          <w:sz w:val="22"/>
          <w:szCs w:val="22"/>
        </w:rPr>
        <w:t xml:space="preserve"> миллион</w:t>
      </w:r>
      <w:r>
        <w:rPr>
          <w:b/>
          <w:i/>
          <w:sz w:val="22"/>
          <w:szCs w:val="22"/>
        </w:rPr>
        <w:t xml:space="preserve">ов</w:t>
      </w: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шестьсот семь</w:t>
      </w:r>
      <w:r>
        <w:rPr>
          <w:b/>
          <w:i/>
          <w:sz w:val="22"/>
          <w:szCs w:val="22"/>
        </w:rPr>
        <w:t xml:space="preserve"> тысяч </w:t>
      </w:r>
      <w:r>
        <w:rPr>
          <w:b/>
          <w:i/>
          <w:sz w:val="22"/>
          <w:szCs w:val="22"/>
        </w:rPr>
        <w:t xml:space="preserve">пятьсот два</w:t>
      </w:r>
      <w:r>
        <w:rPr>
          <w:b/>
          <w:i/>
          <w:sz w:val="22"/>
          <w:szCs w:val="22"/>
        </w:rPr>
        <w:t xml:space="preserve">дцать один</w:t>
      </w:r>
      <w:r>
        <w:rPr>
          <w:b/>
          <w:i/>
          <w:sz w:val="22"/>
          <w:szCs w:val="22"/>
        </w:rPr>
        <w:t xml:space="preserve">) руб</w:t>
      </w:r>
      <w:r>
        <w:rPr>
          <w:b/>
          <w:i/>
          <w:sz w:val="22"/>
          <w:szCs w:val="22"/>
        </w:rPr>
        <w:t xml:space="preserve">л</w:t>
      </w:r>
      <w:r>
        <w:rPr>
          <w:b/>
          <w:i/>
          <w:sz w:val="22"/>
          <w:szCs w:val="22"/>
        </w:rPr>
        <w:t xml:space="preserve">ь</w:t>
      </w: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38</w:t>
      </w:r>
      <w:r>
        <w:rPr>
          <w:b/>
          <w:i/>
          <w:sz w:val="22"/>
          <w:szCs w:val="22"/>
        </w:rPr>
        <w:t xml:space="preserve"> копе</w:t>
      </w:r>
      <w:r>
        <w:rPr>
          <w:b/>
          <w:i/>
          <w:sz w:val="22"/>
          <w:szCs w:val="22"/>
        </w:rPr>
        <w:t xml:space="preserve">ек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(Расчет начальной суммы це</w:t>
      </w:r>
      <w:r>
        <w:rPr>
          <w:sz w:val="22"/>
          <w:szCs w:val="22"/>
        </w:rPr>
        <w:t xml:space="preserve">н единицы услуги и запасных частей приведен отдельно в </w:t>
      </w:r>
      <w:r>
        <w:rPr>
          <w:i/>
          <w:sz w:val="22"/>
          <w:szCs w:val="22"/>
        </w:rPr>
        <w:t xml:space="preserve">прикрепленном файле формата </w:t>
      </w:r>
      <w:r>
        <w:rPr>
          <w:i/>
          <w:sz w:val="22"/>
          <w:szCs w:val="22"/>
          <w:lang w:val="en-US"/>
        </w:rPr>
        <w:t xml:space="preserve">Excel</w:t>
      </w:r>
      <w:r>
        <w:rPr>
          <w:i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 xml:space="preserve">(Расчет к </w:t>
      </w:r>
      <w:r>
        <w:rPr>
          <w:i/>
          <w:sz w:val="22"/>
          <w:szCs w:val="22"/>
        </w:rPr>
        <w:t xml:space="preserve">Приложению № 2 </w:t>
      </w:r>
      <w:r>
        <w:rPr>
          <w:i/>
          <w:sz w:val="22"/>
          <w:szCs w:val="22"/>
        </w:rPr>
        <w:t xml:space="preserve">объявлению о закуп</w:t>
      </w:r>
      <w:r>
        <w:rPr>
          <w:i/>
          <w:sz w:val="22"/>
          <w:szCs w:val="22"/>
          <w:highlight w:val="white"/>
        </w:rPr>
        <w:t xml:space="preserve">ке</w:t>
      </w:r>
      <w:r>
        <w:rPr>
          <w:i/>
          <w:sz w:val="22"/>
          <w:szCs w:val="22"/>
          <w:highlight w:val="white"/>
        </w:rPr>
        <w:t xml:space="preserve">)</w:t>
      </w:r>
      <w:r>
        <w:rPr>
          <w:i/>
          <w:sz w:val="22"/>
          <w:szCs w:val="22"/>
          <w:highlight w:val="white"/>
        </w:rPr>
        <w:t xml:space="preserve">).</w:t>
      </w:r>
      <w:r>
        <w:rPr>
          <w:i/>
          <w:sz w:val="22"/>
          <w:szCs w:val="22"/>
          <w:highlight w:val="white"/>
        </w:rPr>
      </w:r>
      <w:r>
        <w:rPr>
          <w:i/>
          <w:sz w:val="22"/>
          <w:szCs w:val="22"/>
          <w:highlight w:val="white"/>
        </w:rPr>
      </w:r>
    </w:p>
    <w:p>
      <w:pPr>
        <w:ind w:left="34" w:right="34" w:firstLine="533"/>
        <w:jc w:val="both"/>
        <w:spacing w:before="120"/>
        <w:rPr>
          <w:b/>
          <w:i/>
          <w:sz w:val="24"/>
          <w:szCs w:val="24"/>
        </w:rPr>
      </w:pPr>
      <w:r>
        <w:rPr>
          <w:sz w:val="22"/>
          <w:szCs w:val="22"/>
        </w:rPr>
        <w:t xml:space="preserve">Цена контракта сформирована с учетом </w:t>
      </w:r>
      <w:r>
        <w:rPr>
          <w:bCs/>
          <w:spacing w:val="-5"/>
          <w:sz w:val="22"/>
          <w:szCs w:val="22"/>
        </w:rPr>
        <w:t xml:space="preserve">всех расходов Исполнителя, </w:t>
      </w:r>
      <w:r>
        <w:rPr>
          <w:bCs/>
          <w:spacing w:val="-5"/>
          <w:sz w:val="22"/>
          <w:szCs w:val="22"/>
        </w:rPr>
        <w:t xml:space="preserve">производимых им в процессе оказания услуг, в том числе стоимости запасных частей, расходных материалов, использованных при проведении технического обслуживания и ремонта автотранспортных средств Заказчика, расходов на страхование, уплату налогов, сборов и </w:t>
      </w:r>
      <w:r>
        <w:rPr>
          <w:bCs/>
          <w:spacing w:val="-5"/>
          <w:sz w:val="22"/>
          <w:szCs w:val="22"/>
        </w:rPr>
        <w:t xml:space="preserve">других обязательных платежей,</w:t>
      </w:r>
      <w:r>
        <w:rPr>
          <w:bCs/>
          <w:spacing w:val="-5"/>
          <w:sz w:val="22"/>
          <w:szCs w:val="22"/>
        </w:rPr>
        <w:t xml:space="preserve"> и иных расходов Исполнителя, связанных с исполнением контракта.</w: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ind w:left="33" w:right="33" w:firstLine="283"/>
        <w:jc w:val="both"/>
        <w:tabs>
          <w:tab w:val="num" w:pos="900" w:leader="none"/>
        </w:tabs>
        <w:rPr>
          <w:b/>
          <w:i/>
          <w:sz w:val="24"/>
          <w:szCs w:val="24"/>
        </w:rPr>
      </w:pPr>
      <w:r>
        <w:rPr>
          <w:b/>
          <w:i/>
          <w:sz w:val="22"/>
          <w:szCs w:val="22"/>
        </w:rPr>
        <w:t xml:space="preserve">   Начальная (максимальная) цена контракта (максимальное значение цены контракта) составляет</w:t>
      </w:r>
      <w:r>
        <w:rPr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599 000 </w:t>
      </w:r>
      <w:r>
        <w:rPr>
          <w:b/>
          <w:i/>
          <w:sz w:val="24"/>
          <w:szCs w:val="24"/>
        </w:rPr>
        <w:t xml:space="preserve">(</w:t>
      </w:r>
      <w:r>
        <w:rPr>
          <w:b/>
          <w:i/>
          <w:sz w:val="24"/>
          <w:szCs w:val="24"/>
        </w:rPr>
        <w:t xml:space="preserve">пятьсот девяносто девять</w:t>
      </w:r>
      <w:r>
        <w:rPr>
          <w:b/>
          <w:i/>
          <w:sz w:val="24"/>
          <w:szCs w:val="24"/>
        </w:rPr>
        <w:t xml:space="preserve"> тысяч</w:t>
      </w:r>
      <w:r>
        <w:rPr>
          <w:b/>
          <w:i/>
          <w:sz w:val="24"/>
          <w:szCs w:val="24"/>
        </w:rPr>
        <w:t xml:space="preserve">) рублей 00 копеек.</w: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sectPr>
      <w:footnotePr/>
      <w:endnotePr/>
      <w:type w:val="nextPage"/>
      <w:pgSz w:w="16838" w:h="11906" w:orient="landscape"/>
      <w:pgMar w:top="426" w:right="395" w:bottom="0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00603000000000000"/>
  </w:font>
  <w:font w:name="ArialMT">
    <w:panose1 w:val="020B0604020202020204"/>
  </w:font>
  <w:font w:name="Segoe UI">
    <w:panose1 w:val="020B0502040204020203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character" w:styleId="656">
    <w:name w:val="Heading 2 Char"/>
    <w:basedOn w:val="833"/>
    <w:link w:val="832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1"/>
    <w:next w:val="831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3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3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3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3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3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3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3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1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3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3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3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3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3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3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3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2">
    <w:name w:val="Heading 2"/>
    <w:basedOn w:val="831"/>
    <w:next w:val="831"/>
    <w:link w:val="839"/>
    <w:uiPriority w:val="9"/>
    <w:unhideWhenUsed/>
    <w:qFormat/>
    <w:pPr>
      <w:ind w:firstLine="709"/>
      <w:jc w:val="both"/>
      <w:keepLines/>
      <w:keepNext/>
      <w:spacing w:before="40"/>
      <w:outlineLvl w:val="1"/>
    </w:pPr>
    <w:rPr>
      <w:rFonts w:eastAsiaTheme="majorEastAsia" w:cstheme="majorBidi"/>
      <w:b/>
      <w:sz w:val="26"/>
      <w:szCs w:val="26"/>
      <w:lang w:eastAsia="en-US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ConsPlusNonformat Знак"/>
    <w:link w:val="837"/>
    <w:rPr>
      <w:rFonts w:ascii="Courier New" w:hAnsi="Courier New" w:cs="Courier New"/>
    </w:rPr>
  </w:style>
  <w:style w:type="paragraph" w:styleId="837" w:customStyle="1">
    <w:name w:val="ConsPlusNonformat"/>
    <w:link w:val="836"/>
    <w:uiPriority w:val="99"/>
    <w:pPr>
      <w:spacing w:after="0" w:line="240" w:lineRule="auto"/>
      <w:widowControl w:val="off"/>
    </w:pPr>
    <w:rPr>
      <w:rFonts w:ascii="Courier New" w:hAnsi="Courier New" w:cs="Courier New"/>
    </w:rPr>
  </w:style>
  <w:style w:type="character" w:styleId="838" w:customStyle="1">
    <w:name w:val="Основной шрифт абзаца1"/>
    <w:rPr>
      <w:sz w:val="22"/>
    </w:rPr>
  </w:style>
  <w:style w:type="character" w:styleId="839" w:customStyle="1">
    <w:name w:val="Заголовок 2 Знак"/>
    <w:basedOn w:val="833"/>
    <w:link w:val="832"/>
    <w:uiPriority w:val="9"/>
    <w:rPr>
      <w:rFonts w:ascii="Times New Roman" w:hAnsi="Times New Roman" w:eastAsiaTheme="majorEastAsia" w:cstheme="majorBidi"/>
      <w:b/>
      <w:sz w:val="26"/>
      <w:szCs w:val="26"/>
    </w:rPr>
  </w:style>
  <w:style w:type="paragraph" w:styleId="840" w:customStyle="1">
    <w:name w:val="Основной текст 21"/>
    <w:basedOn w:val="831"/>
    <w:pPr>
      <w:ind w:firstLine="720"/>
      <w:jc w:val="both"/>
    </w:pPr>
    <w:rPr>
      <w:sz w:val="24"/>
      <w:szCs w:val="24"/>
    </w:rPr>
  </w:style>
  <w:style w:type="paragraph" w:styleId="841">
    <w:name w:val="Normal (Web)"/>
    <w:basedOn w:val="831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842">
    <w:name w:val="Balloon Text"/>
    <w:basedOn w:val="831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3"/>
    <w:link w:val="84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Ильченко Василий Петрович</dc:creator>
  <cp:keywords/>
  <dc:description/>
  <cp:lastModifiedBy>ivchinko.ai</cp:lastModifiedBy>
  <cp:revision>91</cp:revision>
  <dcterms:created xsi:type="dcterms:W3CDTF">2022-01-18T04:36:00Z</dcterms:created>
  <dcterms:modified xsi:type="dcterms:W3CDTF">2026-03-18T10:55:30Z</dcterms:modified>
</cp:coreProperties>
</file>