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ОБОСНОВАНИЕ НАЧАЛЬНОЙ (МАКСИМАЛЬНОЙ) ЦЕНЫ КОНТРАКТА</w:t>
      </w:r>
    </w:p>
    <w:p>
      <w:pPr>
        <w:pStyle w:val="Normal"/>
        <w:jc w:val="center"/>
        <w:rPr>
          <w:b/>
          <w:sz w:val="22"/>
        </w:rPr>
      </w:pPr>
      <w:r>
        <w:rPr>
          <w:b/>
          <w:sz w:val="22"/>
        </w:rPr>
        <w:t>на приобретение ГСМ и дизельное топливо через автозаправочные станции с использованием пластиковых топливных карт для нужд БНО ИЯИ РАН</w:t>
      </w:r>
    </w:p>
    <w:p>
      <w:pPr>
        <w:pStyle w:val="Normal"/>
        <w:rPr>
          <w:b/>
          <w:sz w:val="22"/>
        </w:rPr>
      </w:pPr>
      <w:r>
        <w:rPr>
          <w:b/>
          <w:sz w:val="22"/>
        </w:rPr>
      </w:r>
    </w:p>
    <w:p>
      <w:pPr>
        <w:pStyle w:val="Normal"/>
        <w:jc w:val="center"/>
        <w:rPr>
          <w:b/>
          <w:sz w:val="22"/>
        </w:rPr>
      </w:pPr>
      <w:r>
        <w:rPr>
          <w:b/>
          <w:sz w:val="22"/>
        </w:rPr>
      </w:r>
    </w:p>
    <w:p>
      <w:pPr>
        <w:pStyle w:val="NoSpacing"/>
        <w:jc w:val="both"/>
        <w:rPr>
          <w:sz w:val="22"/>
        </w:rPr>
      </w:pPr>
      <w:r>
        <w:rPr>
          <w:sz w:val="22"/>
        </w:rPr>
        <w:t xml:space="preserve">             </w:t>
      </w:r>
      <w:r>
        <w:rPr>
          <w:sz w:val="22"/>
        </w:rPr>
        <w:t>Предмет контракта: «Приобретение ГСМ (дизельное топливо) через автозаправочные станции с использованием пластиковых топливных карт для нужд БНО ИЯИ РАН.</w:t>
      </w:r>
    </w:p>
    <w:p>
      <w:pPr>
        <w:pStyle w:val="NoSpacing"/>
        <w:jc w:val="both"/>
        <w:rPr>
          <w:sz w:val="22"/>
        </w:rPr>
      </w:pPr>
      <w:r>
        <w:rPr>
          <w:sz w:val="22"/>
        </w:rPr>
        <w:t xml:space="preserve">             </w:t>
      </w:r>
      <w:r>
        <w:rPr>
          <w:sz w:val="22"/>
        </w:rPr>
        <w:t>Наименование товара: ГСМ и дизельное топливо</w:t>
      </w:r>
    </w:p>
    <w:p>
      <w:pPr>
        <w:pStyle w:val="NoSpacing"/>
        <w:jc w:val="both"/>
        <w:rPr>
          <w:sz w:val="22"/>
        </w:rPr>
      </w:pPr>
      <w:r>
        <w:rPr>
          <w:sz w:val="22"/>
        </w:rPr>
        <w:t xml:space="preserve"> </w:t>
      </w:r>
      <w:r>
        <w:rPr>
          <w:sz w:val="22"/>
        </w:rPr>
        <w:t xml:space="preserve">Используемый метод определения начальной (максимальной) цены контракта, цены единицы товара: </w:t>
      </w:r>
    </w:p>
    <w:p>
      <w:pPr>
        <w:pStyle w:val="NoSpacing"/>
        <w:jc w:val="both"/>
        <w:rPr>
          <w:sz w:val="22"/>
        </w:rPr>
      </w:pPr>
      <w:r>
        <w:rPr>
          <w:sz w:val="22"/>
        </w:rPr>
        <w:t xml:space="preserve">             </w:t>
      </w:r>
      <w:r>
        <w:rPr>
          <w:sz w:val="22"/>
          <w:u w:val="single"/>
        </w:rPr>
        <w:t xml:space="preserve">иной метод формирования </w:t>
      </w:r>
      <w:r>
        <w:rPr>
          <w:sz w:val="22"/>
        </w:rPr>
        <w:t xml:space="preserve">начальной (максимальной) цены контракта, цены единицы товара. </w:t>
      </w:r>
    </w:p>
    <w:p>
      <w:pPr>
        <w:pStyle w:val="NoSpacing"/>
        <w:jc w:val="both"/>
        <w:rPr>
          <w:sz w:val="22"/>
        </w:rPr>
      </w:pPr>
      <w:r>
        <w:rPr>
          <w:sz w:val="22"/>
        </w:rPr>
        <w:t xml:space="preserve">             </w:t>
      </w:r>
      <w:r>
        <w:rPr>
          <w:sz w:val="22"/>
          <w:u w:val="single"/>
        </w:rPr>
        <w:t xml:space="preserve">Обоснование невозможности применения методов, указанных в части 1 статьи 22 </w:t>
      </w:r>
      <w:r>
        <w:rPr>
          <w:sz w:val="22"/>
        </w:rPr>
        <w:t>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44-ФЗ):</w:t>
      </w:r>
    </w:p>
    <w:p>
      <w:pPr>
        <w:pStyle w:val="NoSpacing"/>
        <w:jc w:val="both"/>
        <w:rPr>
          <w:sz w:val="22"/>
        </w:rPr>
      </w:pPr>
      <w:r>
        <w:rPr>
          <w:sz w:val="22"/>
        </w:rPr>
        <w:t xml:space="preserve">            </w:t>
      </w:r>
      <w:r>
        <w:rPr>
          <w:sz w:val="22"/>
        </w:rPr>
        <w:t xml:space="preserve">Определение начальной (максимальной) цены единицы товара произведено на основании специальных правил определения цены: </w:t>
      </w:r>
      <w:r>
        <w:rPr>
          <w:rFonts w:ascii="Symbol" w:hAnsi="Symbol"/>
          <w:sz w:val="22"/>
        </w:rPr>
        <w:t></w:t>
      </w:r>
      <w:r>
        <w:rPr>
          <w:sz w:val="22"/>
        </w:rPr>
        <w:t xml:space="preserve"> часть 22 статьи 22 Закона 44-ФЗ, </w:t>
      </w:r>
      <w:r>
        <w:rPr>
          <w:rFonts w:ascii="Symbol" w:hAnsi="Symbol"/>
          <w:sz w:val="22"/>
        </w:rPr>
        <w:t></w:t>
      </w:r>
      <w:r>
        <w:rPr>
          <w:sz w:val="22"/>
        </w:rPr>
        <w:t xml:space="preserve"> Приказ ФАС России от 22.11.2024 N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(далее - Приказ 894/24). </w:t>
      </w:r>
    </w:p>
    <w:p>
      <w:pPr>
        <w:pStyle w:val="NoSpacing"/>
        <w:jc w:val="both"/>
        <w:rPr>
          <w:sz w:val="22"/>
        </w:rPr>
      </w:pPr>
      <w:r>
        <w:rPr>
          <w:sz w:val="22"/>
        </w:rPr>
        <w:t xml:space="preserve">           </w:t>
      </w:r>
      <w:r>
        <w:rPr>
          <w:sz w:val="22"/>
        </w:rPr>
        <w:t>Заказчик производит расчет начальной (максимальной) цены единицы товара в соответствии с пунктом 6 Порядка определения начальной (максимальной)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утвержденного Приказом 894/24.</w:t>
      </w:r>
    </w:p>
    <w:p>
      <w:pPr>
        <w:pStyle w:val="NoSpacing"/>
        <w:jc w:val="both"/>
        <w:rPr>
          <w:sz w:val="22"/>
        </w:rPr>
      </w:pPr>
      <w:r>
        <w:rPr>
          <w:sz w:val="22"/>
        </w:rPr>
        <w:t xml:space="preserve">           </w:t>
      </w:r>
      <w:r>
        <w:rPr>
          <w:sz w:val="22"/>
        </w:rPr>
        <w:t>В соответствии с пунктом 6 Порядка определения начальной (максимальной)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утвержденного Приказом 894/24, учитывается информация, опубликованная на официальном сайте Федеральной службы государственной статистики (</w:t>
      </w:r>
      <w:hyperlink r:id="rId2">
        <w:r>
          <w:rPr>
            <w:rStyle w:val="Hyperlink"/>
            <w:sz w:val="22"/>
          </w:rPr>
          <w:t>https://rosstat.gov.ru</w:t>
        </w:r>
      </w:hyperlink>
      <w:r>
        <w:rPr>
          <w:rStyle w:val="Hyperlink"/>
          <w:sz w:val="22"/>
        </w:rPr>
        <w:t xml:space="preserve"> - скриншот</w:t>
      </w:r>
      <w:r>
        <w:rPr>
          <w:sz w:val="22"/>
        </w:rPr>
        <w:t>) О ПОТРЕБИТЕЛЬСКИХ ЦЕНАХ НА НЕФТЕПРОДУКТЫ с июня 2026 года.</w:t>
      </w:r>
    </w:p>
    <w:p>
      <w:pPr>
        <w:pStyle w:val="NoSpacing"/>
        <w:jc w:val="both"/>
        <w:rPr>
          <w:sz w:val="22"/>
        </w:rPr>
      </w:pPr>
      <w:r>
        <w:rPr>
          <w:sz w:val="22"/>
        </w:rPr>
        <w:t xml:space="preserve">           </w:t>
      </w:r>
      <w:r>
        <w:rPr>
          <w:sz w:val="22"/>
        </w:rPr>
        <w:t>Планируемый срок поставки товара: с 02.07.2026. по 30.09.2026 г. включительно.</w:t>
      </w:r>
    </w:p>
    <w:p>
      <w:pPr>
        <w:pStyle w:val="Normal"/>
        <w:widowControl w:val="false"/>
        <w:ind w:firstLine="284"/>
        <w:jc w:val="both"/>
        <w:rPr>
          <w:sz w:val="22"/>
        </w:rPr>
      </w:pPr>
      <w:r>
        <w:rPr>
          <w:sz w:val="22"/>
        </w:rPr>
        <w:t xml:space="preserve">      </w:t>
      </w:r>
      <w:r>
        <w:rPr>
          <w:sz w:val="22"/>
        </w:rPr>
        <w:t>Способ поставки: поставка товара осуществляется на топливораздаточных колонках поставщика (АЗС, АЗК), посредствам отгрузки в бак (емкость) автомобильного транспорта.</w:t>
      </w:r>
    </w:p>
    <w:p>
      <w:pPr>
        <w:pStyle w:val="Normal"/>
        <w:widowControl w:val="false"/>
        <w:ind w:firstLine="284"/>
        <w:jc w:val="both"/>
        <w:rPr>
          <w:sz w:val="22"/>
        </w:rPr>
      </w:pPr>
      <w:r>
        <w:rPr>
          <w:sz w:val="22"/>
        </w:rPr>
        <w:t xml:space="preserve">      </w:t>
      </w:r>
      <w:r>
        <w:rPr>
          <w:sz w:val="22"/>
        </w:rPr>
        <w:t>Исполнение контракта предусматривает один этап, равный действию, заключенного  контракта, аванс не предусмотрен.</w:t>
      </w:r>
    </w:p>
    <w:p>
      <w:pPr>
        <w:pStyle w:val="Normal"/>
        <w:widowControl w:val="false"/>
        <w:ind w:firstLine="284"/>
        <w:jc w:val="both"/>
        <w:rPr>
          <w:sz w:val="22"/>
        </w:rPr>
      </w:pPr>
      <w:r>
        <w:rPr>
          <w:sz w:val="22"/>
        </w:rPr>
        <w:t xml:space="preserve">       </w:t>
      </w:r>
      <w:r>
        <w:rPr>
          <w:sz w:val="22"/>
        </w:rPr>
        <w:t>Регион поставки товара: Кабардино-Балкарская республика.</w:t>
      </w:r>
    </w:p>
    <w:p>
      <w:pPr>
        <w:pStyle w:val="Normal"/>
        <w:widowControl w:val="false"/>
        <w:ind w:firstLine="284"/>
        <w:jc w:val="both"/>
        <w:rPr>
          <w:sz w:val="22"/>
        </w:rPr>
      </w:pPr>
      <w:r>
        <w:rPr>
          <w:sz w:val="22"/>
        </w:rPr>
        <w:t>По состоянию на 15 июня 2026 по данным Росстата средние потребительские цены в Кабардино-Балкарской республике на бензин и дизельное топливо составили:</w:t>
      </w:r>
    </w:p>
    <w:tbl>
      <w:tblPr>
        <w:tblW w:w="9636" w:type="dxa"/>
        <w:jc w:val="start"/>
        <w:tblInd w:w="0" w:type="dxa"/>
        <w:tblLayout w:type="fixed"/>
        <w:tblCellMar>
          <w:top w:w="0" w:type="dxa"/>
          <w:start w:w="5" w:type="dxa"/>
          <w:bottom w:w="0" w:type="dxa"/>
          <w:end w:w="5" w:type="dxa"/>
        </w:tblCellMar>
        <w:tblLook w:firstRow="1" w:noVBand="1" w:lastRow="0" w:firstColumn="1" w:lastColumn="0" w:noHBand="0" w:val="04a0"/>
      </w:tblPr>
      <w:tblGrid>
        <w:gridCol w:w="2270"/>
        <w:gridCol w:w="3821"/>
        <w:gridCol w:w="2124"/>
        <w:gridCol w:w="1421"/>
      </w:tblGrid>
      <w:tr>
        <w:trPr/>
        <w:tc>
          <w:tcPr>
            <w:tcW w:w="2270" w:type="dxa"/>
            <w:vMerge w:val="restart"/>
            <w:tcBorders>
              <w:top w:val="single" w:sz="4" w:space="0" w:color="BFBFBF"/>
              <w:start w:val="single" w:sz="4" w:space="0" w:color="BFBFBF"/>
              <w:bottom w:val="single" w:sz="4" w:space="0" w:color="BFBFBF"/>
              <w:end w:val="single" w:sz="4" w:space="0" w:color="BFBFBF"/>
            </w:tcBorders>
            <w:shd w:color="auto" w:fill="EBEBEB" w:val="clear"/>
          </w:tcPr>
          <w:p>
            <w:pPr>
              <w:pStyle w:val="Normal"/>
              <w:rPr>
                <w:sz w:val="24"/>
              </w:rPr>
            </w:pPr>
            <w:r>
              <w:rPr>
                <w:color w:val="282A2E"/>
                <w:sz w:val="24"/>
              </w:rPr>
              <w:br/>
              <w:t>Бензин</w:t>
              <w:br/>
              <w:t>автомобильный</w:t>
            </w:r>
          </w:p>
        </w:tc>
        <w:tc>
          <w:tcPr>
            <w:tcW w:w="7366" w:type="dxa"/>
            <w:gridSpan w:val="3"/>
            <w:tcBorders>
              <w:top w:val="single" w:sz="4" w:space="0" w:color="BFBFBF"/>
              <w:start w:val="single" w:sz="4" w:space="0" w:color="BFBFBF"/>
              <w:bottom w:val="single" w:sz="4" w:space="0" w:color="BFBFBF"/>
              <w:end w:val="single" w:sz="4" w:space="0" w:color="BFBFBF"/>
            </w:tcBorders>
            <w:shd w:color="auto" w:fill="EBEBEB" w:val="clear"/>
          </w:tcPr>
          <w:p>
            <w:pPr>
              <w:pStyle w:val="Normal"/>
              <w:jc w:val="center"/>
              <w:rPr>
                <w:sz w:val="24"/>
              </w:rPr>
            </w:pPr>
            <w:r>
              <w:rPr>
                <w:color w:val="282A2E"/>
                <w:sz w:val="24"/>
              </w:rPr>
              <w:t>В том числе</w:t>
            </w:r>
          </w:p>
        </w:tc>
      </w:tr>
      <w:tr>
        <w:trPr>
          <w:trHeight w:val="844" w:hRule="atLeast"/>
        </w:trPr>
        <w:tc>
          <w:tcPr>
            <w:tcW w:w="2270" w:type="dxa"/>
            <w:vMerge w:val="continue"/>
            <w:tcBorders>
              <w:top w:val="single" w:sz="4" w:space="0" w:color="BFBFBF"/>
              <w:start w:val="single" w:sz="4" w:space="0" w:color="BFBFBF"/>
              <w:bottom w:val="single" w:sz="4" w:space="0" w:color="BFBFBF"/>
              <w:end w:val="single" w:sz="4" w:space="0" w:color="BFBFBF"/>
            </w:tcBorders>
            <w:shd w:color="auto" w:fill="EBEBEB" w:val="clear"/>
          </w:tcPr>
          <w:p>
            <w:pPr>
              <w:pStyle w:val="Normal"/>
              <w:rPr/>
            </w:pPr>
            <w:r>
              <w:rPr/>
            </w:r>
          </w:p>
        </w:tc>
        <w:tc>
          <w:tcPr>
            <w:tcW w:w="3821" w:type="dxa"/>
            <w:tcBorders>
              <w:top w:val="single" w:sz="4" w:space="0" w:color="BFBFBF"/>
              <w:start w:val="single" w:sz="4" w:space="0" w:color="BFBFBF"/>
              <w:bottom w:val="single" w:sz="4" w:space="0" w:color="BFBFBF"/>
              <w:end w:val="single" w:sz="4" w:space="0" w:color="BFBFBF"/>
            </w:tcBorders>
            <w:shd w:color="auto" w:fill="EBEBEB" w:val="clear"/>
          </w:tcPr>
          <w:p>
            <w:pPr>
              <w:pStyle w:val="Normal"/>
              <w:jc w:val="center"/>
              <w:rPr>
                <w:sz w:val="24"/>
              </w:rPr>
            </w:pPr>
            <w:r>
              <w:rPr>
                <w:color w:val="282A2E"/>
                <w:sz w:val="24"/>
              </w:rPr>
              <w:t>марки</w:t>
              <w:br/>
              <w:t>АИ-92</w:t>
            </w:r>
          </w:p>
        </w:tc>
        <w:tc>
          <w:tcPr>
            <w:tcW w:w="2124" w:type="dxa"/>
            <w:tcBorders>
              <w:top w:val="single" w:sz="4" w:space="0" w:color="BFBFBF"/>
              <w:start w:val="single" w:sz="4" w:space="0" w:color="BFBFBF"/>
              <w:bottom w:val="single" w:sz="4" w:space="0" w:color="BFBFBF"/>
              <w:end w:val="single" w:sz="4" w:space="0" w:color="BFBFBF"/>
            </w:tcBorders>
            <w:shd w:color="auto" w:fill="EBEBEB" w:val="clear"/>
          </w:tcPr>
          <w:p>
            <w:pPr>
              <w:pStyle w:val="Normal"/>
              <w:jc w:val="center"/>
              <w:rPr>
                <w:sz w:val="24"/>
              </w:rPr>
            </w:pPr>
            <w:r>
              <w:rPr>
                <w:color w:val="282A2E"/>
                <w:sz w:val="24"/>
              </w:rPr>
              <w:t>марки</w:t>
              <w:br/>
              <w:t>АИ-95</w:t>
            </w:r>
          </w:p>
        </w:tc>
        <w:tc>
          <w:tcPr>
            <w:tcW w:w="1421" w:type="dxa"/>
            <w:tcBorders>
              <w:top w:val="single" w:sz="4" w:space="0" w:color="BFBFBF"/>
              <w:start w:val="single" w:sz="4" w:space="0" w:color="BFBFBF"/>
              <w:bottom w:val="single" w:sz="4" w:space="0" w:color="BFBFBF"/>
              <w:end w:val="single" w:sz="4" w:space="0" w:color="BFBFBF"/>
            </w:tcBorders>
            <w:shd w:color="auto" w:fill="EBEBEB" w:val="clear"/>
          </w:tcPr>
          <w:p>
            <w:pPr>
              <w:pStyle w:val="Normal"/>
              <w:jc w:val="center"/>
              <w:rPr>
                <w:sz w:val="24"/>
              </w:rPr>
            </w:pPr>
            <w:r>
              <w:rPr>
                <w:color w:val="282A2E"/>
                <w:sz w:val="24"/>
              </w:rPr>
              <w:t>Дизельное</w:t>
              <w:br/>
              <w:t>топливо</w:t>
            </w:r>
          </w:p>
        </w:tc>
      </w:tr>
      <w:tr>
        <w:trPr/>
        <w:tc>
          <w:tcPr>
            <w:tcW w:w="2270" w:type="dxa"/>
            <w:tcBorders>
              <w:top w:val="single" w:sz="4" w:space="0" w:color="BFBFBF"/>
              <w:start w:val="single" w:sz="4" w:space="0" w:color="BFBFBF"/>
              <w:bottom w:val="single" w:sz="4" w:space="0" w:color="BFBFBF"/>
              <w:end w:val="single" w:sz="4" w:space="0" w:color="BFBFBF"/>
            </w:tcBorders>
            <w:vAlign w:val="bottom"/>
          </w:tcPr>
          <w:p>
            <w:pPr>
              <w:pStyle w:val="Normal"/>
              <w:spacing w:lineRule="atLeast" w:line="200"/>
              <w:ind w:start="85"/>
              <w:rPr>
                <w:sz w:val="24"/>
              </w:rPr>
            </w:pPr>
            <w:r>
              <w:rPr>
                <w:color w:val="282A2E"/>
                <w:sz w:val="24"/>
              </w:rPr>
              <w:t>Кабардино-Балкарская Республика</w:t>
            </w:r>
          </w:p>
        </w:tc>
        <w:tc>
          <w:tcPr>
            <w:tcW w:w="3821" w:type="dxa"/>
            <w:tcBorders>
              <w:top w:val="single" w:sz="4" w:space="0" w:color="BFBFBF"/>
              <w:start w:val="single" w:sz="4" w:space="0" w:color="BFBFBF"/>
              <w:bottom w:val="single" w:sz="4" w:space="0" w:color="BFBFBF"/>
              <w:end w:val="single" w:sz="4" w:space="0" w:color="BFBFBF"/>
            </w:tcBorders>
            <w:vAlign w:val="bottom"/>
          </w:tcPr>
          <w:p>
            <w:pPr>
              <w:pStyle w:val="Normal"/>
              <w:spacing w:lineRule="atLeast" w:line="200"/>
              <w:ind w:start="171" w:end="511"/>
              <w:rPr>
                <w:sz w:val="24"/>
              </w:rPr>
            </w:pPr>
            <w:r>
              <w:rPr>
                <w:sz w:val="24"/>
              </w:rPr>
              <w:t>67,55</w:t>
            </w:r>
          </w:p>
        </w:tc>
        <w:tc>
          <w:tcPr>
            <w:tcW w:w="2124" w:type="dxa"/>
            <w:tcBorders>
              <w:top w:val="single" w:sz="4" w:space="0" w:color="BFBFBF"/>
              <w:start w:val="single" w:sz="4" w:space="0" w:color="BFBFBF"/>
              <w:bottom w:val="single" w:sz="4" w:space="0" w:color="BFBFBF"/>
              <w:end w:val="single" w:sz="4" w:space="0" w:color="BFBFBF"/>
            </w:tcBorders>
            <w:vAlign w:val="bottom"/>
          </w:tcPr>
          <w:p>
            <w:pPr>
              <w:pStyle w:val="Normal"/>
              <w:spacing w:lineRule="atLeast" w:line="200"/>
              <w:ind w:end="511"/>
              <w:rPr>
                <w:sz w:val="24"/>
              </w:rPr>
            </w:pPr>
            <w:r>
              <w:rPr>
                <w:sz w:val="24"/>
              </w:rPr>
              <w:t>75,15</w:t>
            </w:r>
          </w:p>
        </w:tc>
        <w:tc>
          <w:tcPr>
            <w:tcW w:w="1421" w:type="dxa"/>
            <w:tcBorders>
              <w:top w:val="single" w:sz="4" w:space="0" w:color="BFBFBF"/>
              <w:start w:val="single" w:sz="4" w:space="0" w:color="BFBFBF"/>
              <w:bottom w:val="single" w:sz="4" w:space="0" w:color="BFBFBF"/>
              <w:end w:val="single" w:sz="4" w:space="0" w:color="BFBFBF"/>
            </w:tcBorders>
            <w:vAlign w:val="bottom"/>
          </w:tcPr>
          <w:p>
            <w:pPr>
              <w:pStyle w:val="Normal"/>
              <w:spacing w:lineRule="atLeast" w:line="200"/>
              <w:ind w:start="171" w:end="511"/>
              <w:rPr>
                <w:sz w:val="24"/>
              </w:rPr>
            </w:pPr>
            <w:r>
              <w:rPr>
                <w:sz w:val="24"/>
              </w:rPr>
              <w:t>76,43</w:t>
            </w:r>
          </w:p>
        </w:tc>
      </w:tr>
    </w:tbl>
    <w:p>
      <w:pPr>
        <w:pStyle w:val="Normal"/>
        <w:widowControl w:val="false"/>
        <w:ind w:firstLine="284"/>
        <w:jc w:val="both"/>
        <w:rPr>
          <w:sz w:val="22"/>
        </w:rPr>
      </w:pPr>
      <w:r>
        <w:rPr>
          <w:sz w:val="22"/>
        </w:rPr>
      </w:r>
    </w:p>
    <w:p>
      <w:pPr>
        <w:pStyle w:val="Normal"/>
        <w:widowControl w:val="false"/>
        <w:ind w:firstLine="284"/>
        <w:jc w:val="both"/>
        <w:rPr>
          <w:sz w:val="24"/>
        </w:rPr>
      </w:pPr>
      <w:r>
        <w:rPr>
          <w:sz w:val="24"/>
        </w:rPr>
      </w:r>
    </w:p>
    <w:p>
      <w:pPr>
        <w:pStyle w:val="NoSpacing"/>
        <w:jc w:val="both"/>
        <w:rPr>
          <w:sz w:val="22"/>
        </w:rPr>
      </w:pPr>
      <w:r>
        <w:rPr>
          <w:sz w:val="22"/>
        </w:rPr>
        <w:t xml:space="preserve">          </w:t>
      </w:r>
      <w:r>
        <w:rPr>
          <w:sz w:val="22"/>
        </w:rPr>
        <w:t>В соответствии с пунктом 7 Порядка определения начальной (максимальной)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утвержденного Приказом 894/24, дополнительно с учетом условий поставки Товара, в том числе сроков и объемов поставки, наличия авансирования, порядка расчетов за поставленный Товар, применяется коэффициент стоимости отвлечения денежных средств при предоставлении отсрочки платежа в размере текущей ставки рефинансирования Банка России:</w:t>
      </w:r>
    </w:p>
    <w:p>
      <w:pPr>
        <w:pStyle w:val="Normal"/>
        <w:widowControl w:val="false"/>
        <w:ind w:firstLine="284"/>
        <w:jc w:val="both"/>
        <w:rPr>
          <w:sz w:val="22"/>
        </w:rPr>
      </w:pPr>
      <w:r>
        <w:rPr>
          <w:sz w:val="22"/>
        </w:rPr>
        <w:t xml:space="preserve">    </w:t>
      </w:r>
      <w:r>
        <w:rPr>
          <w:sz w:val="22"/>
        </w:rPr>
        <w:t>Учитывая планируемый срок поставки товара с июля 2025 по сентябрь 2025 года включительно, оплату по факту поставки товара считаем возможным при расчете стоимости  начальной цены единицы товара применить коэффициент отвлечения денежных средств, рассчитанный по ниже приведенной формуле.</w:t>
      </w:r>
    </w:p>
    <w:p>
      <w:pPr>
        <w:pStyle w:val="Normal"/>
        <w:widowControl w:val="false"/>
        <w:ind w:firstLine="851" w:start="-567"/>
        <w:jc w:val="both"/>
        <w:rPr>
          <w:sz w:val="24"/>
        </w:rPr>
      </w:pPr>
      <w:r>
        <w:rPr>
          <w:sz w:val="24"/>
        </w:rPr>
      </w:r>
    </w:p>
    <w:p>
      <w:pPr>
        <w:pStyle w:val="Normal"/>
        <w:widowControl w:val="false"/>
        <w:ind w:firstLine="851" w:start="-567"/>
        <w:jc w:val="both"/>
        <w:rPr>
          <w:b/>
          <w:sz w:val="24"/>
        </w:rPr>
      </w:pPr>
      <w:r>
        <w:rPr>
          <w:b/>
          <w:sz w:val="24"/>
        </w:rPr>
        <w:t>Расчет коэффициента осуществляется по следующей формуле:</w:t>
      </w:r>
    </w:p>
    <w:p>
      <w:pPr>
        <w:pStyle w:val="Normal"/>
        <w:widowControl w:val="false"/>
        <w:ind w:firstLine="851" w:start="-567"/>
        <w:jc w:val="both"/>
        <w:rPr>
          <w:sz w:val="24"/>
        </w:rPr>
      </w:pPr>
      <w:r>
        <w:rPr>
          <w:sz w:val="24"/>
        </w:rPr>
      </w:r>
    </w:p>
    <w:p>
      <w:pPr>
        <w:pStyle w:val="Footnote1"/>
        <w:rPr>
          <w:color w:val="000000"/>
          <w:sz w:val="22"/>
        </w:rPr>
      </w:pPr>
      <w:r>
        <w:rPr>
          <w:color w:val="000000"/>
          <w:sz w:val="22"/>
        </w:rPr>
        <w:t>Кодс = (Кцб/100)/12*N + 1</w:t>
      </w:r>
    </w:p>
    <w:p>
      <w:pPr>
        <w:pStyle w:val="Footnote1"/>
        <w:rPr>
          <w:b w:val="false"/>
          <w:color w:val="000000"/>
          <w:sz w:val="22"/>
        </w:rPr>
      </w:pPr>
      <w:r>
        <w:rPr>
          <w:b w:val="false"/>
          <w:color w:val="000000"/>
          <w:sz w:val="22"/>
        </w:rPr>
      </w:r>
    </w:p>
    <w:p>
      <w:pPr>
        <w:pStyle w:val="Footnote1"/>
        <w:rPr>
          <w:b w:val="false"/>
          <w:color w:val="000000"/>
          <w:sz w:val="22"/>
        </w:rPr>
      </w:pPr>
      <w:r>
        <w:rPr>
          <w:b w:val="false"/>
          <w:color w:val="000000"/>
          <w:sz w:val="22"/>
        </w:rPr>
        <w:t>Где Кодс – коэффициент отвлечения денежных средств</w:t>
      </w:r>
    </w:p>
    <w:p>
      <w:pPr>
        <w:pStyle w:val="Footnote1"/>
        <w:rPr>
          <w:b w:val="false"/>
          <w:color w:val="000000"/>
          <w:sz w:val="22"/>
        </w:rPr>
      </w:pPr>
      <w:r>
        <w:rPr>
          <w:b w:val="false"/>
          <w:color w:val="000000"/>
          <w:sz w:val="22"/>
        </w:rPr>
        <w:t xml:space="preserve">Кцб – ставка рефинансирования (ключевая ставка) на момент расчета, % -  15% </w:t>
      </w:r>
    </w:p>
    <w:p>
      <w:pPr>
        <w:pStyle w:val="Normal"/>
        <w:spacing w:before="0" w:after="0"/>
        <w:ind w:firstLine="709"/>
        <w:contextualSpacing/>
        <w:rPr>
          <w:sz w:val="22"/>
        </w:rPr>
      </w:pPr>
      <w:r>
        <w:rPr>
          <w:sz w:val="22"/>
        </w:rPr>
        <w:t>N - количество месяцев исполнения контракта, с учетом приемки и оплаты - 3 месяца</w:t>
      </w:r>
    </w:p>
    <w:p>
      <w:pPr>
        <w:pStyle w:val="Normal"/>
        <w:spacing w:before="0" w:after="0"/>
        <w:ind w:firstLine="709"/>
        <w:contextualSpacing/>
        <w:rPr>
          <w:sz w:val="22"/>
        </w:rPr>
      </w:pPr>
      <w:r>
        <w:rPr>
          <w:sz w:val="22"/>
        </w:rPr>
        <w:t xml:space="preserve">                            </w:t>
      </w:r>
      <w:r>
        <w:rPr>
          <w:sz w:val="22"/>
        </w:rPr>
        <w:t>Расчёт Кодс = (15/100)/12*3+1 = 1,0041</w:t>
      </w:r>
    </w:p>
    <w:p>
      <w:pPr>
        <w:pStyle w:val="Normal"/>
        <w:spacing w:before="0" w:after="0"/>
        <w:ind w:firstLine="709"/>
        <w:contextualSpacing/>
        <w:rPr>
          <w:sz w:val="22"/>
        </w:rPr>
      </w:pPr>
      <w:r>
        <w:rPr>
          <w:sz w:val="22"/>
        </w:rPr>
      </w:r>
    </w:p>
    <w:p>
      <w:pPr>
        <w:pStyle w:val="Normal"/>
        <w:spacing w:before="0" w:after="0"/>
        <w:ind w:firstLine="709"/>
        <w:contextualSpacing/>
        <w:rPr>
          <w:sz w:val="22"/>
        </w:rPr>
      </w:pPr>
      <w:r>
        <w:rPr>
          <w:sz w:val="22"/>
        </w:rPr>
        <w:t>Валюта, используемая для формирования цены контракта и расчетов с поставщиком (подрядчиком, исполнителем) – Российский рубль.</w:t>
      </w:r>
    </w:p>
    <w:p>
      <w:pPr>
        <w:pStyle w:val="Normal"/>
        <w:spacing w:before="0" w:after="0"/>
        <w:ind w:firstLine="709"/>
        <w:contextualSpacing/>
        <w:rPr>
          <w:sz w:val="22"/>
        </w:rPr>
      </w:pPr>
      <w:r>
        <w:rPr>
          <w:sz w:val="22"/>
        </w:rPr>
      </w:r>
    </w:p>
    <w:p>
      <w:pPr>
        <w:pStyle w:val="Normal"/>
        <w:widowControl w:val="false"/>
        <w:ind w:firstLine="284" w:start="-284" w:end="-793"/>
        <w:rPr>
          <w:b/>
          <w:sz w:val="22"/>
        </w:rPr>
      </w:pPr>
      <w:r>
        <w:rPr>
          <w:b/>
          <w:sz w:val="22"/>
        </w:rPr>
        <w:t xml:space="preserve">             </w:t>
      </w:r>
      <w:r>
        <w:rPr>
          <w:b/>
          <w:sz w:val="22"/>
        </w:rPr>
        <w:t>По итогам расчетов НМЦК, цена единицы (бензин марки АИ-92) товара составила –</w:t>
      </w:r>
      <w:r>
        <w:rPr>
          <w:sz w:val="22"/>
        </w:rPr>
        <w:t xml:space="preserve"> 67,55</w:t>
      </w:r>
      <w:r>
        <w:rPr>
          <w:b/>
          <w:sz w:val="22"/>
        </w:rPr>
        <w:t>*1,0041=67.82 руб</w:t>
      </w:r>
      <w:r>
        <w:rPr>
          <w:sz w:val="22"/>
        </w:rPr>
        <w:t xml:space="preserve">. </w:t>
      </w:r>
      <w:r>
        <w:rPr>
          <w:b/>
          <w:sz w:val="22"/>
        </w:rPr>
        <w:t>*692,32л = 4</w:t>
      </w:r>
      <w:r>
        <w:rPr>
          <w:b/>
          <w:sz w:val="22"/>
        </w:rPr>
        <w:t>6953,14</w:t>
      </w:r>
      <w:r>
        <w:rPr>
          <w:b/>
          <w:sz w:val="22"/>
        </w:rPr>
        <w:t xml:space="preserve"> р.</w:t>
      </w:r>
    </w:p>
    <w:p>
      <w:pPr>
        <w:pStyle w:val="Normal"/>
        <w:widowControl w:val="false"/>
        <w:ind w:firstLine="284" w:start="-284" w:end="-793"/>
        <w:rPr>
          <w:b/>
          <w:sz w:val="24"/>
        </w:rPr>
      </w:pPr>
      <w:r>
        <w:rPr>
          <w:b/>
          <w:sz w:val="24"/>
        </w:rPr>
        <w:t>По итогам расчетов НМЦК, цена единицы (бензин марки АИ-95) товара составила –</w:t>
      </w:r>
      <w:r>
        <w:rPr>
          <w:sz w:val="24"/>
        </w:rPr>
        <w:t xml:space="preserve"> 75,15</w:t>
      </w:r>
      <w:r>
        <w:rPr>
          <w:b/>
          <w:sz w:val="24"/>
        </w:rPr>
        <w:t>*1,0041=75.45 руб.</w:t>
      </w:r>
      <w:r>
        <w:rPr>
          <w:b/>
          <w:sz w:val="22"/>
        </w:rPr>
        <w:t xml:space="preserve"> *1500л=113</w:t>
      </w:r>
      <w:r>
        <w:rPr>
          <w:b/>
          <w:sz w:val="22"/>
        </w:rPr>
        <w:t>175</w:t>
      </w:r>
      <w:r>
        <w:rPr>
          <w:b/>
          <w:sz w:val="22"/>
        </w:rPr>
        <w:t>р.</w:t>
      </w:r>
    </w:p>
    <w:p>
      <w:pPr>
        <w:pStyle w:val="Normal"/>
        <w:widowControl w:val="false"/>
        <w:ind w:firstLine="284" w:start="-284" w:end="-793"/>
        <w:rPr>
          <w:b/>
          <w:sz w:val="24"/>
        </w:rPr>
      </w:pPr>
      <w:r>
        <w:rPr>
          <w:b/>
          <w:sz w:val="24"/>
        </w:rPr>
      </w:r>
    </w:p>
    <w:p>
      <w:pPr>
        <w:pStyle w:val="Normal"/>
        <w:widowControl w:val="false"/>
        <w:ind w:firstLine="284" w:start="-284" w:end="-793"/>
        <w:rPr>
          <w:b/>
          <w:sz w:val="24"/>
        </w:rPr>
      </w:pPr>
      <w:r>
        <w:rPr>
          <w:b/>
          <w:sz w:val="24"/>
        </w:rPr>
        <w:t>По итогам расчетов НМЦК, цена единицы (дизельное топливо) товара составила–</w:t>
      </w:r>
      <w:r>
        <w:rPr>
          <w:sz w:val="24"/>
        </w:rPr>
        <w:t xml:space="preserve"> </w:t>
      </w:r>
      <w:r>
        <w:rPr>
          <w:b/>
          <w:sz w:val="24"/>
        </w:rPr>
        <w:t>76,43*1,0041=76.74руб.</w:t>
      </w:r>
      <w:r>
        <w:rPr>
          <w:b/>
          <w:sz w:val="22"/>
        </w:rPr>
        <w:t xml:space="preserve"> *2800 л=214</w:t>
      </w:r>
      <w:r>
        <w:rPr>
          <w:b/>
          <w:sz w:val="22"/>
        </w:rPr>
        <w:t>872</w:t>
      </w:r>
      <w:r>
        <w:rPr>
          <w:b/>
          <w:sz w:val="24"/>
        </w:rPr>
        <w:t xml:space="preserve"> р.</w:t>
      </w:r>
    </w:p>
    <w:p>
      <w:pPr>
        <w:pStyle w:val="Normal"/>
        <w:widowControl w:val="false"/>
        <w:ind w:firstLine="284" w:start="-284" w:end="-793"/>
        <w:rPr>
          <w:b/>
          <w:sz w:val="22"/>
        </w:rPr>
      </w:pPr>
      <w:r>
        <w:rPr>
          <w:b/>
          <w:sz w:val="22"/>
        </w:rPr>
      </w:r>
    </w:p>
    <w:p>
      <w:pPr>
        <w:pStyle w:val="NoSpacing"/>
        <w:ind w:firstLine="426"/>
        <w:jc w:val="both"/>
        <w:rPr>
          <w:u w:val="single"/>
        </w:rPr>
      </w:pPr>
      <w:r>
        <w:rPr/>
        <w:t>В соответствии с Постановлением Правительства РФ от 13 января 2014 г. № 19</w:t>
        <w:br/>
        <w:t xml:space="preserve">"Об установлении случаев, в которых при заключении контракта указываются формула цены и максимальное значение цены контракта", при заключении контракта на поставку топлива моторного, включая автомобильный и авиационный бензин, указываются </w:t>
      </w:r>
      <w:r>
        <w:rPr>
          <w:u w:val="single"/>
        </w:rPr>
        <w:t>формула цены</w:t>
      </w:r>
      <w:r>
        <w:rPr/>
        <w:t xml:space="preserve"> и </w:t>
      </w:r>
      <w:r>
        <w:rPr>
          <w:u w:val="single"/>
        </w:rPr>
        <w:t>максимальное значение цены контракта.</w:t>
      </w:r>
    </w:p>
    <w:p>
      <w:pPr>
        <w:pStyle w:val="NoSpacing"/>
        <w:ind w:firstLine="993" w:start="-567"/>
        <w:jc w:val="both"/>
        <w:rPr/>
      </w:pPr>
      <w:r>
        <w:rPr/>
      </w:r>
    </w:p>
    <w:p>
      <w:pPr>
        <w:pStyle w:val="NoSpacing"/>
        <w:ind w:firstLine="993" w:start="-567"/>
        <w:jc w:val="both"/>
        <w:rPr/>
      </w:pPr>
      <w:r>
        <w:rPr/>
        <w:t>Формула цены контракта:</w:t>
      </w:r>
    </w:p>
    <w:p>
      <w:pPr>
        <w:pStyle w:val="NoSpacing"/>
        <w:ind w:firstLine="993" w:start="-567"/>
        <w:jc w:val="both"/>
        <w:rPr/>
      </w:pPr>
      <w:r>
        <w:rPr/>
      </w:r>
    </w:p>
    <w:p>
      <w:pPr>
        <w:pStyle w:val="NoSpacing"/>
        <w:ind w:firstLine="426"/>
        <w:jc w:val="both"/>
        <w:rPr/>
      </w:pPr>
      <w:r>
        <w:rPr/>
        <w:t>Максимальное значение цены контракта – цена, предложенная по итогам проведения электронного аукциона победителем аукциона</w:t>
      </w:r>
    </w:p>
    <w:p>
      <w:pPr>
        <w:pStyle w:val="NoSpacing"/>
        <w:ind w:firstLine="993" w:start="-567"/>
        <w:jc w:val="both"/>
        <w:rPr/>
      </w:pPr>
      <w:r>
        <w:rPr/>
        <w:t>Формула цены контракта (ЦК):</w:t>
      </w:r>
    </w:p>
    <w:p>
      <w:pPr>
        <w:pStyle w:val="NoSpacing"/>
        <w:ind w:firstLine="993" w:start="-567"/>
        <w:jc w:val="both"/>
        <w:rPr/>
      </w:pPr>
      <w:r>
        <w:rPr/>
      </w:r>
    </w:p>
    <w:p>
      <w:pPr>
        <w:pStyle w:val="NoSpacing"/>
        <w:ind w:firstLine="993" w:start="-567"/>
        <w:jc w:val="both"/>
        <w:rPr/>
      </w:pPr>
      <w:r>
        <w:rPr/>
        <w:t xml:space="preserve">ЦК = (Стоимость </w:t>
      </w:r>
      <w:r>
        <w:rPr>
          <w:vertAlign w:val="subscript"/>
        </w:rPr>
        <w:t xml:space="preserve">т </w:t>
      </w:r>
      <w:r>
        <w:rPr/>
        <w:t xml:space="preserve">х Кол-во </w:t>
      </w:r>
      <w:r>
        <w:rPr>
          <w:vertAlign w:val="subscript"/>
        </w:rPr>
        <w:t>т</w:t>
      </w:r>
      <w:r>
        <w:rPr/>
        <w:t xml:space="preserve">) х К </w:t>
      </w:r>
      <w:r>
        <w:rPr>
          <w:vertAlign w:val="subscript"/>
        </w:rPr>
        <w:t>пон</w:t>
      </w:r>
    </w:p>
    <w:p>
      <w:pPr>
        <w:pStyle w:val="NoSpacing"/>
        <w:ind w:firstLine="993" w:start="-567"/>
        <w:jc w:val="both"/>
        <w:rPr/>
      </w:pPr>
      <w:r>
        <w:rPr/>
      </w:r>
    </w:p>
    <w:p>
      <w:pPr>
        <w:pStyle w:val="NoSpacing"/>
        <w:ind w:firstLine="993" w:start="-567"/>
        <w:jc w:val="both"/>
        <w:rPr/>
      </w:pPr>
      <w:r>
        <w:rPr/>
        <w:t>ЦК – цена контракта;</w:t>
      </w:r>
    </w:p>
    <w:p>
      <w:pPr>
        <w:pStyle w:val="NoSpacing"/>
        <w:ind w:firstLine="993" w:start="-567"/>
        <w:jc w:val="both"/>
        <w:rPr/>
      </w:pPr>
      <w:r>
        <w:rPr/>
        <w:t xml:space="preserve">Стоимость </w:t>
      </w:r>
      <w:r>
        <w:rPr>
          <w:vertAlign w:val="subscript"/>
        </w:rPr>
        <w:t>т</w:t>
      </w:r>
      <w:r>
        <w:rPr/>
        <w:t xml:space="preserve"> – средняя стоимость 1 литра топлива, определенная в рамках обоснования НМЦК;</w:t>
      </w:r>
    </w:p>
    <w:p>
      <w:pPr>
        <w:pStyle w:val="NoSpacing"/>
        <w:ind w:firstLine="993" w:start="-567"/>
        <w:jc w:val="both"/>
        <w:rPr/>
      </w:pPr>
      <w:r>
        <w:rPr/>
        <w:t xml:space="preserve">Кол-во </w:t>
      </w:r>
      <w:r>
        <w:rPr>
          <w:vertAlign w:val="subscript"/>
        </w:rPr>
        <w:t xml:space="preserve">т </w:t>
      </w:r>
      <w:r>
        <w:rPr/>
        <w:t>– количество топлива, поставляемого по контракту;</w:t>
      </w:r>
    </w:p>
    <w:p>
      <w:pPr>
        <w:pStyle w:val="NoSpacing"/>
        <w:ind w:firstLine="426"/>
        <w:jc w:val="both"/>
        <w:rPr/>
      </w:pPr>
      <w:r>
        <w:rPr/>
        <w:t xml:space="preserve">К </w:t>
      </w:r>
      <w:r>
        <w:rPr>
          <w:vertAlign w:val="subscript"/>
        </w:rPr>
        <w:t xml:space="preserve">пон </w:t>
      </w:r>
      <w:r>
        <w:rPr/>
        <w:t>– понижающий коэффициент, определяемый как отношение предложенной победителем аукциона (или участником закупки, с которым заключается контракт) цены контракта к начальной (максимальной) цене контракта.</w:t>
      </w:r>
    </w:p>
    <w:p>
      <w:pPr>
        <w:pStyle w:val="Normal"/>
        <w:widowControl w:val="false"/>
        <w:jc w:val="both"/>
        <w:rPr>
          <w:b/>
          <w:sz w:val="22"/>
        </w:rPr>
      </w:pPr>
      <w:r>
        <w:rPr>
          <w:b/>
          <w:sz w:val="22"/>
        </w:rPr>
      </w:r>
    </w:p>
    <w:p>
      <w:pPr>
        <w:pStyle w:val="Normal"/>
        <w:widowControl w:val="false"/>
        <w:jc w:val="both"/>
        <w:rPr>
          <w:b/>
          <w:sz w:val="22"/>
        </w:rPr>
      </w:pPr>
      <w:r>
        <w:rPr>
          <w:b/>
          <w:sz w:val="22"/>
        </w:rPr>
        <w:t>Максимальное значение цены контракта составляет: 375</w:t>
      </w:r>
      <w:r>
        <w:rPr>
          <w:b/>
          <w:sz w:val="22"/>
        </w:rPr>
        <w:t>0</w:t>
      </w:r>
      <w:r>
        <w:rPr>
          <w:b/>
          <w:sz w:val="22"/>
        </w:rPr>
        <w:t>00 (триста семьдесят пять тысяч ) рубл</w:t>
      </w:r>
      <w:r>
        <w:rPr>
          <w:b/>
          <w:sz w:val="22"/>
        </w:rPr>
        <w:t>ей</w:t>
      </w:r>
      <w:r>
        <w:rPr>
          <w:b/>
          <w:sz w:val="22"/>
        </w:rPr>
        <w:t xml:space="preserve"> </w:t>
      </w:r>
      <w:bookmarkStart w:id="0" w:name="_GoBack"/>
      <w:bookmarkEnd w:id="0"/>
      <w:r>
        <w:rPr>
          <w:b/>
          <w:sz w:val="22"/>
        </w:rPr>
        <w:t>00</w:t>
      </w:r>
      <w:r>
        <w:rPr>
          <w:b/>
          <w:sz w:val="22"/>
        </w:rPr>
        <w:t xml:space="preserve"> копеек.</w:t>
      </w:r>
    </w:p>
    <w:p>
      <w:pPr>
        <w:pStyle w:val="Normal"/>
        <w:widowControl w:val="false"/>
        <w:jc w:val="both"/>
        <w:rPr>
          <w:i/>
          <w:sz w:val="22"/>
        </w:rPr>
      </w:pPr>
      <w:r>
        <w:rPr>
          <w:sz w:val="22"/>
        </w:rPr>
        <w:t xml:space="preserve">            </w:t>
      </w:r>
      <w:r>
        <w:rPr>
          <w:i/>
          <w:sz w:val="22"/>
        </w:rPr>
        <w:t>В соответствии с п. 1 ч. 13 ст. 34 и ч. 24 ст. 22 Федерального закона от 05.04.2013 № 44-ФЗ,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
    <w:p>
      <w:pPr>
        <w:pStyle w:val="Normal"/>
        <w:widowControl w:val="false"/>
        <w:jc w:val="both"/>
        <w:rPr>
          <w:b/>
          <w:sz w:val="22"/>
        </w:rPr>
      </w:pPr>
      <w:r>
        <w:rPr>
          <w:b/>
          <w:sz w:val="22"/>
        </w:rPr>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sz w:val="22"/>
        </w:rPr>
        <w:t xml:space="preserve">Обоснование для расчёта основных цифровых показателей в соответствии с графическими </w:t>
      </w:r>
    </w:p>
    <w:p>
      <w:pPr>
        <w:pStyle w:val="Normal"/>
        <w:widowControl w:val="false"/>
        <w:ind w:firstLine="284" w:start="-284" w:end="-793"/>
        <w:jc w:val="both"/>
        <w:rPr>
          <w:sz w:val="22"/>
        </w:rPr>
      </w:pPr>
      <w:r>
        <w:rPr>
          <w:sz w:val="22"/>
        </w:rPr>
        <w:t>изображениями (скриншоты)</w:t>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08"/>
        <w:rPr>
          <w:sz w:val="22"/>
        </w:rPr>
      </w:pPr>
      <w:r>
        <w:rPr>
          <w:sz w:val="22"/>
        </w:rPr>
      </w:r>
    </w:p>
    <w:p>
      <w:pPr>
        <w:pStyle w:val="Normal"/>
        <w:widowControl w:val="false"/>
        <w:ind w:firstLine="284" w:start="-284" w:end="-793"/>
        <w:jc w:val="both"/>
        <w:rPr>
          <w:sz w:val="22"/>
        </w:rPr>
      </w:pPr>
      <w:r>
        <w:rPr>
          <w:sz w:val="22"/>
        </w:rPr>
      </w:r>
    </w:p>
    <w:p>
      <w:pPr>
        <w:pStyle w:val="Normal"/>
        <w:widowControl w:val="false"/>
        <w:ind w:end="-793"/>
        <w:jc w:val="both"/>
        <w:rPr>
          <w:sz w:val="22"/>
        </w:rPr>
      </w:pPr>
      <w:r>
        <w:rPr>
          <w:sz w:val="22"/>
        </w:rPr>
      </w:r>
    </w:p>
    <w:p>
      <w:pPr>
        <w:pStyle w:val="Normal"/>
        <w:widowControl w:val="false"/>
        <w:ind w:firstLine="284" w:start="-284" w:end="-793"/>
        <w:jc w:val="both"/>
        <w:rPr>
          <w:sz w:val="22"/>
        </w:rPr>
      </w:pPr>
      <w:r>
        <w:rPr>
          <w:sz w:val="22"/>
        </w:rPr>
      </w:r>
    </w:p>
    <w:p>
      <w:pPr>
        <w:pStyle w:val="Normal"/>
        <w:widowControl w:val="false"/>
        <w:ind w:firstLine="284" w:start="-284" w:end="-793"/>
        <w:jc w:val="both"/>
        <w:rPr>
          <w:sz w:val="22"/>
        </w:rPr>
      </w:pPr>
      <w:r>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7164070" cy="475297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3"/>
                    <a:stretch>
                      <a:fillRect/>
                    </a:stretch>
                  </pic:blipFill>
                  <pic:spPr bwMode="auto">
                    <a:xfrm>
                      <a:off x="0" y="0"/>
                      <a:ext cx="7164070" cy="4752975"/>
                    </a:xfrm>
                    <a:prstGeom prst="rect">
                      <a:avLst/>
                    </a:prstGeom>
                    <a:noFill/>
                  </pic:spPr>
                </pic:pic>
              </a:graphicData>
            </a:graphic>
          </wp:anchor>
        </w:drawing>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sectPr>
      <w:type w:val="nextPage"/>
      <w:pgSz w:w="11906" w:h="16838"/>
      <w:pgMar w:left="1134" w:right="567" w:gutter="0" w:header="0" w:top="737" w:footer="0" w:bottom="73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XO Thames">
    <w:charset w:val="cc" w:characterSet="windows-1251"/>
    <w:family w:val="roman"/>
    <w:pitch w:val="variable"/>
  </w:font>
  <w:font w:name="Segoe UI">
    <w:charset w:val="cc" w:characterSet="windows-1251"/>
    <w:family w:val="swiss"/>
    <w:pitch w:val="variable"/>
  </w:font>
  <w:font w:name="Verdana">
    <w:charset w:val="cc" w:characterSet="windows-1251"/>
    <w:family w:val="roman"/>
    <w:pitch w:val="variable"/>
  </w:font>
  <w:font w:name="Liberation Sans">
    <w:altName w:val="Arial"/>
    <w:charset w:val="cc" w:characterSet="windows-1251"/>
    <w:family w:val="swiss"/>
    <w:pitch w:val="variable"/>
  </w:font>
  <w:font w:name="Symbol">
    <w:charset w:val="cc" w:characterSet="windows-125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Heading1">
    <w:name w:val="heading 1"/>
    <w:next w:val="Normal"/>
    <w:link w:val="11"/>
    <w:uiPriority w:val="9"/>
    <w:qFormat/>
    <w:pPr>
      <w:widowControl/>
      <w:suppressAutoHyphens w:val="true"/>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uiPriority w:val="9"/>
    <w:qFormat/>
    <w:pPr>
      <w:widowControl/>
      <w:suppressAutoHyphens w:val="true"/>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1"/>
    <w:uiPriority w:val="9"/>
    <w:qFormat/>
    <w:pPr>
      <w:widowControl/>
      <w:suppressAutoHyphens w:val="true"/>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uiPriority w:val="9"/>
    <w:qFormat/>
    <w:pPr>
      <w:widowControl/>
      <w:suppressAutoHyphens w:val="true"/>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suppressAutoHyphens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qFormat/>
    <w:rPr>
      <w:rFonts w:ascii="Times New Roman" w:hAnsi="Times New Roman"/>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3" w:customStyle="1">
    <w:name w:val="Основной текст (3)"/>
    <w:basedOn w:val="1"/>
    <w:link w:val="311"/>
    <w:qFormat/>
    <w:rPr>
      <w:rFonts w:ascii="Calibri" w:hAnsi="Calibri"/>
      <w:b/>
      <w:sz w:val="16"/>
    </w:rPr>
  </w:style>
  <w:style w:type="character" w:styleId="31" w:customStyle="1">
    <w:name w:val="Заголовок 3 Знак"/>
    <w:qFormat/>
    <w:rPr>
      <w:rFonts w:ascii="XO Thames" w:hAnsi="XO Thames"/>
      <w:b/>
      <w:sz w:val="26"/>
    </w:rPr>
  </w:style>
  <w:style w:type="character" w:styleId="Style9" w:customStyle="1">
    <w:name w:val="Неразрешенное упоминание"/>
    <w:link w:val="13"/>
    <w:qFormat/>
    <w:rPr>
      <w:color w:val="605E5C"/>
      <w:shd w:fill="E1DFDD" w:val="clear"/>
    </w:rPr>
  </w:style>
  <w:style w:type="character" w:styleId="32"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1" w:customStyle="1">
    <w:name w:val="Заголовок 1 Знак"/>
    <w:qFormat/>
    <w:rPr>
      <w:rFonts w:ascii="XO Thames" w:hAnsi="XO Thames"/>
      <w:b/>
      <w:sz w:val="32"/>
    </w:rPr>
  </w:style>
  <w:style w:type="character" w:styleId="Hyperlink">
    <w:name w:val="Hyperlink"/>
    <w:link w:val="14"/>
    <w:rPr>
      <w:color w:val="0563C1"/>
      <w:u w:val="single"/>
    </w:rPr>
  </w:style>
  <w:style w:type="character" w:styleId="Footnote" w:customStyle="1">
    <w:name w:val="Footnote"/>
    <w:basedOn w:val="1"/>
    <w:link w:val="Footnote1"/>
    <w:qFormat/>
    <w:rPr>
      <w:rFonts w:ascii="Times New Roman" w:hAnsi="Times New Roman"/>
      <w:b/>
      <w:color w:val="314004"/>
    </w:rPr>
  </w:style>
  <w:style w:type="character" w:styleId="12" w:customStyle="1">
    <w:name w:val="Оглавление 1 Знак"/>
    <w:qFormat/>
    <w:rPr>
      <w:rFonts w:ascii="XO Thames" w:hAnsi="XO Thames"/>
      <w:b/>
      <w:sz w:val="28"/>
    </w:rPr>
  </w:style>
  <w:style w:type="character" w:styleId="Style10" w:customStyle="1">
    <w:name w:val="Текст сноски Знак"/>
    <w:link w:val="15"/>
    <w:qFormat/>
    <w:rPr>
      <w:rFonts w:ascii="Times New Roman" w:hAnsi="Times New Roman"/>
    </w:rPr>
  </w:style>
  <w:style w:type="character" w:styleId="HeaderandFooter" w:customStyle="1">
    <w:name w:val="Header and Footer"/>
    <w:qFormat/>
    <w:rPr>
      <w:rFonts w:ascii="XO Thames" w:hAnsi="XO Thames"/>
      <w:sz w:val="20"/>
    </w:rPr>
  </w:style>
  <w:style w:type="character" w:styleId="Style11" w:customStyle="1">
    <w:name w:val="Текст выноски Знак"/>
    <w:basedOn w:val="1"/>
    <w:link w:val="BalloonText"/>
    <w:qFormat/>
    <w:rPr>
      <w:rFonts w:ascii="Segoe UI" w:hAnsi="Segoe UI"/>
      <w:sz w:val="18"/>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Style12" w:customStyle="1">
    <w:name w:val="Обычный (веб) Знак"/>
    <w:basedOn w:val="1"/>
    <w:link w:val="NormalWeb"/>
    <w:qFormat/>
    <w:rPr>
      <w:rFonts w:ascii="Times New Roman" w:hAnsi="Times New Roman"/>
      <w:sz w:val="24"/>
    </w:rPr>
  </w:style>
  <w:style w:type="character" w:styleId="51" w:customStyle="1">
    <w:name w:val="Оглавление 5 Знак"/>
    <w:qFormat/>
    <w:rPr>
      <w:rFonts w:ascii="XO Thames" w:hAnsi="XO Thames"/>
      <w:sz w:val="28"/>
    </w:rPr>
  </w:style>
  <w:style w:type="character" w:styleId="Style13" w:customStyle="1">
    <w:name w:val="Знак Знак Знак Знак Знак Знак Знак"/>
    <w:basedOn w:val="1"/>
    <w:link w:val="17"/>
    <w:qFormat/>
    <w:rPr>
      <w:rFonts w:ascii="Verdana" w:hAnsi="Verdana"/>
      <w:sz w:val="24"/>
    </w:rPr>
  </w:style>
  <w:style w:type="character" w:styleId="Style14" w:customStyle="1">
    <w:name w:val="Без интервала Знак"/>
    <w:link w:val="NoSpacing"/>
    <w:qFormat/>
    <w:rPr>
      <w:rFonts w:ascii="Times New Roman" w:hAnsi="Times New Roman"/>
    </w:rPr>
  </w:style>
  <w:style w:type="character" w:styleId="Style15" w:customStyle="1">
    <w:name w:val="Подзаголовок Знак"/>
    <w:qFormat/>
    <w:rPr>
      <w:rFonts w:ascii="XO Thames" w:hAnsi="XO Thames"/>
      <w:i/>
      <w:sz w:val="24"/>
    </w:rPr>
  </w:style>
  <w:style w:type="character" w:styleId="FollowedHyperlink">
    <w:name w:val="FollowedHyperlink"/>
    <w:link w:val="18"/>
    <w:rPr>
      <w:color w:val="800080"/>
      <w:u w:val="single"/>
    </w:rPr>
  </w:style>
  <w:style w:type="character" w:styleId="Style16" w:customStyle="1">
    <w:name w:val="Название Знак"/>
    <w:qFormat/>
    <w:rPr>
      <w:rFonts w:ascii="XO Thames" w:hAnsi="XO Thames"/>
      <w:b/>
      <w:caps/>
      <w:sz w:val="40"/>
    </w:rPr>
  </w:style>
  <w:style w:type="character" w:styleId="41" w:customStyle="1">
    <w:name w:val="Заголовок 4 Знак"/>
    <w:qFormat/>
    <w:rPr>
      <w:rFonts w:ascii="XO Thames" w:hAnsi="XO Thames"/>
      <w:b/>
      <w:sz w:val="24"/>
    </w:rPr>
  </w:style>
  <w:style w:type="character" w:styleId="21" w:customStyle="1">
    <w:name w:val="Заголовок 2 Знак"/>
    <w:qFormat/>
    <w:rPr>
      <w:rFonts w:ascii="XO Thames" w:hAnsi="XO Thames"/>
      <w:b/>
      <w:sz w:val="28"/>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TOC2">
    <w:name w:val="toc 2"/>
    <w:next w:val="Normal"/>
    <w:link w:val="2"/>
    <w:uiPriority w:val="39"/>
    <w:pPr>
      <w:widowControl/>
      <w:suppressAutoHyphens w:val="true"/>
      <w:bidi w:val="0"/>
      <w:spacing w:before="0" w:after="0"/>
      <w:ind w:start="200"/>
      <w:jc w:val="star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suppressAutoHyphens w:val="true"/>
      <w:bidi w:val="0"/>
      <w:spacing w:before="0" w:after="0"/>
      <w:ind w:start="600"/>
      <w:jc w:val="start"/>
    </w:pPr>
    <w:rPr>
      <w:rFonts w:ascii="XO Thames" w:hAnsi="XO Thames" w:eastAsia="Times New Roman" w:cs="Times New Roman"/>
      <w:color w:val="000000"/>
      <w:kern w:val="0"/>
      <w:sz w:val="28"/>
      <w:szCs w:val="20"/>
      <w:lang w:val="ru-RU" w:eastAsia="ru-RU" w:bidi="ar-SA"/>
    </w:rPr>
  </w:style>
  <w:style w:type="paragraph" w:styleId="TOC6">
    <w:name w:val="toc 6"/>
    <w:next w:val="Normal"/>
    <w:link w:val="6"/>
    <w:uiPriority w:val="39"/>
    <w:pPr>
      <w:widowControl/>
      <w:suppressAutoHyphens w:val="true"/>
      <w:bidi w:val="0"/>
      <w:spacing w:before="0" w:after="0"/>
      <w:ind w:start="1000"/>
      <w:jc w:val="star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start="1200"/>
      <w:jc w:val="start"/>
    </w:pPr>
    <w:rPr>
      <w:rFonts w:ascii="XO Thames" w:hAnsi="XO Thames" w:eastAsia="Times New Roman" w:cs="Times New Roman"/>
      <w:color w:val="000000"/>
      <w:kern w:val="0"/>
      <w:sz w:val="28"/>
      <w:szCs w:val="20"/>
      <w:lang w:val="ru-RU" w:eastAsia="ru-RU" w:bidi="ar-SA"/>
    </w:rPr>
  </w:style>
  <w:style w:type="paragraph" w:styleId="311" w:customStyle="1">
    <w:name w:val="Основной текст (3)1"/>
    <w:basedOn w:val="Normal"/>
    <w:link w:val="3"/>
    <w:qFormat/>
    <w:pPr>
      <w:widowControl w:val="false"/>
      <w:spacing w:lineRule="exact" w:line="202"/>
      <w:jc w:val="both"/>
    </w:pPr>
    <w:rPr>
      <w:rFonts w:ascii="Calibri" w:hAnsi="Calibri"/>
      <w:b/>
      <w:sz w:val="16"/>
    </w:rPr>
  </w:style>
  <w:style w:type="paragraph" w:styleId="13" w:customStyle="1">
    <w:name w:val="Неразрешенное упоминание1"/>
    <w:link w:val="Style9"/>
    <w:qFormat/>
    <w:pPr>
      <w:widowControl/>
      <w:suppressAutoHyphens w:val="true"/>
      <w:bidi w:val="0"/>
      <w:spacing w:before="0" w:after="0"/>
      <w:jc w:val="start"/>
    </w:pPr>
    <w:rPr>
      <w:rFonts w:ascii="Calibri" w:hAnsi="Calibri" w:eastAsia="Times New Roman" w:cs="Times New Roman"/>
      <w:color w:val="605E5C"/>
      <w:kern w:val="0"/>
      <w:sz w:val="20"/>
      <w:szCs w:val="20"/>
      <w:shd w:fill="E1DFDD" w:val="clear"/>
      <w:lang w:val="ru-RU" w:eastAsia="ru-RU" w:bidi="ar-SA"/>
    </w:rPr>
  </w:style>
  <w:style w:type="paragraph" w:styleId="TOC3">
    <w:name w:val="toc 3"/>
    <w:next w:val="Normal"/>
    <w:link w:val="32"/>
    <w:uiPriority w:val="39"/>
    <w:pPr>
      <w:widowControl/>
      <w:suppressAutoHyphens w:val="true"/>
      <w:bidi w:val="0"/>
      <w:spacing w:before="0" w:after="0"/>
      <w:ind w:start="400"/>
      <w:jc w:val="start"/>
    </w:pPr>
    <w:rPr>
      <w:rFonts w:ascii="XO Thames" w:hAnsi="XO Thames" w:eastAsia="Times New Roman" w:cs="Times New Roman"/>
      <w:color w:val="000000"/>
      <w:kern w:val="0"/>
      <w:sz w:val="28"/>
      <w:szCs w:val="20"/>
      <w:lang w:val="ru-RU" w:eastAsia="ru-RU" w:bidi="ar-SA"/>
    </w:rPr>
  </w:style>
  <w:style w:type="paragraph" w:styleId="14" w:customStyle="1">
    <w:name w:val="Гиперссылка1"/>
    <w:qFormat/>
    <w:pPr>
      <w:widowControl/>
      <w:suppressAutoHyphens w:val="true"/>
      <w:bidi w:val="0"/>
      <w:spacing w:before="0" w:after="0"/>
      <w:jc w:val="start"/>
    </w:pPr>
    <w:rPr>
      <w:rFonts w:ascii="Calibri" w:hAnsi="Calibri" w:eastAsia="Times New Roman" w:cs="Times New Roman"/>
      <w:color w:val="0563C1"/>
      <w:kern w:val="0"/>
      <w:sz w:val="20"/>
      <w:szCs w:val="20"/>
      <w:u w:val="single"/>
      <w:lang w:val="ru-RU" w:eastAsia="ru-RU" w:bidi="ar-SA"/>
    </w:rPr>
  </w:style>
  <w:style w:type="paragraph" w:styleId="Footnote1" w:customStyle="1">
    <w:name w:val="Footnote1"/>
    <w:basedOn w:val="Normal"/>
    <w:link w:val="Footnote"/>
    <w:qFormat/>
    <w:pPr>
      <w:widowControl w:val="false"/>
      <w:spacing w:lineRule="atLeast" w:line="100"/>
      <w:ind w:firstLine="709" w:end="-1"/>
      <w:jc w:val="both"/>
    </w:pPr>
    <w:rPr>
      <w:b/>
      <w:color w:val="314004"/>
    </w:rPr>
  </w:style>
  <w:style w:type="paragraph" w:styleId="TOC1">
    <w:name w:val="toc 1"/>
    <w:next w:val="Normal"/>
    <w:link w:val="12"/>
    <w:uiPriority w:val="39"/>
    <w:pPr>
      <w:widowControl/>
      <w:suppressAutoHyphens w:val="true"/>
      <w:bidi w:val="0"/>
      <w:spacing w:before="0" w:after="0"/>
      <w:jc w:val="start"/>
    </w:pPr>
    <w:rPr>
      <w:rFonts w:ascii="XO Thames" w:hAnsi="XO Thames" w:eastAsia="Times New Roman" w:cs="Times New Roman"/>
      <w:b/>
      <w:color w:val="000000"/>
      <w:kern w:val="0"/>
      <w:sz w:val="28"/>
      <w:szCs w:val="20"/>
      <w:lang w:val="ru-RU" w:eastAsia="ru-RU" w:bidi="ar-SA"/>
    </w:rPr>
  </w:style>
  <w:style w:type="paragraph" w:styleId="15" w:customStyle="1">
    <w:name w:val="Текст сноски Знак1"/>
    <w:link w:val="Style10"/>
    <w:qFormat/>
    <w:pPr>
      <w:widowControl/>
      <w:suppressAutoHyphens w:val="true"/>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user2" w:customStyle="1">
    <w:name w:val="Колонтитулы (user)"/>
    <w:qFormat/>
    <w:pPr>
      <w:widowControl/>
      <w:suppressAutoHyphens w:val="true"/>
      <w:bidi w:val="0"/>
      <w:spacing w:before="0" w:after="0"/>
      <w:jc w:val="both"/>
    </w:pPr>
    <w:rPr>
      <w:rFonts w:ascii="XO Thames" w:hAnsi="XO Thames" w:eastAsia="Times New Roman" w:cs="Times New Roman"/>
      <w:color w:val="000000"/>
      <w:kern w:val="0"/>
      <w:sz w:val="20"/>
      <w:szCs w:val="20"/>
      <w:lang w:val="ru-RU" w:eastAsia="ru-RU" w:bidi="ar-SA"/>
    </w:rPr>
  </w:style>
  <w:style w:type="paragraph" w:styleId="16" w:customStyle="1">
    <w:name w:val="Основной шрифт абзаца1"/>
    <w:qFormat/>
    <w:pPr>
      <w:widowControl/>
      <w:suppressAutoHyphens w:val="true"/>
      <w:bidi w:val="0"/>
      <w:spacing w:before="0" w:after="0"/>
      <w:jc w:val="start"/>
    </w:pPr>
    <w:rPr>
      <w:rFonts w:ascii="Calibri" w:hAnsi="Calibri" w:eastAsia="Times New Roman" w:cs="Times New Roman"/>
      <w:color w:val="000000"/>
      <w:kern w:val="0"/>
      <w:sz w:val="20"/>
      <w:szCs w:val="20"/>
      <w:lang w:val="ru-RU" w:eastAsia="ru-RU" w:bidi="ar-SA"/>
    </w:rPr>
  </w:style>
  <w:style w:type="paragraph" w:styleId="BalloonText">
    <w:name w:val="Balloon Text"/>
    <w:basedOn w:val="Normal"/>
    <w:link w:val="Style11"/>
    <w:qFormat/>
    <w:pPr/>
    <w:rPr>
      <w:rFonts w:ascii="Segoe UI" w:hAnsi="Segoe UI"/>
      <w:sz w:val="18"/>
    </w:rPr>
  </w:style>
  <w:style w:type="paragraph" w:styleId="TOC9">
    <w:name w:val="toc 9"/>
    <w:next w:val="Normal"/>
    <w:link w:val="9"/>
    <w:uiPriority w:val="39"/>
    <w:pPr>
      <w:widowControl/>
      <w:suppressAutoHyphens w:val="true"/>
      <w:bidi w:val="0"/>
      <w:spacing w:before="0" w:after="0"/>
      <w:ind w:start="1600"/>
      <w:jc w:val="start"/>
    </w:pPr>
    <w:rPr>
      <w:rFonts w:ascii="XO Thames" w:hAnsi="XO Thames" w:eastAsia="Times New Roman" w:cs="Times New Roman"/>
      <w:color w:val="000000"/>
      <w:kern w:val="0"/>
      <w:sz w:val="28"/>
      <w:szCs w:val="20"/>
      <w:lang w:val="ru-RU" w:eastAsia="ru-RU" w:bidi="ar-SA"/>
    </w:rPr>
  </w:style>
  <w:style w:type="paragraph" w:styleId="TOC8">
    <w:name w:val="toc 8"/>
    <w:next w:val="Normal"/>
    <w:link w:val="8"/>
    <w:uiPriority w:val="39"/>
    <w:pPr>
      <w:widowControl/>
      <w:suppressAutoHyphens w:val="true"/>
      <w:bidi w:val="0"/>
      <w:spacing w:before="0" w:after="0"/>
      <w:ind w:start="1400"/>
      <w:jc w:val="start"/>
    </w:pPr>
    <w:rPr>
      <w:rFonts w:ascii="XO Thames" w:hAnsi="XO Thames" w:eastAsia="Times New Roman" w:cs="Times New Roman"/>
      <w:color w:val="000000"/>
      <w:kern w:val="0"/>
      <w:sz w:val="28"/>
      <w:szCs w:val="20"/>
      <w:lang w:val="ru-RU" w:eastAsia="ru-RU" w:bidi="ar-SA"/>
    </w:rPr>
  </w:style>
  <w:style w:type="paragraph" w:styleId="NormalWeb">
    <w:name w:val="Normal (Web)"/>
    <w:basedOn w:val="Normal"/>
    <w:link w:val="Style12"/>
    <w:qFormat/>
    <w:pPr>
      <w:spacing w:beforeAutospacing="1" w:afterAutospacing="1"/>
    </w:pPr>
    <w:rPr>
      <w:sz w:val="24"/>
    </w:rPr>
  </w:style>
  <w:style w:type="paragraph" w:styleId="TOC5">
    <w:name w:val="toc 5"/>
    <w:next w:val="Normal"/>
    <w:link w:val="51"/>
    <w:uiPriority w:val="39"/>
    <w:pPr>
      <w:widowControl/>
      <w:suppressAutoHyphens w:val="true"/>
      <w:bidi w:val="0"/>
      <w:spacing w:before="0" w:after="0"/>
      <w:ind w:start="800"/>
      <w:jc w:val="start"/>
    </w:pPr>
    <w:rPr>
      <w:rFonts w:ascii="XO Thames" w:hAnsi="XO Thames" w:eastAsia="Times New Roman" w:cs="Times New Roman"/>
      <w:color w:val="000000"/>
      <w:kern w:val="0"/>
      <w:sz w:val="28"/>
      <w:szCs w:val="20"/>
      <w:lang w:val="ru-RU" w:eastAsia="ru-RU" w:bidi="ar-SA"/>
    </w:rPr>
  </w:style>
  <w:style w:type="paragraph" w:styleId="17" w:customStyle="1">
    <w:name w:val="Знак Знак Знак Знак Знак Знак Знак1"/>
    <w:basedOn w:val="Normal"/>
    <w:link w:val="Style13"/>
    <w:qFormat/>
    <w:pPr>
      <w:spacing w:lineRule="exact" w:line="240" w:before="0" w:after="160"/>
    </w:pPr>
    <w:rPr>
      <w:rFonts w:ascii="Verdana" w:hAnsi="Verdana"/>
      <w:sz w:val="24"/>
    </w:rPr>
  </w:style>
  <w:style w:type="paragraph" w:styleId="NoSpacing">
    <w:name w:val="No Spacing"/>
    <w:link w:val="Style14"/>
    <w:qFormat/>
    <w:pPr>
      <w:widowControl/>
      <w:suppressAutoHyphens w:val="true"/>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Subtitle">
    <w:name w:val="Subtitle"/>
    <w:next w:val="Normal"/>
    <w:link w:val="Style15"/>
    <w:uiPriority w:val="11"/>
    <w:qFormat/>
    <w:pPr>
      <w:widowControl/>
      <w:suppressAutoHyphens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18" w:customStyle="1">
    <w:name w:val="Просмотренная гиперссылка1"/>
    <w:qFormat/>
    <w:pPr>
      <w:widowControl/>
      <w:suppressAutoHyphens w:val="true"/>
      <w:bidi w:val="0"/>
      <w:spacing w:before="0" w:after="0"/>
      <w:jc w:val="start"/>
    </w:pPr>
    <w:rPr>
      <w:rFonts w:ascii="Calibri" w:hAnsi="Calibri" w:eastAsia="Times New Roman" w:cs="Times New Roman"/>
      <w:color w:val="800080"/>
      <w:kern w:val="0"/>
      <w:sz w:val="20"/>
      <w:szCs w:val="20"/>
      <w:u w:val="single"/>
      <w:lang w:val="ru-RU" w:eastAsia="ru-RU" w:bidi="ar-SA"/>
    </w:rPr>
  </w:style>
  <w:style w:type="paragraph" w:styleId="Title">
    <w:name w:val="Title"/>
    <w:next w:val="Normal"/>
    <w:link w:val="Style16"/>
    <w:uiPriority w:val="10"/>
    <w:qFormat/>
    <w:pPr>
      <w:widowControl/>
      <w:suppressAutoHyphens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numbering" w:styleId="user3"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sstat.gov.ru/"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295</TotalTime>
  <Application>LibreOffice/25.8.6.1$Windows_X86_64 LibreOffice_project/85297ec6e49ec4e6faaa6f11880d49294fc70e60</Application>
  <AppVersion>15.0000</AppVersion>
  <Pages>3</Pages>
  <Words>774</Words>
  <Characters>5447</Characters>
  <CharactersWithSpaces>6380</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2026-03-23T13:06:00Z</dcterms:created>
  <dc:creator/>
  <dc:description/>
  <dc:language>ru-RU</dc:language>
  <cp:lastModifiedBy/>
  <dcterms:modified xsi:type="dcterms:W3CDTF">2026-06-23T09:57:24Z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