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1" Target="word/document.xml" Type="http://schemas.openxmlformats.org/officeDocument/2006/relationships/officeDocument"/>
  <Relationship Id="rId2" Target="docProps/app.xml" Type="http://schemas.openxmlformats.org/officeDocument/2006/relationships/extended-properties"/>
  <Relationship Id="rId3" Target="docProps/core.xml" Type="http://schemas.openxmlformats.org/package/2006/relationships/metadata/core-properties"/>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body>
    <w:p w14:paraId="03000000">
      <w:pPr>
        <w:widowControl w:val="1"/>
        <w:ind w:firstLine="709"/>
        <w:jc w:val="center"/>
      </w:pPr>
      <w:r>
        <w:rPr>
          <w:color w:val="000000"/>
        </w:rPr>
        <w:t xml:space="preserve">Договор № </w:t>
      </w:r>
    </w:p>
    <w:p w14:paraId="04000000">
      <w:pPr>
        <w:pStyle w:val="Style_2"/>
        <w:widowControl w:val="1"/>
        <w:ind/>
        <w:jc w:val="center"/>
        <w:rPr>
          <w:sz w:val="24"/>
        </w:rPr>
      </w:pPr>
      <w:r>
        <w:rPr>
          <w:sz w:val="24"/>
        </w:rPr>
        <w:t>на</w:t>
      </w:r>
      <w:r>
        <w:rPr>
          <w:sz w:val="24"/>
        </w:rPr>
        <w:t xml:space="preserve"> изготовление и </w:t>
      </w:r>
      <w:r>
        <w:rPr>
          <w:sz w:val="24"/>
        </w:rPr>
        <w:t xml:space="preserve"> поставку</w:t>
      </w:r>
      <w:r>
        <w:rPr>
          <w:sz w:val="24"/>
        </w:rPr>
        <w:t xml:space="preserve"> полиграфической продукции</w:t>
      </w:r>
      <w:r>
        <w:rPr>
          <w:sz w:val="24"/>
        </w:rPr>
        <w:t xml:space="preserve"> для нужд </w:t>
      </w:r>
      <w:r>
        <w:rPr>
          <w:sz w:val="24"/>
        </w:rPr>
        <w:t>Федеральное государственное бюджетное учреждение Государственный природный биосферный заповедник «Черные земли»</w:t>
      </w:r>
    </w:p>
    <w:p w14:paraId="05000000">
      <w:pPr>
        <w:pStyle w:val="Style_2"/>
        <w:widowControl w:val="1"/>
        <w:ind/>
        <w:jc w:val="center"/>
        <w:rPr>
          <w:rStyle w:val="Style_3_ch"/>
          <w:i w:val="0"/>
          <w:sz w:val="25"/>
        </w:rPr>
      </w:pPr>
    </w:p>
    <w:p w14:paraId="06000000">
      <w:pPr>
        <w:widowControl w:val="1"/>
        <w:ind w:firstLine="709"/>
        <w:jc w:val="center"/>
        <w:rPr>
          <w:color w:val="000000"/>
          <w:sz w:val="25"/>
        </w:rPr>
      </w:pPr>
    </w:p>
    <w:p w14:paraId="07000000">
      <w:pPr>
        <w:widowControl w:val="1"/>
        <w:ind/>
        <w:jc w:val="both"/>
        <w:rPr>
          <w:sz w:val="25"/>
        </w:rPr>
      </w:pPr>
      <w:r>
        <w:rPr>
          <w:sz w:val="25"/>
        </w:rPr>
        <w:t>п. Комсомольский</w:t>
      </w:r>
      <w:r>
        <w:rPr>
          <w:sz w:val="25"/>
        </w:rPr>
        <w:tab/>
      </w:r>
      <w:r>
        <w:rPr>
          <w:sz w:val="25"/>
        </w:rPr>
        <w:tab/>
      </w:r>
      <w:r>
        <w:rPr>
          <w:sz w:val="25"/>
        </w:rPr>
        <w:tab/>
      </w:r>
      <w:r>
        <w:rPr>
          <w:sz w:val="25"/>
        </w:rPr>
        <w:tab/>
      </w:r>
      <w:r>
        <w:rPr>
          <w:sz w:val="25"/>
        </w:rPr>
        <w:tab/>
      </w:r>
      <w:r>
        <w:rPr>
          <w:sz w:val="25"/>
        </w:rPr>
        <w:t xml:space="preserve"> </w:t>
      </w:r>
      <w:r>
        <w:rPr>
          <w:sz w:val="25"/>
        </w:rPr>
        <w:tab/>
      </w:r>
      <w:r>
        <w:rPr>
          <w:sz w:val="25"/>
        </w:rPr>
        <w:t xml:space="preserve">  </w:t>
      </w:r>
      <w:r>
        <w:rPr>
          <w:sz w:val="25"/>
        </w:rPr>
        <w:tab/>
      </w:r>
      <w:r>
        <w:rPr>
          <w:sz w:val="25"/>
        </w:rPr>
        <w:t xml:space="preserve">              «______» мая 2026 г.</w:t>
      </w:r>
    </w:p>
    <w:p w14:paraId="08000000">
      <w:pPr>
        <w:widowControl w:val="1"/>
        <w:ind w:firstLine="709"/>
        <w:jc w:val="both"/>
        <w:rPr>
          <w:sz w:val="25"/>
        </w:rPr>
      </w:pPr>
    </w:p>
    <w:p w14:paraId="09000000">
      <w:pPr>
        <w:widowControl w:val="1"/>
        <w:ind/>
        <w:jc w:val="both"/>
      </w:pPr>
      <w:r>
        <w:rPr>
          <w:b w:val="1"/>
        </w:rPr>
        <w:t xml:space="preserve">Федеральное государственное бюджетное учреждение Государственный природный биосферный заповедник «Черные земли», </w:t>
      </w:r>
      <w:r>
        <w:t>именуемое в дальнейшем</w:t>
      </w:r>
      <w:r>
        <w:rPr>
          <w:b w:val="1"/>
        </w:rPr>
        <w:t xml:space="preserve"> Заказчик, в лице директора Убушаева Батаара Ивановича</w:t>
      </w:r>
      <w:r>
        <w:t xml:space="preserve"> действующего на основании Устава</w:t>
      </w:r>
      <w:r>
        <w:t xml:space="preserve">, с одной стороны, и </w:t>
      </w:r>
      <w:r>
        <w:rPr>
          <w:b w:val="1"/>
        </w:rPr>
        <w:t xml:space="preserve">_______ </w:t>
      </w:r>
      <w:r>
        <w:rPr>
          <w:b w:val="1"/>
        </w:rPr>
        <w:t xml:space="preserve">в лице генерального директора </w:t>
      </w:r>
      <w:r>
        <w:rPr>
          <w:b w:val="1"/>
        </w:rPr>
        <w:t>_______</w:t>
      </w:r>
      <w:r>
        <w:t xml:space="preserve">действующий на основании </w:t>
      </w:r>
      <w:r>
        <w:t>устава</w:t>
      </w:r>
      <w:r>
        <w:t xml:space="preserve">, именуемый  дальнейшем «Поставщик», </w:t>
      </w:r>
      <w:r>
        <w:t xml:space="preserve">с другой стороны, в соответствии с п. 5 ч. 1 ст. 93 </w:t>
      </w:r>
      <w:r>
        <w:t>Федерального Закона от 5 апреля 2013 г. № 44-ФЗ «О контрактной системе в сфере закупок товаров, работ, товар для обеспечения государственных и муниципальных нужд»</w:t>
      </w:r>
      <w:r>
        <w:t>, заключили настоящий договор на следующих условиях.</w:t>
      </w:r>
    </w:p>
    <w:p w14:paraId="0A000000">
      <w:pPr>
        <w:widowControl w:val="1"/>
        <w:ind w:firstLine="709"/>
        <w:jc w:val="both"/>
        <w:rPr>
          <w:sz w:val="25"/>
        </w:rPr>
      </w:pPr>
    </w:p>
    <w:p w14:paraId="0B000000">
      <w:pPr>
        <w:widowControl w:val="1"/>
        <w:numPr>
          <w:ilvl w:val="0"/>
          <w:numId w:val="1"/>
        </w:numPr>
        <w:ind w:firstLine="709" w:left="0"/>
        <w:contextualSpacing w:val="1"/>
        <w:jc w:val="center"/>
        <w:rPr>
          <w:b w:val="1"/>
          <w:sz w:val="25"/>
        </w:rPr>
      </w:pPr>
      <w:r>
        <w:rPr>
          <w:b w:val="1"/>
          <w:sz w:val="25"/>
        </w:rPr>
        <w:t>Предмет договора</w:t>
      </w:r>
    </w:p>
    <w:p w14:paraId="0C000000">
      <w:pPr>
        <w:pStyle w:val="Style_2"/>
        <w:widowControl w:val="1"/>
        <w:ind w:firstLine="708"/>
        <w:jc w:val="both"/>
        <w:rPr>
          <w:sz w:val="25"/>
        </w:rPr>
      </w:pPr>
      <w:r>
        <w:rPr>
          <w:sz w:val="25"/>
        </w:rPr>
        <w:t>1.1. В соответствии с настоящим Договором Поставщик обязуется изготовить</w:t>
      </w:r>
      <w:r>
        <w:rPr>
          <w:sz w:val="25"/>
        </w:rPr>
        <w:t xml:space="preserve"> и </w:t>
      </w:r>
      <w:r>
        <w:rPr>
          <w:sz w:val="25"/>
        </w:rPr>
        <w:t xml:space="preserve">поставить Заказчику </w:t>
      </w:r>
      <w:r>
        <w:rPr>
          <w:sz w:val="25"/>
        </w:rPr>
        <w:t>полиграфическую</w:t>
      </w:r>
      <w:r>
        <w:rPr>
          <w:sz w:val="25"/>
        </w:rPr>
        <w:t xml:space="preserve"> продукцию</w:t>
      </w:r>
      <w:r>
        <w:rPr>
          <w:sz w:val="25"/>
        </w:rPr>
        <w:t xml:space="preserve">, а Заказчик принять и оплатить товар в соответствии с условиями настоящего Договора. </w:t>
      </w:r>
    </w:p>
    <w:p w14:paraId="0D000000">
      <w:pPr>
        <w:widowControl w:val="1"/>
        <w:ind w:firstLine="709"/>
        <w:jc w:val="both"/>
        <w:rPr>
          <w:sz w:val="25"/>
        </w:rPr>
      </w:pPr>
      <w:r>
        <w:rPr>
          <w:sz w:val="25"/>
        </w:rPr>
        <w:t>1.2. Количество и характеристики товара указаны в Спецификации и Техническом задании на поставку продукции (Приложение к настоящему Договору), являющейся неотъемлемой частью настоящего Договора.</w:t>
      </w:r>
    </w:p>
    <w:p w14:paraId="0E000000">
      <w:pPr>
        <w:widowControl w:val="1"/>
        <w:ind w:firstLine="709"/>
        <w:jc w:val="both"/>
        <w:rPr>
          <w:sz w:val="25"/>
        </w:rPr>
      </w:pPr>
      <w:r>
        <w:rPr>
          <w:sz w:val="25"/>
        </w:rPr>
        <w:t xml:space="preserve">1.3. Поставщик гарантирует качество товара в течение 12 (двенадцати) месяцев. </w:t>
      </w:r>
    </w:p>
    <w:p w14:paraId="0F000000">
      <w:pPr>
        <w:widowControl w:val="1"/>
        <w:ind w:firstLine="709"/>
        <w:jc w:val="both"/>
        <w:rPr>
          <w:sz w:val="25"/>
        </w:rPr>
      </w:pPr>
      <w:r>
        <w:rPr>
          <w:sz w:val="25"/>
        </w:rPr>
        <w:t>1.4. Заказчик в случае передачи ему товара ненадлежащего качества вправе по своему выбору потребовать от Поставщика, а Поставщик обязан исполнить требование о замене некачественного товара на аналогичный качественный.</w:t>
      </w:r>
    </w:p>
    <w:p w14:paraId="10000000">
      <w:pPr>
        <w:widowControl w:val="1"/>
        <w:ind w:firstLine="709"/>
        <w:jc w:val="both"/>
        <w:rPr>
          <w:sz w:val="25"/>
        </w:rPr>
      </w:pPr>
      <w:r>
        <w:rPr>
          <w:sz w:val="25"/>
        </w:rPr>
        <w:t xml:space="preserve"> </w:t>
      </w:r>
    </w:p>
    <w:p w14:paraId="11000000">
      <w:pPr>
        <w:widowControl w:val="1"/>
        <w:numPr>
          <w:ilvl w:val="0"/>
          <w:numId w:val="1"/>
        </w:numPr>
        <w:tabs>
          <w:tab w:leader="none" w:pos="0" w:val="left"/>
        </w:tabs>
        <w:ind w:firstLine="709" w:left="0"/>
        <w:contextualSpacing w:val="1"/>
        <w:jc w:val="center"/>
        <w:rPr>
          <w:b w:val="1"/>
          <w:sz w:val="25"/>
        </w:rPr>
      </w:pPr>
      <w:r>
        <w:rPr>
          <w:b w:val="1"/>
          <w:sz w:val="25"/>
        </w:rPr>
        <w:t>Цена договора и порядок расчетов</w:t>
      </w:r>
    </w:p>
    <w:p w14:paraId="12000000">
      <w:pPr>
        <w:widowControl w:val="1"/>
        <w:ind w:firstLine="720"/>
        <w:jc w:val="both"/>
        <w:rPr>
          <w:b w:val="1"/>
          <w:sz w:val="25"/>
        </w:rPr>
      </w:pPr>
      <w:r>
        <w:rPr>
          <w:sz w:val="25"/>
        </w:rPr>
        <w:t xml:space="preserve">2.1. Цена настоящего Договора составляет </w:t>
      </w:r>
      <w:r>
        <w:rPr>
          <w:b w:val="1"/>
          <w:sz w:val="25"/>
        </w:rPr>
        <w:t>______</w:t>
      </w:r>
      <w:r>
        <w:rPr>
          <w:b w:val="1"/>
          <w:highlight w:val="white"/>
        </w:rPr>
        <w:t xml:space="preserve"> (_______)</w:t>
      </w:r>
      <w:r>
        <w:rPr>
          <w:b w:val="1"/>
          <w:sz w:val="25"/>
        </w:rPr>
        <w:t xml:space="preserve"> руб. __ коп., </w:t>
      </w:r>
      <w:r>
        <w:rPr>
          <w:b w:val="1"/>
        </w:rPr>
        <w:t>НДС/НДС не облагается..</w:t>
      </w:r>
    </w:p>
    <w:p w14:paraId="13000000">
      <w:pPr>
        <w:widowControl w:val="1"/>
        <w:ind w:firstLine="709"/>
        <w:jc w:val="both"/>
        <w:rPr>
          <w:sz w:val="25"/>
        </w:rPr>
      </w:pPr>
      <w:r>
        <w:rPr>
          <w:sz w:val="25"/>
        </w:rPr>
        <w:t>2.2. Сумма, подлежащая уплате Поставщику уменьшается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14000000">
      <w:pPr>
        <w:widowControl w:val="1"/>
        <w:ind w:firstLine="709"/>
        <w:jc w:val="both"/>
        <w:rPr>
          <w:sz w:val="25"/>
        </w:rPr>
      </w:pPr>
      <w:r>
        <w:rPr>
          <w:sz w:val="25"/>
        </w:rPr>
        <w:t>2.3. Источник финансирования настоящего Договора – Федеральный бюджет.</w:t>
      </w:r>
    </w:p>
    <w:p w14:paraId="15000000">
      <w:pPr>
        <w:widowControl w:val="1"/>
        <w:ind w:firstLine="709"/>
        <w:jc w:val="both"/>
        <w:rPr>
          <w:sz w:val="25"/>
        </w:rPr>
      </w:pPr>
      <w:r>
        <w:rPr>
          <w:sz w:val="25"/>
        </w:rPr>
        <w:t>2.4. Оплата по настоящему Договору осуществляется Заказчиком по безналичному расчету платежным поручением путем перечисления Заказчиком денежных средств на расчетный счет Поставщика после поставки товара на основании выставленных Поставщиком счета, счета-фактуры (при наличии), УПД, товарной накладной, подписанных Сторонами, в течение 7 (семи) рабочих дней со дня подписания Заказчиком товарной накладной.</w:t>
      </w:r>
    </w:p>
    <w:p w14:paraId="16000000">
      <w:pPr>
        <w:widowControl w:val="1"/>
        <w:ind w:firstLine="709"/>
        <w:jc w:val="both"/>
        <w:rPr>
          <w:sz w:val="25"/>
        </w:rPr>
      </w:pPr>
      <w:r>
        <w:rPr>
          <w:sz w:val="25"/>
        </w:rPr>
        <w:t>В случае изменения расчетного счета Поставщик обязан в трехдневный срок с момента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настоящем Договоре счет Поставщика, несет Поставщик.</w:t>
      </w:r>
    </w:p>
    <w:p w14:paraId="17000000">
      <w:pPr>
        <w:widowControl w:val="1"/>
        <w:ind w:firstLine="709"/>
        <w:jc w:val="both"/>
        <w:rPr>
          <w:sz w:val="25"/>
        </w:rPr>
      </w:pPr>
      <w:r>
        <w:rPr>
          <w:sz w:val="25"/>
        </w:rPr>
        <w:t>2.5. Цена настоящего Договора формируется с учетом стоимости погрузки, разгрузки, транспортных расходов, стоимости упаковки, с учётом стоимости маркировки, расходов на страхование, уплату налогов, сборов, таможенных платежей (пошлин) и других обязательных платежей, а также иных расходов Поставщика, связанных с надлежащим исполнением своих обязательств по Договору, включаемых в цену товара.</w:t>
      </w:r>
    </w:p>
    <w:p w14:paraId="18000000">
      <w:pPr>
        <w:widowControl w:val="1"/>
        <w:ind w:firstLine="709"/>
        <w:jc w:val="both"/>
        <w:rPr>
          <w:sz w:val="25"/>
        </w:rPr>
      </w:pPr>
      <w:r>
        <w:rPr>
          <w:sz w:val="25"/>
        </w:rPr>
        <w:t xml:space="preserve">2.6. </w:t>
      </w:r>
      <w:r>
        <w:rPr>
          <w:sz w:val="25"/>
        </w:rPr>
        <w:t>Цена настоящего Договора является твердой и определяется на весь срок исполнения договора, за исключением случаев, установленных Федеральным законом от                  5 апреля 2013 № 44-ФЗ «О контрактной системе в сфере закупок товаров, работ, товар для обеспечения государственных и муниципальных нужд» и настоящим Договором.</w:t>
      </w:r>
    </w:p>
    <w:p w14:paraId="19000000">
      <w:pPr>
        <w:widowControl w:val="1"/>
        <w:ind w:firstLine="709"/>
        <w:jc w:val="both"/>
        <w:rPr>
          <w:sz w:val="25"/>
        </w:rPr>
      </w:pPr>
      <w:r>
        <w:rPr>
          <w:sz w:val="25"/>
        </w:rPr>
        <w:t xml:space="preserve">2.7. </w:t>
      </w:r>
      <w:r>
        <w:rPr>
          <w:sz w:val="25"/>
        </w:rPr>
        <w:t>По согласованию Сторон возможно снижение цены Договора без изменения предусмотренных договором количества товара, а также иных условий договора.</w:t>
      </w:r>
    </w:p>
    <w:p w14:paraId="1A000000">
      <w:pPr>
        <w:widowControl w:val="1"/>
        <w:ind w:firstLine="709"/>
        <w:jc w:val="both"/>
        <w:rPr>
          <w:sz w:val="25"/>
        </w:rPr>
      </w:pPr>
    </w:p>
    <w:p w14:paraId="1B000000">
      <w:pPr>
        <w:pStyle w:val="Style_4"/>
        <w:widowControl w:val="1"/>
        <w:numPr>
          <w:ilvl w:val="0"/>
          <w:numId w:val="1"/>
        </w:numPr>
        <w:tabs>
          <w:tab w:leader="none" w:pos="0" w:val="left"/>
        </w:tabs>
        <w:ind w:firstLine="0" w:left="0"/>
        <w:jc w:val="center"/>
        <w:rPr>
          <w:b w:val="1"/>
          <w:sz w:val="25"/>
        </w:rPr>
      </w:pPr>
      <w:r>
        <w:rPr>
          <w:b w:val="1"/>
          <w:sz w:val="25"/>
        </w:rPr>
        <w:t xml:space="preserve">Условия и сроки поставки </w:t>
      </w:r>
    </w:p>
    <w:p w14:paraId="1C000000">
      <w:pPr>
        <w:widowControl w:val="1"/>
        <w:ind w:firstLine="709"/>
        <w:jc w:val="both"/>
        <w:rPr>
          <w:b w:val="1"/>
          <w:sz w:val="25"/>
          <w:u w:val="single"/>
        </w:rPr>
      </w:pPr>
      <w:r>
        <w:rPr>
          <w:sz w:val="25"/>
        </w:rPr>
        <w:t>3.1. Поставка товара</w:t>
      </w:r>
      <w:r>
        <w:rPr>
          <w:sz w:val="25"/>
        </w:rPr>
        <w:t xml:space="preserve"> с изготовлением продукции</w:t>
      </w:r>
      <w:r>
        <w:rPr>
          <w:sz w:val="25"/>
        </w:rPr>
        <w:t xml:space="preserve"> производится Поставщиком </w:t>
      </w:r>
      <w:r>
        <w:rPr>
          <w:b w:val="1"/>
          <w:sz w:val="25"/>
          <w:u w:val="single"/>
        </w:rPr>
        <w:t xml:space="preserve">в течение 5 (пять) календарных дней </w:t>
      </w:r>
      <w:r>
        <w:rPr>
          <w:b w:val="1"/>
          <w:sz w:val="25"/>
          <w:u w:val="single"/>
        </w:rPr>
        <w:t xml:space="preserve">с даты подписания настоящего Договора. </w:t>
      </w:r>
      <w:r>
        <w:rPr>
          <w:b w:val="1"/>
          <w:sz w:val="25"/>
          <w:u w:val="single"/>
          <w:shd w:fill="F71E04" w:val="clear"/>
        </w:rPr>
        <w:t xml:space="preserve">Выполнение услуг и поставки товара </w:t>
      </w:r>
      <w:r>
        <w:rPr>
          <w:b w:val="1"/>
          <w:sz w:val="25"/>
          <w:u w:val="single"/>
          <w:shd w:fill="F71E04" w:val="clear"/>
        </w:rPr>
        <w:t>д</w:t>
      </w:r>
      <w:r>
        <w:rPr>
          <w:b w:val="1"/>
          <w:sz w:val="25"/>
          <w:u w:val="single"/>
          <w:shd w:fill="F71E04" w:val="clear"/>
        </w:rPr>
        <w:t>о 03 июня 2026 года.</w:t>
      </w:r>
      <w:r>
        <w:rPr>
          <w:b w:val="1"/>
          <w:sz w:val="25"/>
          <w:u w:val="single"/>
        </w:rPr>
        <w:t xml:space="preserve"> Сроки ограничены в связи с проведением мероприятий, посвященные к всемирному дню охраны окружающей среды.</w:t>
      </w:r>
    </w:p>
    <w:p w14:paraId="1D000000">
      <w:pPr>
        <w:widowControl w:val="1"/>
        <w:ind w:firstLine="709"/>
        <w:jc w:val="both"/>
        <w:rPr>
          <w:b w:val="1"/>
          <w:sz w:val="25"/>
        </w:rPr>
      </w:pPr>
      <w:r>
        <w:rPr>
          <w:sz w:val="25"/>
        </w:rPr>
        <w:t>3.2. Поставщик самостоятельно доставляет Товар Заказчику в рабочее время:</w:t>
      </w:r>
      <w:r>
        <w:rPr>
          <w:sz w:val="22"/>
        </w:rPr>
        <w:t xml:space="preserve"> </w:t>
      </w:r>
    </w:p>
    <w:p w14:paraId="1E000000">
      <w:pPr>
        <w:widowControl w:val="1"/>
        <w:ind/>
        <w:jc w:val="both"/>
        <w:rPr>
          <w:b w:val="1"/>
        </w:rPr>
      </w:pPr>
      <w:r>
        <w:rPr>
          <w:sz w:val="25"/>
        </w:rPr>
        <w:t xml:space="preserve">понедельник-четверг с 10-00 до 16-00, пятница с 10-00 до 15-00 в место доставки по адресу: </w:t>
      </w:r>
      <w:r>
        <w:rPr>
          <w:b w:val="1"/>
        </w:rPr>
        <w:t>35</w:t>
      </w:r>
      <w:r>
        <w:rPr>
          <w:b w:val="1"/>
        </w:rPr>
        <w:t>8000</w:t>
      </w:r>
      <w:r>
        <w:rPr>
          <w:b w:val="1"/>
        </w:rPr>
        <w:t xml:space="preserve">, Республика Калмыкия, </w:t>
      </w:r>
      <w:r>
        <w:rPr>
          <w:b w:val="1"/>
        </w:rPr>
        <w:t>г</w:t>
      </w:r>
      <w:r>
        <w:rPr>
          <w:b w:val="1"/>
        </w:rPr>
        <w:t>.Элиста</w:t>
      </w:r>
      <w:r>
        <w:rPr>
          <w:b w:val="1"/>
        </w:rPr>
        <w:t xml:space="preserve">, ул. </w:t>
      </w:r>
      <w:r>
        <w:rPr>
          <w:b w:val="1"/>
        </w:rPr>
        <w:t>Лермонтова</w:t>
      </w:r>
      <w:r>
        <w:rPr>
          <w:b w:val="1"/>
        </w:rPr>
        <w:t xml:space="preserve">, </w:t>
      </w:r>
      <w:r>
        <w:rPr>
          <w:b w:val="1"/>
        </w:rPr>
        <w:t>4.</w:t>
      </w:r>
    </w:p>
    <w:p w14:paraId="1F000000">
      <w:pPr>
        <w:widowControl w:val="1"/>
        <w:tabs>
          <w:tab w:leader="none" w:pos="7286" w:val="left"/>
        </w:tabs>
        <w:ind w:firstLine="709" w:right="-47"/>
        <w:jc w:val="both"/>
        <w:rPr>
          <w:sz w:val="25"/>
        </w:rPr>
      </w:pPr>
      <w:r>
        <w:rPr>
          <w:sz w:val="25"/>
        </w:rPr>
        <w:t>3.3. Поставщик не менее чем за 2 (два) дня до осуществления поставки Товара в место доставки  направляет Заказчику уведомление о времени доставки Товара в место доставки по средствам электронной почты (с дополнительным звонком представителю заказчика) с указанием номера машины, ФИО водителя (при доставке транспортом Поставщика), наименованием и количеством товара.</w:t>
      </w:r>
    </w:p>
    <w:p w14:paraId="20000000">
      <w:pPr>
        <w:widowControl w:val="1"/>
        <w:tabs>
          <w:tab w:leader="none" w:pos="7286" w:val="left"/>
        </w:tabs>
        <w:ind w:firstLine="709" w:right="-47"/>
        <w:jc w:val="both"/>
        <w:rPr>
          <w:sz w:val="25"/>
        </w:rPr>
      </w:pPr>
      <w:r>
        <w:rPr>
          <w:sz w:val="25"/>
        </w:rPr>
        <w:t xml:space="preserve">3.4. Поставка Товара осуществляется путем передачи Поставщиком Товара и документов об оценке соответствия, предусмотренных законодательством Российской Федерации, обязательных для данного вида Товара, а также иных документов, подтверждающих качество Товара. </w:t>
      </w:r>
    </w:p>
    <w:p w14:paraId="21000000">
      <w:pPr>
        <w:widowControl w:val="1"/>
        <w:tabs>
          <w:tab w:leader="none" w:pos="7286" w:val="left"/>
        </w:tabs>
        <w:ind w:firstLine="709" w:right="-47"/>
        <w:jc w:val="both"/>
        <w:rPr>
          <w:sz w:val="25"/>
        </w:rPr>
      </w:pPr>
      <w:r>
        <w:rPr>
          <w:sz w:val="25"/>
        </w:rPr>
        <w:t>При осуществлении доставки силами Поставщика передача Товара Заказчику оформляется актом приема-передачи, направленным Поставщиком вместе с Товаром; при получении Товара Заказчик осуществляет проверку по весу брутто и (или) количеству мест Товара, их соответствие сопроводительным документам. Акт приема-передачи не является документом, подтверждающим приемку Товара по качеству.</w:t>
      </w:r>
    </w:p>
    <w:p w14:paraId="22000000">
      <w:pPr>
        <w:widowControl w:val="1"/>
        <w:tabs>
          <w:tab w:leader="none" w:pos="7286" w:val="left"/>
        </w:tabs>
        <w:ind w:firstLine="709" w:right="-47"/>
        <w:jc w:val="both"/>
        <w:rPr>
          <w:sz w:val="25"/>
        </w:rPr>
      </w:pPr>
      <w:r>
        <w:rPr>
          <w:sz w:val="25"/>
        </w:rPr>
        <w:t>3.5. Качество поставляемого товара должно соответствовать установленным требованиям к данному виду товара.</w:t>
      </w:r>
    </w:p>
    <w:p w14:paraId="23000000">
      <w:pPr>
        <w:widowControl w:val="1"/>
        <w:tabs>
          <w:tab w:leader="none" w:pos="7286" w:val="left"/>
        </w:tabs>
        <w:ind w:firstLine="709" w:right="-47"/>
        <w:jc w:val="both"/>
        <w:rPr>
          <w:sz w:val="25"/>
        </w:rPr>
      </w:pPr>
      <w:r>
        <w:rPr>
          <w:sz w:val="25"/>
        </w:rPr>
        <w:t>3.6. Товар должен быть новым, не иметь дефектов, связанных конструкцией, материалами или функционированием, надлежащего качества и полностью соответствовать характеристикам, установленным Спецификацией, требованиям ГОСТов, ТУ, функциональным и качественным характеристикам для данной группы товаров, либо качеством используемых для его изготовления материалов, отвечать требованиям пожарной безопасности и экологи.</w:t>
      </w:r>
    </w:p>
    <w:p w14:paraId="24000000">
      <w:pPr>
        <w:widowControl w:val="1"/>
        <w:tabs>
          <w:tab w:leader="none" w:pos="7286" w:val="left"/>
        </w:tabs>
        <w:ind w:firstLine="709" w:right="-47"/>
        <w:jc w:val="both"/>
        <w:rPr>
          <w:sz w:val="25"/>
        </w:rPr>
      </w:pPr>
      <w:r>
        <w:rPr>
          <w:sz w:val="25"/>
        </w:rPr>
        <w:t>3.7. Упаковка товара должна обеспечивать её сохранность при транспортировке и хранении.</w:t>
      </w:r>
    </w:p>
    <w:p w14:paraId="25000000">
      <w:pPr>
        <w:widowControl w:val="1"/>
        <w:tabs>
          <w:tab w:leader="none" w:pos="7286" w:val="left"/>
        </w:tabs>
        <w:ind w:firstLine="709" w:right="-47"/>
        <w:jc w:val="both"/>
        <w:rPr>
          <w:sz w:val="25"/>
        </w:rPr>
      </w:pPr>
      <w:r>
        <w:rPr>
          <w:sz w:val="25"/>
        </w:rPr>
        <w:t>3.8. Товар считается переданным Поставщиком и принятым Заказчиком, если Заказчик не заявит требований по качеству (претензии) по результатам приёмки товара.</w:t>
      </w:r>
    </w:p>
    <w:p w14:paraId="26000000">
      <w:pPr>
        <w:widowControl w:val="1"/>
        <w:tabs>
          <w:tab w:leader="none" w:pos="7286" w:val="left"/>
        </w:tabs>
        <w:ind w:firstLine="709" w:right="-47"/>
        <w:jc w:val="both"/>
        <w:rPr>
          <w:sz w:val="25"/>
        </w:rPr>
      </w:pPr>
      <w:r>
        <w:rPr>
          <w:sz w:val="25"/>
        </w:rPr>
        <w:t>3.9. Право собственности и риск случайной гибели или порчи Товара переходит от Поставщика к Заказчику с момента приемки Товара Заказчиком и подписания Сторонами накладной.</w:t>
      </w:r>
    </w:p>
    <w:p w14:paraId="27000000">
      <w:pPr>
        <w:widowControl w:val="1"/>
        <w:numPr>
          <w:ilvl w:val="0"/>
          <w:numId w:val="1"/>
        </w:numPr>
        <w:tabs>
          <w:tab w:leader="none" w:pos="0" w:val="left"/>
        </w:tabs>
        <w:ind w:firstLine="0" w:left="0"/>
        <w:jc w:val="center"/>
        <w:rPr>
          <w:b w:val="1"/>
          <w:sz w:val="25"/>
        </w:rPr>
      </w:pPr>
      <w:r>
        <w:rPr>
          <w:b w:val="1"/>
          <w:sz w:val="25"/>
        </w:rPr>
        <w:t>Права и обязанности сторон</w:t>
      </w:r>
    </w:p>
    <w:p w14:paraId="28000000">
      <w:pPr>
        <w:widowControl w:val="1"/>
        <w:ind w:firstLine="709"/>
        <w:jc w:val="both"/>
        <w:rPr>
          <w:sz w:val="25"/>
        </w:rPr>
      </w:pPr>
      <w:r>
        <w:rPr>
          <w:sz w:val="25"/>
        </w:rPr>
        <w:t>4.1. Поставщик обязан:</w:t>
      </w:r>
    </w:p>
    <w:p w14:paraId="29000000">
      <w:pPr>
        <w:widowControl w:val="1"/>
        <w:ind w:firstLine="709"/>
        <w:jc w:val="both"/>
        <w:rPr>
          <w:sz w:val="25"/>
        </w:rPr>
      </w:pPr>
      <w:r>
        <w:rPr>
          <w:sz w:val="25"/>
        </w:rPr>
        <w:t>4.1.1. Осуществить поставку товара в соответствии с условиями настоящего Договора, в сроки, указанные в п. 3.1. настоящего Договора.</w:t>
      </w:r>
    </w:p>
    <w:p w14:paraId="2A000000">
      <w:pPr>
        <w:widowControl w:val="1"/>
        <w:ind w:firstLine="709"/>
        <w:jc w:val="both"/>
        <w:rPr>
          <w:sz w:val="25"/>
        </w:rPr>
      </w:pPr>
      <w:r>
        <w:rPr>
          <w:sz w:val="25"/>
        </w:rPr>
        <w:t>4.1.2. Известить в письменной форме Заказчика о готовности товара к отгрузке не позднее чем за 2 (два) дня до отгрузки.</w:t>
      </w:r>
    </w:p>
    <w:p w14:paraId="2B000000">
      <w:pPr>
        <w:widowControl w:val="1"/>
        <w:ind w:firstLine="709"/>
        <w:jc w:val="both"/>
        <w:rPr>
          <w:sz w:val="25"/>
        </w:rPr>
      </w:pPr>
      <w:r>
        <w:rPr>
          <w:sz w:val="25"/>
        </w:rPr>
        <w:t>4.1.3. Передать Заказчику вместе с товаром товарную накладную, акт приема-передачи (при доставке собственными силами), счёт, счёт-фактуру (при наличии), оформленные надлежащим образом.</w:t>
      </w:r>
    </w:p>
    <w:p w14:paraId="2C000000">
      <w:pPr>
        <w:widowControl w:val="1"/>
        <w:ind w:firstLine="709"/>
        <w:jc w:val="both"/>
        <w:rPr>
          <w:sz w:val="25"/>
        </w:rPr>
      </w:pPr>
      <w:r>
        <w:rPr>
          <w:sz w:val="25"/>
        </w:rPr>
        <w:t xml:space="preserve">4.1.4. </w:t>
      </w:r>
      <w:r>
        <w:rPr>
          <w:color w:val="000000"/>
          <w:sz w:val="25"/>
        </w:rPr>
        <w:t>Предоставить документы, подтверждающие качество и безопасность товара, в соответствии с законодательством Российской Федерации.</w:t>
      </w:r>
    </w:p>
    <w:p w14:paraId="2D000000">
      <w:pPr>
        <w:widowControl w:val="1"/>
        <w:ind w:firstLine="709"/>
        <w:jc w:val="both"/>
        <w:rPr>
          <w:sz w:val="25"/>
        </w:rPr>
      </w:pPr>
      <w:r>
        <w:rPr>
          <w:sz w:val="25"/>
        </w:rPr>
        <w:t>4.1.5. Обеспечить соответствие поставляемого товара техническим требованиям и техническим условиям изготовителя при его эксплуатации и хранении в течение срока, оговоренного в сопроводительной документации на товар, и нести все расходы по замене дефектного товара, выявленного Заказчиком в течение срока действия гарантийных обязательств, если дефект не обусловлен условиями хранения или неправильной эксплуатацией.</w:t>
      </w:r>
    </w:p>
    <w:p w14:paraId="2E000000">
      <w:pPr>
        <w:widowControl w:val="1"/>
        <w:ind w:firstLine="709"/>
        <w:jc w:val="both"/>
        <w:rPr>
          <w:sz w:val="25"/>
        </w:rPr>
      </w:pPr>
      <w:r>
        <w:rPr>
          <w:sz w:val="25"/>
        </w:rPr>
        <w:t xml:space="preserve">4.1.6. Устранить недостатки </w:t>
      </w:r>
      <w:r>
        <w:rPr>
          <w:color w:val="000000"/>
          <w:sz w:val="25"/>
        </w:rPr>
        <w:t>товара</w:t>
      </w:r>
      <w:r>
        <w:rPr>
          <w:sz w:val="25"/>
        </w:rPr>
        <w:t xml:space="preserve"> и некомплектность в течение 10 (десяти) рабочих дней с момента заявления о них Заказчиком. Расходы, связанные с устранением недостатков </w:t>
      </w:r>
      <w:r>
        <w:rPr>
          <w:color w:val="000000"/>
          <w:sz w:val="25"/>
        </w:rPr>
        <w:t>товара</w:t>
      </w:r>
      <w:r>
        <w:rPr>
          <w:sz w:val="25"/>
        </w:rPr>
        <w:t xml:space="preserve"> несет Поставщик.</w:t>
      </w:r>
    </w:p>
    <w:p w14:paraId="2F000000">
      <w:pPr>
        <w:widowControl w:val="1"/>
        <w:ind w:firstLine="709"/>
        <w:jc w:val="both"/>
        <w:rPr>
          <w:color w:val="000000"/>
          <w:sz w:val="25"/>
        </w:rPr>
      </w:pPr>
      <w:r>
        <w:rPr>
          <w:color w:val="000000"/>
          <w:sz w:val="25"/>
        </w:rPr>
        <w:t xml:space="preserve">4.1.7. </w:t>
      </w:r>
      <w:r>
        <w:rPr>
          <w:sz w:val="25"/>
        </w:rPr>
        <w:t xml:space="preserve">По требованию Заказчика заменить некачественный товар на </w:t>
      </w:r>
      <w:r>
        <w:rPr>
          <w:color w:val="000000"/>
          <w:sz w:val="25"/>
        </w:rPr>
        <w:t>товар</w:t>
      </w:r>
      <w:r>
        <w:rPr>
          <w:sz w:val="25"/>
        </w:rPr>
        <w:t>, соответствующую условиям настоящего Договора.</w:t>
      </w:r>
    </w:p>
    <w:p w14:paraId="30000000">
      <w:pPr>
        <w:widowControl w:val="1"/>
        <w:ind w:firstLine="709"/>
        <w:jc w:val="both"/>
        <w:rPr>
          <w:sz w:val="25"/>
        </w:rPr>
      </w:pPr>
      <w:r>
        <w:rPr>
          <w:sz w:val="25"/>
        </w:rPr>
        <w:t>4.2. Поставщик имеет право:</w:t>
      </w:r>
    </w:p>
    <w:p w14:paraId="31000000">
      <w:pPr>
        <w:widowControl w:val="1"/>
        <w:ind w:firstLine="709"/>
        <w:jc w:val="both"/>
        <w:rPr>
          <w:sz w:val="25"/>
        </w:rPr>
      </w:pPr>
      <w:r>
        <w:rPr>
          <w:sz w:val="25"/>
        </w:rPr>
        <w:t>4.2.1. требовать от Заказчика произвести приемку Товара в порядке и в сроки, предусмотренные Договором;</w:t>
      </w:r>
    </w:p>
    <w:p w14:paraId="32000000">
      <w:pPr>
        <w:widowControl w:val="1"/>
        <w:ind w:firstLine="709"/>
        <w:jc w:val="both"/>
        <w:rPr>
          <w:sz w:val="25"/>
        </w:rPr>
      </w:pPr>
      <w:r>
        <w:rPr>
          <w:sz w:val="25"/>
        </w:rPr>
        <w:t>4.2.2. требовать своевременной оплаты на условиях, установленных Договором, надлежащим образом поставленного и принятого Заказчиком Товара;</w:t>
      </w:r>
    </w:p>
    <w:p w14:paraId="33000000">
      <w:pPr>
        <w:widowControl w:val="1"/>
        <w:ind w:firstLine="709"/>
        <w:jc w:val="both"/>
        <w:rPr>
          <w:sz w:val="25"/>
        </w:rPr>
      </w:pPr>
      <w:r>
        <w:rPr>
          <w:sz w:val="25"/>
        </w:rPr>
        <w:t>4.2.3. принять решение об одностороннем отказе от исполнения Договора в соответствии с гражданским законодательством;</w:t>
      </w:r>
    </w:p>
    <w:p w14:paraId="34000000">
      <w:pPr>
        <w:widowControl w:val="1"/>
        <w:ind w:firstLine="709"/>
        <w:jc w:val="both"/>
        <w:rPr>
          <w:sz w:val="25"/>
        </w:rPr>
      </w:pPr>
      <w:r>
        <w:rPr>
          <w:sz w:val="25"/>
        </w:rPr>
        <w:t>4.2.4. требовать возмещения убытков, уплаты неустоек (штрафов, пеней) в соответствии с разделом 6 настоящего Договора;</w:t>
      </w:r>
    </w:p>
    <w:p w14:paraId="35000000">
      <w:pPr>
        <w:widowControl w:val="1"/>
        <w:ind w:firstLine="709"/>
        <w:jc w:val="both"/>
        <w:rPr>
          <w:sz w:val="25"/>
        </w:rPr>
      </w:pPr>
      <w:r>
        <w:rPr>
          <w:sz w:val="25"/>
        </w:rPr>
        <w:t xml:space="preserve">4.3. Заказчик обязан: </w:t>
      </w:r>
    </w:p>
    <w:p w14:paraId="36000000">
      <w:pPr>
        <w:widowControl w:val="1"/>
        <w:ind w:firstLine="709"/>
        <w:jc w:val="both"/>
        <w:rPr>
          <w:sz w:val="25"/>
        </w:rPr>
      </w:pPr>
      <w:r>
        <w:rPr>
          <w:sz w:val="25"/>
        </w:rPr>
        <w:t>4.3.1. обеспечить своевременную приемку в течение 10 (десяти) рабочих дней и оплату поставленного Товара надлежащего качества в порядке и сроки, предусмотренные Договором;</w:t>
      </w:r>
    </w:p>
    <w:p w14:paraId="37000000">
      <w:pPr>
        <w:widowControl w:val="1"/>
        <w:ind w:firstLine="709"/>
        <w:jc w:val="both"/>
        <w:rPr>
          <w:sz w:val="25"/>
        </w:rPr>
      </w:pPr>
      <w:r>
        <w:rPr>
          <w:sz w:val="25"/>
        </w:rPr>
        <w:t>4.3.2. требовать уплаты неустоек (штрафов, пеней) в соответствии с разделом 6 Договора;</w:t>
      </w:r>
    </w:p>
    <w:p w14:paraId="38000000">
      <w:pPr>
        <w:widowControl w:val="1"/>
        <w:ind w:firstLine="709"/>
        <w:jc w:val="both"/>
        <w:rPr>
          <w:sz w:val="25"/>
        </w:rPr>
      </w:pPr>
      <w:r>
        <w:rPr>
          <w:sz w:val="25"/>
        </w:rPr>
        <w:t xml:space="preserve">4.4. Заказчик имеет право: </w:t>
      </w:r>
    </w:p>
    <w:p w14:paraId="39000000">
      <w:pPr>
        <w:widowControl w:val="1"/>
        <w:ind w:firstLine="709"/>
        <w:jc w:val="both"/>
        <w:rPr>
          <w:sz w:val="25"/>
        </w:rPr>
      </w:pPr>
      <w:r>
        <w:rPr>
          <w:sz w:val="25"/>
        </w:rPr>
        <w:t>4.4.1. требовать от Поставщика надлежащего исполнения обязательств по Договору;</w:t>
      </w:r>
    </w:p>
    <w:p w14:paraId="3A000000">
      <w:pPr>
        <w:widowControl w:val="1"/>
        <w:ind w:firstLine="709"/>
        <w:jc w:val="both"/>
        <w:rPr>
          <w:sz w:val="25"/>
        </w:rPr>
      </w:pPr>
      <w:r>
        <w:rPr>
          <w:sz w:val="25"/>
        </w:rPr>
        <w:t>4.4.2. требовать от Поставщика своевременного устранения недостатков, выявленных как в ходе приемки, так и в течение гарантийного периода;</w:t>
      </w:r>
    </w:p>
    <w:p w14:paraId="3B000000">
      <w:pPr>
        <w:widowControl w:val="1"/>
        <w:ind w:firstLine="709"/>
        <w:jc w:val="both"/>
        <w:rPr>
          <w:sz w:val="25"/>
        </w:rPr>
      </w:pPr>
      <w:r>
        <w:rPr>
          <w:sz w:val="25"/>
        </w:rPr>
        <w:t>4.4.3. проверять ход и качество выполнения Поставщиком условий настоящего Договора без вмешательства в оперативно-хозяйственную деятельность Поставщика;</w:t>
      </w:r>
    </w:p>
    <w:p w14:paraId="3C000000">
      <w:pPr>
        <w:widowControl w:val="1"/>
        <w:ind w:firstLine="709"/>
        <w:jc w:val="both"/>
        <w:rPr>
          <w:sz w:val="25"/>
        </w:rPr>
      </w:pPr>
      <w:r>
        <w:rPr>
          <w:sz w:val="25"/>
        </w:rPr>
        <w:t>4.4.4. отказаться от приемки и оплаты Товара, не соответствующего условиям Договора;</w:t>
      </w:r>
    </w:p>
    <w:p w14:paraId="3D000000">
      <w:pPr>
        <w:widowControl w:val="1"/>
        <w:ind w:firstLine="709"/>
        <w:jc w:val="both"/>
        <w:rPr>
          <w:sz w:val="25"/>
        </w:rPr>
      </w:pPr>
      <w:r>
        <w:rPr>
          <w:sz w:val="25"/>
        </w:rPr>
        <w:t>4.4.5. принять решение об одностороннем отказе от исполнения Договора в соответствии с гражданским законодательством;</w:t>
      </w:r>
    </w:p>
    <w:p w14:paraId="3E000000">
      <w:pPr>
        <w:widowControl w:val="1"/>
        <w:ind w:firstLine="709"/>
        <w:jc w:val="both"/>
        <w:rPr>
          <w:sz w:val="25"/>
        </w:rPr>
      </w:pPr>
    </w:p>
    <w:p w14:paraId="3F000000">
      <w:pPr>
        <w:widowControl w:val="1"/>
        <w:ind w:firstLine="709"/>
        <w:jc w:val="center"/>
        <w:rPr>
          <w:b w:val="1"/>
          <w:sz w:val="25"/>
        </w:rPr>
      </w:pPr>
      <w:r>
        <w:rPr>
          <w:b w:val="1"/>
          <w:sz w:val="25"/>
        </w:rPr>
        <w:t>5. Порядок приёмки товара</w:t>
      </w:r>
    </w:p>
    <w:p w14:paraId="40000000">
      <w:pPr>
        <w:widowControl w:val="1"/>
        <w:tabs>
          <w:tab w:leader="none" w:pos="567" w:val="left"/>
        </w:tabs>
        <w:ind w:firstLine="709"/>
        <w:jc w:val="both"/>
        <w:rPr>
          <w:sz w:val="25"/>
        </w:rPr>
      </w:pPr>
      <w:r>
        <w:rPr>
          <w:sz w:val="25"/>
        </w:rPr>
        <w:t>5.1. Порядок приёмки товара Заказчиком по количеству и качеству регулируется действующими Инструкцией о порядке приемки продукции производственно-технического назначения и товаров народного потребления по количеству, утвержденной Постановлением Госарбитража при Совете Министров СССР от 15 июня 1965 г. № П-6, Инструкцией о порядке приемки продукции производственно-технического назначения и товаров народного потребления по качеству, утвержденной Постановлением Госарбитража при Совете Министров СССР от 25 апреля 1966 г. № П-7.</w:t>
      </w:r>
    </w:p>
    <w:p w14:paraId="41000000">
      <w:pPr>
        <w:widowControl w:val="1"/>
        <w:tabs>
          <w:tab w:leader="none" w:pos="567" w:val="left"/>
        </w:tabs>
        <w:ind w:firstLine="709"/>
        <w:jc w:val="both"/>
        <w:rPr>
          <w:sz w:val="25"/>
        </w:rPr>
      </w:pPr>
      <w:r>
        <w:rPr>
          <w:sz w:val="25"/>
        </w:rPr>
        <w:t>5.2. В случае обнаружения недостатков они фиксируются в акте с указанием сроков и порядка их устранения.</w:t>
      </w:r>
    </w:p>
    <w:p w14:paraId="42000000">
      <w:pPr>
        <w:widowControl w:val="1"/>
        <w:ind w:firstLine="709"/>
        <w:jc w:val="both"/>
        <w:rPr>
          <w:sz w:val="25"/>
        </w:rPr>
      </w:pPr>
      <w:r>
        <w:rPr>
          <w:sz w:val="25"/>
        </w:rPr>
        <w:t>5.3. Датой поставки товара считается дата подписания Сторонами товарной накладной на весь объем товара. Некачественный товар считается не поставленным.</w:t>
      </w:r>
    </w:p>
    <w:p w14:paraId="43000000">
      <w:pPr>
        <w:widowControl w:val="1"/>
        <w:ind w:firstLine="709"/>
        <w:jc w:val="center"/>
        <w:rPr>
          <w:sz w:val="25"/>
        </w:rPr>
      </w:pPr>
    </w:p>
    <w:p w14:paraId="44000000">
      <w:pPr>
        <w:pStyle w:val="Style_4"/>
        <w:widowControl w:val="1"/>
        <w:numPr>
          <w:ilvl w:val="0"/>
          <w:numId w:val="2"/>
        </w:numPr>
        <w:ind w:firstLine="709" w:left="0"/>
        <w:jc w:val="center"/>
        <w:rPr>
          <w:b w:val="1"/>
          <w:sz w:val="25"/>
        </w:rPr>
      </w:pPr>
      <w:r>
        <w:rPr>
          <w:b w:val="1"/>
          <w:sz w:val="25"/>
        </w:rPr>
        <w:t>Ответственность Сторон</w:t>
      </w:r>
    </w:p>
    <w:p w14:paraId="45000000">
      <w:pPr>
        <w:widowControl w:val="1"/>
        <w:ind w:firstLine="709"/>
        <w:jc w:val="both"/>
        <w:rPr>
          <w:sz w:val="25"/>
        </w:rPr>
      </w:pPr>
      <w:r>
        <w:rPr>
          <w:sz w:val="25"/>
        </w:rPr>
        <w:t>6.1. Стороны несут ответственность за неисполнение или ненадлежащее исполнение обязательств по настоящему договору в соответствии с действующим законодательством Российской Федерации.</w:t>
      </w:r>
    </w:p>
    <w:p w14:paraId="46000000">
      <w:pPr>
        <w:widowControl w:val="1"/>
        <w:ind w:firstLine="709"/>
        <w:jc w:val="both"/>
        <w:rPr>
          <w:sz w:val="25"/>
        </w:rPr>
      </w:pPr>
      <w:r>
        <w:rPr>
          <w:sz w:val="25"/>
        </w:rPr>
        <w:t xml:space="preserve">6.2. Размер штрафа устанавливается договором в соответствии с пунктами 3–9 Правил, утвержденных постановлением Правительства Российской Федерации от </w:t>
      </w:r>
      <w:r>
        <w:rPr>
          <w:sz w:val="25"/>
        </w:rPr>
        <w:br/>
      </w:r>
      <w:r>
        <w:rPr>
          <w:sz w:val="25"/>
        </w:rPr>
        <w:t>30 августа 2017 г. № 1042, в том числе рассчитывается как процент цены Договора.</w:t>
      </w:r>
    </w:p>
    <w:p w14:paraId="47000000">
      <w:pPr>
        <w:widowControl w:val="1"/>
        <w:ind w:firstLine="709"/>
        <w:jc w:val="both"/>
        <w:rPr>
          <w:sz w:val="25"/>
        </w:rPr>
      </w:pPr>
      <w:r>
        <w:rPr>
          <w:sz w:val="25"/>
        </w:rPr>
        <w:t>6.3. Невыполнение Поставщиком условий договора является основанием для обращения Заказчика в суд с требованием о расторжении настоящего государственного договора или расторжения договора в связи с односторонним отказом Заказчика от исполнения договора.</w:t>
      </w:r>
    </w:p>
    <w:p w14:paraId="48000000">
      <w:pPr>
        <w:widowControl w:val="1"/>
        <w:ind w:firstLine="709"/>
        <w:jc w:val="both"/>
        <w:rPr>
          <w:sz w:val="25"/>
        </w:rPr>
      </w:pPr>
      <w:r>
        <w:rPr>
          <w:sz w:val="25"/>
        </w:rPr>
        <w:t xml:space="preserve">6.4.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w:t>
      </w:r>
      <w:r>
        <w:rPr>
          <w:sz w:val="25"/>
        </w:rPr>
        <w:t>Поставщик</w:t>
      </w:r>
      <w:r>
        <w:rPr>
          <w:sz w:val="25"/>
        </w:rPr>
        <w:t xml:space="preserve"> вправе потребовать уплаты неустоек (штрафов, пеней).</w:t>
      </w:r>
    </w:p>
    <w:p w14:paraId="49000000">
      <w:pPr>
        <w:widowControl w:val="1"/>
        <w:ind w:firstLine="709"/>
        <w:jc w:val="both"/>
        <w:rPr>
          <w:sz w:val="25"/>
        </w:rPr>
      </w:pPr>
      <w:r>
        <w:rPr>
          <w:sz w:val="25"/>
        </w:rPr>
        <w:t>6.5. Пени начисляются за каждый день просрочки исполнения Заказчиком обязательства, предусмотренного договором, начиная со дня, следующего после дня истечения установленного договором срока исполнения обязательств, в размере 1/300 действующей на дату уплаты пеней ключевой ставки Центрального банка Российской Федерации от не уплаченной в срок суммы.</w:t>
      </w:r>
    </w:p>
    <w:p w14:paraId="4A000000">
      <w:pPr>
        <w:widowControl w:val="1"/>
        <w:ind w:firstLine="709"/>
        <w:jc w:val="both"/>
        <w:rPr>
          <w:sz w:val="25"/>
        </w:rPr>
      </w:pPr>
      <w:r>
        <w:rPr>
          <w:sz w:val="25"/>
        </w:rPr>
        <w:t>6.6.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размере 1000 (одна тысяча) рублей 00 копеек.</w:t>
      </w:r>
    </w:p>
    <w:p w14:paraId="4B000000">
      <w:pPr>
        <w:widowControl w:val="1"/>
        <w:ind w:firstLine="709"/>
        <w:jc w:val="both"/>
        <w:rPr>
          <w:sz w:val="25"/>
        </w:rPr>
      </w:pPr>
      <w:r>
        <w:rPr>
          <w:sz w:val="25"/>
        </w:rPr>
        <w:t xml:space="preserve">6.7. В случае просрочки исполнения </w:t>
      </w:r>
      <w:r>
        <w:rPr>
          <w:sz w:val="25"/>
        </w:rPr>
        <w:t>Поставщиком</w:t>
      </w:r>
      <w:r>
        <w:rPr>
          <w:sz w:val="25"/>
        </w:rPr>
        <w:t xml:space="preserve"> обязательств (в том числе гарантийного обязательства), предусмотренных Договором, а также в иных случаях неисполнения или ненадлежащего исполнения </w:t>
      </w:r>
      <w:r>
        <w:rPr>
          <w:sz w:val="25"/>
        </w:rPr>
        <w:t>Поставщиком</w:t>
      </w:r>
      <w:r>
        <w:rPr>
          <w:sz w:val="25"/>
        </w:rPr>
        <w:t xml:space="preserve"> обязательств, предусмотренных Договором, Заказчик направляет </w:t>
      </w:r>
      <w:r>
        <w:rPr>
          <w:sz w:val="25"/>
        </w:rPr>
        <w:t>Поставщику</w:t>
      </w:r>
      <w:r>
        <w:rPr>
          <w:sz w:val="25"/>
        </w:rPr>
        <w:t xml:space="preserve"> требование об уплате неустоек (штрафов, пеней).</w:t>
      </w:r>
    </w:p>
    <w:p w14:paraId="4C000000">
      <w:pPr>
        <w:widowControl w:val="1"/>
        <w:ind w:firstLine="709"/>
        <w:jc w:val="both"/>
        <w:rPr>
          <w:sz w:val="25"/>
        </w:rPr>
      </w:pPr>
      <w:r>
        <w:rPr>
          <w:sz w:val="25"/>
        </w:rPr>
        <w:t>6.8. Пени начисляются за каждый день просрочки исполнения Поставщиком обязательства, предусмотренного договором, в размере 1/300 действующей на дату уплаты пеней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w:t>
      </w:r>
    </w:p>
    <w:p w14:paraId="4D000000">
      <w:pPr>
        <w:widowControl w:val="1"/>
        <w:ind w:firstLine="709"/>
        <w:jc w:val="both"/>
        <w:rPr>
          <w:sz w:val="25"/>
        </w:rPr>
      </w:pPr>
      <w:r>
        <w:rPr>
          <w:sz w:val="25"/>
        </w:rPr>
        <w:t>Пени начисляются за каждый день просрочки исполнения Поставщиком обязательства, предусмотренного Договором, начиная со дня, следующего после дня истечения установленного Договором срока исполнения указанного обязательства.</w:t>
      </w:r>
    </w:p>
    <w:p w14:paraId="4E000000">
      <w:pPr>
        <w:widowControl w:val="1"/>
        <w:ind w:firstLine="709"/>
        <w:jc w:val="both"/>
        <w:rPr>
          <w:sz w:val="25"/>
        </w:rPr>
      </w:pPr>
      <w:r>
        <w:rPr>
          <w:sz w:val="25"/>
        </w:rPr>
        <w:t xml:space="preserve">6.9. За каждый факт неисполнения или ненадлежащего исполнения Поставщиком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(за исключением случаев, предусмотренных пунктами 4–8 Правил, утвержденных постановлением Правительства Российской Федерации от </w:t>
      </w:r>
      <w:r>
        <w:rPr>
          <w:sz w:val="25"/>
        </w:rPr>
        <w:br/>
      </w:r>
      <w:r>
        <w:rPr>
          <w:sz w:val="25"/>
        </w:rPr>
        <w:t>30 августа 2017 г. № 1042) в размере 10 процентов цены Договора.</w:t>
      </w:r>
    </w:p>
    <w:p w14:paraId="4F000000">
      <w:pPr>
        <w:widowControl w:val="1"/>
        <w:ind w:firstLine="709"/>
        <w:jc w:val="both"/>
        <w:rPr>
          <w:sz w:val="25"/>
        </w:rPr>
      </w:pPr>
      <w:r>
        <w:rPr>
          <w:sz w:val="25"/>
        </w:rPr>
        <w:t xml:space="preserve">6.10. За каждый факт неисполнения или ненадлежащего исполнения Поставщиком обязательства, предусмотренного Договором, которое не имеет стоимостного выражения, размер штрафа устанавливается (при наличии таких обязательств) в размере 1000 рублей. </w:t>
      </w:r>
    </w:p>
    <w:p w14:paraId="50000000">
      <w:pPr>
        <w:widowControl w:val="1"/>
        <w:ind w:firstLine="709"/>
        <w:jc w:val="both"/>
        <w:rPr>
          <w:sz w:val="25"/>
        </w:rPr>
      </w:pPr>
      <w:r>
        <w:rPr>
          <w:sz w:val="25"/>
        </w:rPr>
        <w:t>6.11. Общая сумма начисленных штрафов за ненадлежащее исполнение Заказчиком обязательств, предусмотренных договором, не может превышать цену договора.</w:t>
      </w:r>
    </w:p>
    <w:p w14:paraId="51000000">
      <w:pPr>
        <w:widowControl w:val="1"/>
        <w:ind w:firstLine="709"/>
        <w:jc w:val="both"/>
        <w:rPr>
          <w:sz w:val="25"/>
        </w:rPr>
      </w:pPr>
      <w:r>
        <w:rPr>
          <w:sz w:val="25"/>
        </w:rPr>
        <w:t xml:space="preserve">6.12. Общая сумма начисленных штрафов за неисполнение или ненадлежащее исполнение </w:t>
      </w:r>
      <w:r>
        <w:rPr>
          <w:sz w:val="25"/>
        </w:rPr>
        <w:t>Поставщиком</w:t>
      </w:r>
      <w:r>
        <w:rPr>
          <w:sz w:val="25"/>
        </w:rPr>
        <w:t xml:space="preserve"> обязательств, предусмотренных Договором, не может превышать цену договора.</w:t>
      </w:r>
    </w:p>
    <w:p w14:paraId="52000000">
      <w:pPr>
        <w:widowControl w:val="1"/>
        <w:ind w:firstLine="709"/>
        <w:jc w:val="both"/>
        <w:rPr>
          <w:sz w:val="25"/>
        </w:rPr>
      </w:pPr>
      <w:r>
        <w:rPr>
          <w:sz w:val="25"/>
        </w:rPr>
        <w:t>6.13.В случае неисполнения или ненадлежащего исполнения Поставщиков обязательств, в том числе, требований об уплате неустоек (пеней, штрафов), предусмотренных условиями настоящего Договора и предъявленных Заказчиком, Заказчик вправе удержать сумму неисполненных Поставщиком предъявленных Заказчиком требований об уплате неустоек (штрафов, пеней), из суммы, подлежащей оплате Поставщику.</w:t>
      </w:r>
    </w:p>
    <w:p w14:paraId="53000000">
      <w:pPr>
        <w:widowControl w:val="1"/>
        <w:ind w:firstLine="709"/>
        <w:jc w:val="both"/>
        <w:rPr>
          <w:sz w:val="25"/>
        </w:rPr>
      </w:pPr>
      <w:r>
        <w:rPr>
          <w:sz w:val="25"/>
        </w:rPr>
        <w:t xml:space="preserve"> 6.14. Сторона освобождается от уплаты неустойки (штрафа, пеней),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54000000">
      <w:pPr>
        <w:widowControl w:val="1"/>
        <w:ind w:firstLine="709"/>
        <w:jc w:val="both"/>
        <w:rPr>
          <w:sz w:val="25"/>
        </w:rPr>
      </w:pPr>
      <w:r>
        <w:rPr>
          <w:sz w:val="25"/>
        </w:rPr>
        <w:t>6.15. Уплата Поставщиком неустойки или применение иной формы ответственности не освобождает его от исполнения обязательств по настоящему Договору.</w:t>
      </w:r>
    </w:p>
    <w:p w14:paraId="55000000">
      <w:pPr>
        <w:keepNext w:val="1"/>
        <w:widowControl w:val="1"/>
        <w:ind w:firstLine="709"/>
        <w:jc w:val="center"/>
        <w:outlineLvl w:val="3"/>
        <w:rPr>
          <w:sz w:val="25"/>
        </w:rPr>
      </w:pPr>
      <w:r>
        <w:rPr>
          <w:sz w:val="25"/>
        </w:rPr>
        <w:t xml:space="preserve">7. </w:t>
      </w:r>
      <w:r>
        <w:rPr>
          <w:b w:val="1"/>
          <w:sz w:val="25"/>
        </w:rPr>
        <w:t>Обстоятельства непреодолимой силы</w:t>
      </w:r>
    </w:p>
    <w:p w14:paraId="56000000">
      <w:pPr>
        <w:widowControl w:val="1"/>
        <w:ind w:firstLine="709"/>
        <w:jc w:val="both"/>
        <w:rPr>
          <w:sz w:val="25"/>
        </w:rPr>
      </w:pPr>
      <w:r>
        <w:rPr>
          <w:sz w:val="25"/>
        </w:rPr>
        <w:t>7.1. Стороны не несут ответственности за полное или частичное неисполнение предусмотренных настоящим Договором обязательств, если такое неисполнение связано с обстоятельствами непреодолимой силы.</w:t>
      </w:r>
    </w:p>
    <w:p w14:paraId="57000000">
      <w:pPr>
        <w:widowControl w:val="1"/>
        <w:ind w:firstLine="709"/>
        <w:jc w:val="both"/>
        <w:rPr>
          <w:sz w:val="25"/>
        </w:rPr>
      </w:pPr>
      <w:r>
        <w:rPr>
          <w:sz w:val="25"/>
        </w:rPr>
        <w:t>7.2. Сторона, для  которой создалась невозможность исполнения обязательств по настоящему Договору вследствие обстоятельств непреодолимой силы, не позднее 5 рабочих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14:paraId="58000000">
      <w:pPr>
        <w:widowControl w:val="1"/>
        <w:ind w:firstLine="709"/>
        <w:jc w:val="both"/>
        <w:rPr>
          <w:sz w:val="25"/>
        </w:rPr>
      </w:pPr>
      <w:r>
        <w:rPr>
          <w:sz w:val="25"/>
        </w:rPr>
        <w:t>7.3. В случае возникновения обстоятельств непреодолимой силы Стороны вправе расторгнуть настоящий Договор, и в этом случае ни одна из Сторон не вправе требовать возмещения убытков.</w:t>
      </w:r>
    </w:p>
    <w:p w14:paraId="59000000">
      <w:pPr>
        <w:widowControl w:val="1"/>
        <w:ind w:firstLine="709"/>
        <w:jc w:val="both"/>
        <w:rPr>
          <w:sz w:val="25"/>
        </w:rPr>
      </w:pPr>
      <w:r>
        <w:rPr>
          <w:sz w:val="25"/>
        </w:rPr>
        <w:t>7.4. Доказательством наличия обстоятельств непреодолимой силы и их продолжительности является соответствующее письменное свидетельство уполномоченных органов и организаций.</w:t>
      </w:r>
    </w:p>
    <w:p w14:paraId="5A000000">
      <w:pPr>
        <w:widowControl w:val="1"/>
        <w:ind w:firstLine="709"/>
        <w:jc w:val="both"/>
        <w:rPr>
          <w:sz w:val="25"/>
        </w:rPr>
      </w:pPr>
    </w:p>
    <w:p w14:paraId="5B000000">
      <w:pPr>
        <w:widowControl w:val="1"/>
        <w:ind w:firstLine="709"/>
        <w:jc w:val="center"/>
        <w:rPr>
          <w:b w:val="1"/>
          <w:sz w:val="25"/>
        </w:rPr>
      </w:pPr>
      <w:r>
        <w:rPr>
          <w:b w:val="1"/>
          <w:sz w:val="25"/>
        </w:rPr>
        <w:t>8. Рассмотрение и разрешение споров</w:t>
      </w:r>
    </w:p>
    <w:p w14:paraId="5C000000">
      <w:pPr>
        <w:widowControl w:val="1"/>
        <w:ind w:firstLine="709"/>
        <w:jc w:val="both"/>
        <w:rPr>
          <w:sz w:val="25"/>
        </w:rPr>
      </w:pPr>
      <w:r>
        <w:rPr>
          <w:sz w:val="25"/>
        </w:rPr>
        <w:t>8.1. Все споры и разногласия, возникающие между сторонами при исполнении настоящего Договора, будут разрешаться путем переговоров, в том числе путем направления претензий.</w:t>
      </w:r>
    </w:p>
    <w:p w14:paraId="5D000000">
      <w:pPr>
        <w:widowControl w:val="1"/>
        <w:ind w:firstLine="709"/>
        <w:jc w:val="both"/>
        <w:rPr>
          <w:sz w:val="25"/>
        </w:rPr>
      </w:pPr>
      <w:r>
        <w:rPr>
          <w:sz w:val="25"/>
        </w:rPr>
        <w:t>8.2. Претензии в письменной форме направляются Стороне, допустившей нарушения условий Договора. В претензии указывают допущенные нарушения со ссылкой на соответствующие положения Договора или его приложений, стоимостная оценка ответственности (неустойки), а также действия, которые должны быть произведены для устранения нарушений.</w:t>
      </w:r>
    </w:p>
    <w:p w14:paraId="5E000000">
      <w:pPr>
        <w:widowControl w:val="1"/>
        <w:ind w:firstLine="709"/>
        <w:jc w:val="both"/>
        <w:rPr>
          <w:sz w:val="25"/>
        </w:rPr>
      </w:pPr>
      <w:r>
        <w:rPr>
          <w:sz w:val="25"/>
        </w:rPr>
        <w:t xml:space="preserve">8.3. Срок рассмотрения писем, уведомлений или претензии не может превышать </w:t>
      </w:r>
      <w:r>
        <w:rPr>
          <w:sz w:val="25"/>
        </w:rPr>
        <w:br/>
      </w:r>
      <w:r>
        <w:rPr>
          <w:sz w:val="25"/>
        </w:rPr>
        <w:t>10 (десяти) рабочих дней со дня их получения. Переписка Сторон может осуществляться в виде письма, телеграммы, факса, а также электронного сообщения с последующим предоставлением оригинала.</w:t>
      </w:r>
    </w:p>
    <w:p w14:paraId="5F000000">
      <w:pPr>
        <w:widowControl w:val="1"/>
        <w:ind w:firstLine="709"/>
        <w:jc w:val="both"/>
        <w:rPr>
          <w:sz w:val="25"/>
        </w:rPr>
      </w:pPr>
      <w:r>
        <w:rPr>
          <w:sz w:val="25"/>
        </w:rPr>
        <w:t>8.4. При не урегулировании Сторонами в досудебном порядке спор передается на разрешение в арбитражный суд Республики Калмыкия согласно порядку, установленному законодательством Российской Федерации.</w:t>
      </w:r>
    </w:p>
    <w:p w14:paraId="60000000">
      <w:pPr>
        <w:widowControl w:val="1"/>
        <w:ind w:firstLine="709"/>
        <w:jc w:val="center"/>
        <w:rPr>
          <w:sz w:val="25"/>
        </w:rPr>
      </w:pPr>
    </w:p>
    <w:p w14:paraId="61000000">
      <w:pPr>
        <w:widowControl w:val="1"/>
        <w:ind w:firstLine="709"/>
        <w:jc w:val="center"/>
        <w:rPr>
          <w:b w:val="1"/>
          <w:sz w:val="25"/>
        </w:rPr>
      </w:pPr>
      <w:r>
        <w:rPr>
          <w:b w:val="1"/>
          <w:sz w:val="25"/>
        </w:rPr>
        <w:t>9. Порядок изменения и расторжения договора</w:t>
      </w:r>
    </w:p>
    <w:p w14:paraId="62000000">
      <w:pPr>
        <w:widowControl w:val="1"/>
        <w:tabs>
          <w:tab w:leader="none" w:pos="1238" w:val="left"/>
        </w:tabs>
        <w:ind w:firstLine="709"/>
        <w:jc w:val="both"/>
        <w:rPr>
          <w:sz w:val="25"/>
        </w:rPr>
      </w:pPr>
      <w:r>
        <w:rPr>
          <w:sz w:val="25"/>
        </w:rPr>
        <w:t>9.1. Внесение изменений и дополнений, не противоречащих законодательству Российской Федерации, в условия Договора осуществляется путем заключения Сторонами в письменной форме дополнительных соглашений к Договору, которые являются его неотъемлемой частью.</w:t>
      </w:r>
    </w:p>
    <w:p w14:paraId="63000000">
      <w:pPr>
        <w:widowControl w:val="1"/>
        <w:ind w:firstLine="709"/>
        <w:jc w:val="both"/>
        <w:rPr>
          <w:sz w:val="25"/>
        </w:rPr>
      </w:pPr>
      <w:r>
        <w:rPr>
          <w:sz w:val="25"/>
        </w:rPr>
        <w:t>9.2. Изменение условий Договора при его исполнении не допускается, за исключением случаев предусмотренных Федеральным законом от 5 апреля 2013 г. № 44-ФЗ «О контрактной системе в сфере закупок товаров, работ, товар для обеспечения государственных и муниципальных нужд».</w:t>
      </w:r>
    </w:p>
    <w:p w14:paraId="64000000">
      <w:pPr>
        <w:widowControl w:val="1"/>
        <w:ind w:firstLine="709"/>
        <w:jc w:val="both"/>
        <w:rPr>
          <w:sz w:val="25"/>
        </w:rPr>
      </w:pPr>
      <w:r>
        <w:rPr>
          <w:sz w:val="25"/>
        </w:rPr>
        <w:t>9.3. Настоящий Договор может быть расторгнут по взаимному согласию Сторон, по решению суда или в связи с односторонним отказом Стороны Договора от исполнения Договора в соответствии с гражданским законодательством Российской Федерации.</w:t>
      </w:r>
    </w:p>
    <w:p w14:paraId="65000000">
      <w:pPr>
        <w:widowControl w:val="1"/>
        <w:ind w:firstLine="709"/>
        <w:jc w:val="both"/>
        <w:rPr>
          <w:sz w:val="25"/>
        </w:rPr>
      </w:pPr>
      <w:r>
        <w:rPr>
          <w:sz w:val="25"/>
        </w:rPr>
        <w:t>9.4. Расторжение Договора в связи с односторонним отказом стороны Договора от исполнения Договора регулируется нормами действующего законодательства</w:t>
      </w:r>
      <w:r>
        <w:rPr>
          <w:sz w:val="25"/>
        </w:rPr>
        <w:t xml:space="preserve"> </w:t>
      </w:r>
      <w:r>
        <w:rPr>
          <w:sz w:val="25"/>
        </w:rPr>
        <w:t xml:space="preserve">Российской Федерации. </w:t>
      </w:r>
    </w:p>
    <w:p w14:paraId="66000000">
      <w:pPr>
        <w:widowControl w:val="1"/>
        <w:ind w:firstLine="709"/>
        <w:jc w:val="center"/>
        <w:rPr>
          <w:b w:val="1"/>
          <w:sz w:val="25"/>
        </w:rPr>
      </w:pPr>
      <w:r>
        <w:rPr>
          <w:b w:val="1"/>
          <w:sz w:val="25"/>
        </w:rPr>
        <w:t>10. Прочие условия</w:t>
      </w:r>
    </w:p>
    <w:p w14:paraId="67000000">
      <w:pPr>
        <w:widowControl w:val="0"/>
        <w:ind w:firstLine="709"/>
        <w:jc w:val="both"/>
        <w:rPr>
          <w:sz w:val="25"/>
        </w:rPr>
      </w:pPr>
      <w:r>
        <w:rPr>
          <w:sz w:val="25"/>
        </w:rPr>
        <w:t xml:space="preserve">10.1. Настоящий договор вступает в силу с даты </w:t>
      </w:r>
      <w:r>
        <w:rPr>
          <w:sz w:val="25"/>
        </w:rPr>
        <w:t>его подписания обеими Сторонами</w:t>
      </w:r>
      <w:r>
        <w:rPr>
          <w:sz w:val="25"/>
        </w:rPr>
        <w:t xml:space="preserve"> и действует по 31 декабря 2026 года,</w:t>
      </w:r>
      <w:r>
        <w:rPr>
          <w:sz w:val="25"/>
        </w:rPr>
        <w:t xml:space="preserve"> а по финансовым обязательствам до полного взаиморасчёта Сторон</w:t>
      </w:r>
      <w:r>
        <w:rPr>
          <w:sz w:val="25"/>
        </w:rPr>
        <w:t>. Окончание срока действия Договора не освобождает Стороны от ответственности за его нарушение.</w:t>
      </w:r>
    </w:p>
    <w:p w14:paraId="68000000">
      <w:pPr>
        <w:widowControl w:val="0"/>
        <w:ind w:firstLine="709"/>
        <w:jc w:val="both"/>
        <w:rPr>
          <w:sz w:val="25"/>
        </w:rPr>
      </w:pPr>
      <w:r>
        <w:rPr>
          <w:sz w:val="25"/>
        </w:rPr>
        <w:t>10.2. Во всем, что не предусмотрено договором, Стороны руководствуются законодательством Российской Федерации.</w:t>
      </w:r>
    </w:p>
    <w:p w14:paraId="69000000">
      <w:pPr>
        <w:widowControl w:val="0"/>
        <w:ind w:firstLine="709"/>
        <w:jc w:val="both"/>
        <w:rPr>
          <w:sz w:val="25"/>
        </w:rPr>
      </w:pPr>
      <w:r>
        <w:rPr>
          <w:sz w:val="25"/>
        </w:rPr>
        <w:t xml:space="preserve">10.3. В случае изменения у одной из Сторон адреса места нахождения, почтового адреса, банковских реквизитов, такая Сторона обязана в течение 2 (двух) рабочих дней с момента внесения вышеуказанных изменений письменно известить об этом другую Сторону. </w:t>
      </w:r>
    </w:p>
    <w:p w14:paraId="6A000000">
      <w:pPr>
        <w:widowControl w:val="0"/>
        <w:ind w:firstLine="709"/>
        <w:jc w:val="both"/>
        <w:rPr>
          <w:sz w:val="25"/>
        </w:rPr>
      </w:pPr>
      <w:r>
        <w:rPr>
          <w:sz w:val="25"/>
        </w:rPr>
        <w:t>10.4.</w:t>
      </w:r>
      <w:r>
        <w:rPr>
          <w:sz w:val="25"/>
        </w:rPr>
        <w:tab/>
      </w:r>
      <w:r>
        <w:rPr>
          <w:sz w:val="25"/>
        </w:rPr>
        <w:t>При исполнении договора не допускается перемена Поставщика, за исключением случаев, если новый Поставщик является правопреемником Поставщика по договору вследствие реорганизации юридического лица в форме преобразования, слияния, присоединения.</w:t>
      </w:r>
    </w:p>
    <w:p w14:paraId="6B000000">
      <w:pPr>
        <w:widowControl w:val="0"/>
        <w:ind w:firstLine="709"/>
        <w:jc w:val="both"/>
        <w:rPr>
          <w:sz w:val="25"/>
        </w:rPr>
      </w:pPr>
      <w:r>
        <w:rPr>
          <w:sz w:val="25"/>
        </w:rPr>
        <w:t>10.5. Настоящий договор будет считаться исполненным после выполнения Сторонами взаимных обязательств по договору и осуществления окончательных расчетов между Сторонами.</w:t>
      </w:r>
    </w:p>
    <w:p w14:paraId="6C000000">
      <w:pPr>
        <w:widowControl w:val="0"/>
        <w:ind w:firstLine="709"/>
        <w:jc w:val="both"/>
        <w:rPr>
          <w:sz w:val="25"/>
        </w:rPr>
      </w:pPr>
      <w:r>
        <w:rPr>
          <w:sz w:val="25"/>
        </w:rPr>
        <w:t xml:space="preserve">10.6. Следующее приложение являются неотъемлемой частью договора:  </w:t>
      </w:r>
    </w:p>
    <w:p w14:paraId="6D000000">
      <w:pPr>
        <w:widowControl w:val="0"/>
        <w:ind w:firstLine="709"/>
        <w:jc w:val="both"/>
        <w:rPr>
          <w:sz w:val="25"/>
        </w:rPr>
      </w:pPr>
      <w:r>
        <w:rPr>
          <w:sz w:val="25"/>
        </w:rPr>
        <w:t>Приложение №1</w:t>
      </w:r>
      <w:r>
        <w:rPr>
          <w:sz w:val="25"/>
        </w:rPr>
        <w:t>- спецификация</w:t>
      </w:r>
      <w:r>
        <w:rPr>
          <w:sz w:val="25"/>
        </w:rPr>
        <w:t xml:space="preserve"> на поставку товара.</w:t>
      </w:r>
    </w:p>
    <w:p w14:paraId="6E000000">
      <w:pPr>
        <w:widowControl w:val="0"/>
        <w:ind w:firstLine="709"/>
        <w:jc w:val="both"/>
        <w:rPr>
          <w:sz w:val="25"/>
        </w:rPr>
      </w:pPr>
      <w:r>
        <w:rPr>
          <w:sz w:val="25"/>
        </w:rPr>
        <w:t>Приложение № 2- техническое задание</w:t>
      </w:r>
    </w:p>
    <w:p w14:paraId="6F000000">
      <w:pPr>
        <w:widowControl w:val="0"/>
        <w:ind w:firstLine="709"/>
        <w:jc w:val="both"/>
        <w:rPr>
          <w:sz w:val="25"/>
          <w:highlight w:val="yellow"/>
        </w:rPr>
      </w:pPr>
    </w:p>
    <w:p w14:paraId="70000000">
      <w:pPr>
        <w:keepNext w:val="1"/>
        <w:widowControl w:val="1"/>
        <w:spacing w:line="240" w:lineRule="atLeast"/>
        <w:ind w:firstLine="709"/>
        <w:jc w:val="center"/>
        <w:outlineLvl w:val="0"/>
        <w:rPr>
          <w:b w:val="1"/>
          <w:color w:val="000000"/>
          <w:sz w:val="25"/>
        </w:rPr>
      </w:pPr>
      <w:r>
        <w:rPr>
          <w:b w:val="1"/>
          <w:color w:val="000000"/>
          <w:sz w:val="25"/>
        </w:rPr>
        <w:t>11. Место нахождения и банковские реквизиты Сторон</w:t>
      </w:r>
    </w:p>
    <w:tbl>
      <w:tblPr>
        <w:tblStyle w:val="Style_5"/>
        <w:tblW w:type="auto" w:w="0"/>
        <w:tblInd w:type="dxa" w:w="-106"/>
        <w:tblLayout w:type="fixed"/>
        <w:tblCellMar>
          <w:top w:type="dxa" w:w="0"/>
          <w:left w:type="dxa" w:w="108"/>
          <w:bottom w:type="dxa" w:w="0"/>
          <w:right w:type="dxa" w:w="108"/>
        </w:tblCellMar>
      </w:tblPr>
      <w:tblGrid>
        <w:gridCol w:w="4785"/>
        <w:gridCol w:w="391"/>
        <w:gridCol w:w="4874"/>
      </w:tblGrid>
      <w:tr>
        <w:trPr>
          <w:trHeight w:hRule="atLeast" w:val="699"/>
        </w:trPr>
        <w:tc>
          <w:tcPr>
            <w:tcW w:type="dxa" w:w="4785"/>
            <w:tcMar>
              <w:top w:type="dxa" w:w="0"/>
              <w:left w:type="dxa" w:w="108"/>
              <w:bottom w:type="dxa" w:w="0"/>
              <w:right w:type="dxa" w:w="108"/>
            </w:tcMar>
          </w:tcPr>
          <w:p w14:paraId="71000000">
            <w:pPr>
              <w:pStyle w:val="Style_6"/>
              <w:widowControl w:val="1"/>
              <w:ind/>
              <w:contextualSpacing w:val="1"/>
              <w:rPr>
                <w:rFonts w:ascii="Times New Roman" w:hAnsi="Times New Roman"/>
                <w:sz w:val="24"/>
              </w:rPr>
            </w:pPr>
            <w:r>
              <w:rPr>
                <w:rFonts w:ascii="Times New Roman" w:hAnsi="Times New Roman"/>
                <w:b w:val="1"/>
                <w:sz w:val="24"/>
              </w:rPr>
              <w:t xml:space="preserve">                        Заказчик  </w:t>
            </w:r>
            <w:r>
              <w:rPr>
                <w:rFonts w:ascii="Times New Roman" w:hAnsi="Times New Roman"/>
                <w:b w:val="1"/>
                <w:sz w:val="24"/>
              </w:rPr>
              <w:t xml:space="preserve">                                    </w:t>
            </w:r>
          </w:p>
          <w:p w14:paraId="72000000">
            <w:pPr>
              <w:rPr>
                <w:b w:val="1"/>
              </w:rPr>
            </w:pPr>
            <w:r>
              <w:rPr>
                <w:b w:val="1"/>
              </w:rPr>
              <w:t>ФГБУ «Государственный заповедник «Черные земли»</w:t>
            </w:r>
          </w:p>
          <w:p w14:paraId="73000000">
            <w:pPr>
              <w:widowControl w:val="1"/>
              <w:ind/>
              <w:jc w:val="both"/>
            </w:pPr>
            <w:r>
              <w:t>Юридический/почтовый адрес: 359240, Республика Калмыкия, Черноземельский район, п. Комсомольский, ул. Некрасова, 31</w:t>
            </w:r>
          </w:p>
          <w:p w14:paraId="74000000">
            <w:pPr>
              <w:widowControl w:val="1"/>
              <w:ind/>
              <w:jc w:val="both"/>
            </w:pPr>
            <w:r>
              <w:t>Тел.: +7 (937) 190 70 40, адрес эл. почты: zapovchz@mail.ru</w:t>
            </w:r>
          </w:p>
          <w:p w14:paraId="75000000">
            <w:pPr>
              <w:widowControl w:val="1"/>
              <w:ind/>
              <w:jc w:val="both"/>
            </w:pPr>
            <w:r>
              <w:t>ИНН 0810003320, КПП 081001001</w:t>
            </w:r>
          </w:p>
          <w:p w14:paraId="76000000">
            <w:pPr>
              <w:widowControl w:val="1"/>
              <w:ind/>
              <w:jc w:val="both"/>
            </w:pPr>
            <w:r>
              <w:t xml:space="preserve">Банковские реквизиты: р/с: </w:t>
            </w:r>
            <w:r>
              <w:rPr>
                <w:rStyle w:val="Style_7_ch"/>
                <w:color w:val="000000"/>
              </w:rPr>
              <w:t>0321464300000001</w:t>
            </w:r>
            <w:r>
              <w:rPr>
                <w:color w:val="000000"/>
              </w:rPr>
              <w:t>3203 ОКЦ №1 ВВГУ БАНКА РОССИИ//УФК по Нижегородской области г. Нижний Новгород</w:t>
            </w:r>
          </w:p>
          <w:p w14:paraId="77000000">
            <w:pPr>
              <w:widowControl w:val="1"/>
              <w:ind/>
              <w:jc w:val="both"/>
            </w:pPr>
            <w:r>
              <w:t>БИК 012202102</w:t>
            </w:r>
          </w:p>
          <w:p w14:paraId="78000000">
            <w:r>
              <w:t>к/с40102810745370000024</w:t>
            </w:r>
          </w:p>
          <w:p w14:paraId="79000000">
            <w:pPr>
              <w:pStyle w:val="Style_6"/>
              <w:rPr>
                <w:rFonts w:ascii="Times New Roman" w:hAnsi="Times New Roman"/>
                <w:sz w:val="24"/>
              </w:rPr>
            </w:pPr>
          </w:p>
        </w:tc>
        <w:tc>
          <w:tcPr>
            <w:tcW w:type="dxa" w:w="391"/>
            <w:tcMar>
              <w:top w:type="dxa" w:w="0"/>
              <w:left w:type="dxa" w:w="108"/>
              <w:bottom w:type="dxa" w:w="0"/>
              <w:right w:type="dxa" w:w="108"/>
            </w:tcMar>
          </w:tcPr>
          <w:p w14:paraId="7A000000">
            <w:pPr>
              <w:pStyle w:val="Style_6"/>
              <w:widowControl w:val="1"/>
              <w:ind/>
              <w:contextualSpacing w:val="1"/>
              <w:rPr>
                <w:rFonts w:ascii="Times New Roman" w:hAnsi="Times New Roman"/>
                <w:sz w:val="24"/>
              </w:rPr>
            </w:pPr>
          </w:p>
        </w:tc>
        <w:tc>
          <w:tcPr>
            <w:tcW w:type="dxa" w:w="4874"/>
            <w:tcMar>
              <w:top w:type="dxa" w:w="0"/>
              <w:left w:type="dxa" w:w="108"/>
              <w:bottom w:type="dxa" w:w="0"/>
              <w:right w:type="dxa" w:w="108"/>
            </w:tcMar>
          </w:tcPr>
          <w:p w14:paraId="7B000000">
            <w:pPr>
              <w:widowControl w:val="0"/>
              <w:ind w:right="-1"/>
              <w:jc w:val="center"/>
              <w:rPr>
                <w:sz w:val="25"/>
              </w:rPr>
            </w:pPr>
            <w:r>
              <w:rPr>
                <w:b w:val="1"/>
                <w:sz w:val="25"/>
              </w:rPr>
              <w:t>Поставщик</w:t>
            </w:r>
          </w:p>
          <w:p w14:paraId="7C000000">
            <w:pPr>
              <w:widowControl w:val="0"/>
              <w:ind w:right="-1"/>
              <w:jc w:val="both"/>
              <w:rPr>
                <w:sz w:val="28"/>
              </w:rPr>
            </w:pPr>
          </w:p>
        </w:tc>
      </w:tr>
      <w:tr>
        <w:trPr>
          <w:trHeight w:hRule="atLeast" w:val="1241"/>
        </w:trPr>
        <w:tc>
          <w:tcPr>
            <w:tcW w:type="dxa" w:w="4785"/>
            <w:tcMar>
              <w:top w:type="dxa" w:w="0"/>
              <w:left w:type="dxa" w:w="108"/>
              <w:bottom w:type="dxa" w:w="0"/>
              <w:right w:type="dxa" w:w="108"/>
            </w:tcMar>
          </w:tcPr>
          <w:p w14:paraId="7D000000">
            <w:pPr>
              <w:widowControl w:val="0"/>
              <w:ind w:firstLine="709"/>
              <w:jc w:val="center"/>
              <w:rPr>
                <w:b w:val="1"/>
                <w:sz w:val="25"/>
              </w:rPr>
            </w:pPr>
            <w:r>
              <w:rPr>
                <w:b w:val="1"/>
                <w:sz w:val="25"/>
              </w:rPr>
              <w:t>Заказчик</w:t>
            </w:r>
          </w:p>
          <w:p w14:paraId="7E000000">
            <w:pPr>
              <w:widowControl w:val="0"/>
              <w:ind/>
              <w:jc w:val="both"/>
              <w:rPr>
                <w:sz w:val="25"/>
              </w:rPr>
            </w:pPr>
            <w:r>
              <w:rPr>
                <w:sz w:val="25"/>
              </w:rPr>
              <w:t>Директор</w:t>
            </w:r>
          </w:p>
          <w:p w14:paraId="7F000000">
            <w:pPr>
              <w:widowControl w:val="0"/>
              <w:ind/>
              <w:jc w:val="both"/>
              <w:rPr>
                <w:sz w:val="25"/>
              </w:rPr>
            </w:pPr>
            <w:r>
              <w:rPr>
                <w:sz w:val="25"/>
              </w:rPr>
              <w:t>_______________ Б.И.Убушаев</w:t>
            </w:r>
          </w:p>
          <w:p w14:paraId="80000000">
            <w:pPr>
              <w:widowControl w:val="0"/>
              <w:ind w:firstLine="709"/>
              <w:jc w:val="both"/>
              <w:rPr>
                <w:sz w:val="25"/>
              </w:rPr>
            </w:pPr>
          </w:p>
        </w:tc>
        <w:tc>
          <w:tcPr>
            <w:tcW w:type="dxa" w:w="391"/>
            <w:tcMar>
              <w:top w:type="dxa" w:w="0"/>
              <w:left w:type="dxa" w:w="108"/>
              <w:bottom w:type="dxa" w:w="0"/>
              <w:right w:type="dxa" w:w="108"/>
            </w:tcMar>
          </w:tcPr>
          <w:p w14:paraId="81000000">
            <w:pPr>
              <w:widowControl w:val="0"/>
              <w:ind w:firstLine="709"/>
              <w:jc w:val="both"/>
              <w:rPr>
                <w:sz w:val="25"/>
              </w:rPr>
            </w:pPr>
          </w:p>
        </w:tc>
        <w:tc>
          <w:tcPr>
            <w:tcW w:type="dxa" w:w="4874"/>
            <w:tcMar>
              <w:top w:type="dxa" w:w="0"/>
              <w:left w:type="dxa" w:w="108"/>
              <w:bottom w:type="dxa" w:w="0"/>
              <w:right w:type="dxa" w:w="108"/>
            </w:tcMar>
          </w:tcPr>
          <w:p w14:paraId="82000000">
            <w:pPr>
              <w:widowControl w:val="0"/>
              <w:ind w:firstLine="709"/>
              <w:jc w:val="center"/>
              <w:rPr>
                <w:b w:val="1"/>
                <w:sz w:val="25"/>
              </w:rPr>
            </w:pPr>
            <w:r>
              <w:rPr>
                <w:b w:val="1"/>
                <w:sz w:val="25"/>
              </w:rPr>
              <w:t>Поставщик</w:t>
            </w:r>
          </w:p>
          <w:p w14:paraId="83000000">
            <w:pPr>
              <w:widowControl w:val="0"/>
              <w:ind/>
              <w:jc w:val="both"/>
              <w:rPr>
                <w:sz w:val="25"/>
              </w:rPr>
            </w:pPr>
            <w:r>
              <w:rPr>
                <w:sz w:val="25"/>
              </w:rPr>
              <w:t xml:space="preserve">Директор </w:t>
            </w:r>
          </w:p>
          <w:p w14:paraId="84000000">
            <w:pPr>
              <w:widowControl w:val="0"/>
              <w:ind/>
              <w:jc w:val="both"/>
              <w:rPr>
                <w:sz w:val="25"/>
              </w:rPr>
            </w:pPr>
            <w:r>
              <w:rPr>
                <w:sz w:val="25"/>
              </w:rPr>
              <w:t xml:space="preserve">_______________ </w:t>
            </w:r>
          </w:p>
        </w:tc>
      </w:tr>
    </w:tbl>
    <w:p w14:paraId="85000000">
      <w:pPr>
        <w:widowControl w:val="1"/>
        <w:spacing w:line="240" w:lineRule="atLeast"/>
        <w:ind/>
        <w:rPr>
          <w:sz w:val="25"/>
          <w:vertAlign w:val="superscript"/>
        </w:rPr>
      </w:pPr>
    </w:p>
    <w:p w14:paraId="86000000">
      <w:pPr>
        <w:widowControl w:val="1"/>
        <w:spacing w:line="240" w:lineRule="atLeast"/>
        <w:ind/>
        <w:rPr>
          <w:sz w:val="25"/>
          <w:vertAlign w:val="superscript"/>
        </w:rPr>
      </w:pPr>
    </w:p>
    <w:p w14:paraId="87000000">
      <w:pPr>
        <w:widowControl w:val="1"/>
        <w:spacing w:line="240" w:lineRule="atLeast"/>
        <w:ind/>
        <w:rPr>
          <w:sz w:val="25"/>
          <w:vertAlign w:val="superscript"/>
        </w:rPr>
      </w:pPr>
    </w:p>
    <w:p w14:paraId="88000000">
      <w:pPr>
        <w:widowControl w:val="1"/>
        <w:spacing w:line="240" w:lineRule="atLeast"/>
        <w:ind/>
        <w:rPr>
          <w:sz w:val="25"/>
          <w:vertAlign w:val="superscript"/>
        </w:rPr>
      </w:pPr>
    </w:p>
    <w:p w14:paraId="89000000">
      <w:pPr>
        <w:widowControl w:val="1"/>
        <w:spacing w:line="240" w:lineRule="atLeast"/>
        <w:ind/>
        <w:rPr>
          <w:sz w:val="25"/>
          <w:vertAlign w:val="superscript"/>
        </w:rPr>
      </w:pPr>
    </w:p>
    <w:p w14:paraId="8A000000">
      <w:pPr>
        <w:widowControl w:val="1"/>
        <w:spacing w:line="240" w:lineRule="atLeast"/>
        <w:ind/>
        <w:rPr>
          <w:sz w:val="25"/>
          <w:vertAlign w:val="superscript"/>
        </w:rPr>
      </w:pPr>
    </w:p>
    <w:p w14:paraId="8B000000">
      <w:pPr>
        <w:widowControl w:val="1"/>
        <w:spacing w:line="240" w:lineRule="atLeast"/>
        <w:ind/>
        <w:rPr>
          <w:sz w:val="25"/>
          <w:vertAlign w:val="superscript"/>
        </w:rPr>
      </w:pPr>
    </w:p>
    <w:p w14:paraId="8C000000">
      <w:pPr>
        <w:widowControl w:val="1"/>
        <w:spacing w:line="240" w:lineRule="atLeast"/>
        <w:ind/>
        <w:rPr>
          <w:sz w:val="25"/>
          <w:vertAlign w:val="superscript"/>
        </w:rPr>
      </w:pPr>
    </w:p>
    <w:p w14:paraId="8D000000">
      <w:pPr>
        <w:widowControl w:val="1"/>
        <w:spacing w:line="240" w:lineRule="atLeast"/>
        <w:ind/>
        <w:rPr>
          <w:sz w:val="25"/>
          <w:vertAlign w:val="superscript"/>
        </w:rPr>
      </w:pPr>
    </w:p>
    <w:p w14:paraId="8E000000">
      <w:pPr>
        <w:widowControl w:val="1"/>
        <w:spacing w:line="240" w:lineRule="atLeast"/>
        <w:ind/>
        <w:rPr>
          <w:sz w:val="25"/>
          <w:vertAlign w:val="superscript"/>
        </w:rPr>
      </w:pPr>
    </w:p>
    <w:p w14:paraId="8F000000">
      <w:pPr>
        <w:widowControl w:val="1"/>
        <w:spacing w:line="240" w:lineRule="atLeast"/>
        <w:ind/>
        <w:rPr>
          <w:sz w:val="25"/>
          <w:vertAlign w:val="superscript"/>
        </w:rPr>
      </w:pPr>
    </w:p>
    <w:p w14:paraId="90000000">
      <w:pPr>
        <w:widowControl w:val="1"/>
        <w:spacing w:line="240" w:lineRule="atLeast"/>
        <w:ind/>
        <w:rPr>
          <w:sz w:val="25"/>
          <w:vertAlign w:val="superscript"/>
        </w:rPr>
      </w:pPr>
    </w:p>
    <w:p w14:paraId="91000000">
      <w:pPr>
        <w:widowControl w:val="1"/>
        <w:spacing w:line="240" w:lineRule="atLeast"/>
        <w:ind/>
        <w:rPr>
          <w:sz w:val="25"/>
          <w:vertAlign w:val="superscript"/>
        </w:rPr>
      </w:pPr>
    </w:p>
    <w:p w14:paraId="92000000">
      <w:pPr>
        <w:widowControl w:val="1"/>
        <w:spacing w:line="240" w:lineRule="atLeast"/>
        <w:ind/>
        <w:rPr>
          <w:sz w:val="25"/>
          <w:vertAlign w:val="superscript"/>
        </w:rPr>
      </w:pPr>
    </w:p>
    <w:p w14:paraId="93000000">
      <w:pPr>
        <w:widowControl w:val="1"/>
        <w:spacing w:line="240" w:lineRule="atLeast"/>
        <w:ind/>
        <w:rPr>
          <w:sz w:val="25"/>
          <w:vertAlign w:val="superscript"/>
        </w:rPr>
      </w:pPr>
    </w:p>
    <w:p w14:paraId="94000000">
      <w:pPr>
        <w:widowControl w:val="1"/>
        <w:spacing w:line="240" w:lineRule="atLeast"/>
        <w:ind/>
        <w:rPr>
          <w:sz w:val="25"/>
          <w:vertAlign w:val="superscript"/>
        </w:rPr>
      </w:pPr>
    </w:p>
    <w:p w14:paraId="95000000">
      <w:pPr>
        <w:widowControl w:val="1"/>
        <w:spacing w:line="240" w:lineRule="atLeast"/>
        <w:ind/>
        <w:rPr>
          <w:sz w:val="25"/>
          <w:vertAlign w:val="superscript"/>
        </w:rPr>
      </w:pPr>
    </w:p>
    <w:p w14:paraId="96000000">
      <w:pPr>
        <w:widowControl w:val="1"/>
        <w:spacing w:line="240" w:lineRule="atLeast"/>
        <w:ind/>
        <w:rPr>
          <w:sz w:val="25"/>
          <w:vertAlign w:val="superscript"/>
        </w:rPr>
      </w:pPr>
    </w:p>
    <w:p w14:paraId="97000000">
      <w:pPr>
        <w:widowControl w:val="1"/>
        <w:spacing w:line="240" w:lineRule="atLeast"/>
        <w:ind/>
        <w:rPr>
          <w:sz w:val="25"/>
          <w:vertAlign w:val="superscript"/>
        </w:rPr>
      </w:pPr>
    </w:p>
    <w:p w14:paraId="98000000">
      <w:pPr>
        <w:widowControl w:val="1"/>
        <w:spacing w:line="240" w:lineRule="atLeast"/>
        <w:ind/>
        <w:rPr>
          <w:sz w:val="25"/>
          <w:vertAlign w:val="superscript"/>
        </w:rPr>
      </w:pPr>
    </w:p>
    <w:p w14:paraId="99000000">
      <w:pPr>
        <w:widowControl w:val="1"/>
        <w:spacing w:line="240" w:lineRule="atLeast"/>
        <w:ind/>
        <w:rPr>
          <w:sz w:val="25"/>
          <w:vertAlign w:val="superscript"/>
        </w:rPr>
      </w:pPr>
    </w:p>
    <w:p w14:paraId="9A000000">
      <w:pPr>
        <w:widowControl w:val="1"/>
        <w:spacing w:line="240" w:lineRule="atLeast"/>
        <w:ind/>
        <w:rPr>
          <w:sz w:val="25"/>
          <w:vertAlign w:val="superscript"/>
        </w:rPr>
      </w:pPr>
    </w:p>
    <w:p w14:paraId="9B000000">
      <w:pPr>
        <w:widowControl w:val="1"/>
        <w:spacing w:line="240" w:lineRule="atLeast"/>
        <w:ind/>
        <w:rPr>
          <w:sz w:val="25"/>
          <w:vertAlign w:val="superscript"/>
        </w:rPr>
      </w:pPr>
    </w:p>
    <w:p w14:paraId="9C000000">
      <w:pPr>
        <w:widowControl w:val="1"/>
        <w:spacing w:line="240" w:lineRule="atLeast"/>
        <w:ind/>
        <w:rPr>
          <w:sz w:val="25"/>
          <w:vertAlign w:val="superscript"/>
        </w:rPr>
      </w:pPr>
    </w:p>
    <w:p w14:paraId="9D000000">
      <w:pPr>
        <w:widowControl w:val="1"/>
        <w:spacing w:line="240" w:lineRule="atLeast"/>
        <w:ind/>
        <w:rPr>
          <w:sz w:val="25"/>
          <w:vertAlign w:val="superscript"/>
        </w:rPr>
      </w:pPr>
    </w:p>
    <w:p w14:paraId="9E000000">
      <w:pPr>
        <w:widowControl w:val="1"/>
        <w:spacing w:line="240" w:lineRule="atLeast"/>
        <w:ind/>
        <w:rPr>
          <w:sz w:val="25"/>
          <w:vertAlign w:val="superscript"/>
        </w:rPr>
      </w:pPr>
    </w:p>
    <w:p w14:paraId="9F000000">
      <w:pPr>
        <w:widowControl w:val="1"/>
        <w:spacing w:line="240" w:lineRule="atLeast"/>
        <w:ind/>
        <w:rPr>
          <w:sz w:val="25"/>
          <w:vertAlign w:val="superscript"/>
        </w:rPr>
      </w:pPr>
    </w:p>
    <w:p w14:paraId="A0000000">
      <w:pPr>
        <w:widowControl w:val="1"/>
        <w:spacing w:line="240" w:lineRule="atLeast"/>
        <w:ind/>
        <w:rPr>
          <w:sz w:val="25"/>
          <w:vertAlign w:val="superscript"/>
        </w:rPr>
      </w:pPr>
    </w:p>
    <w:p w14:paraId="A1000000">
      <w:pPr>
        <w:widowControl w:val="1"/>
        <w:spacing w:line="240" w:lineRule="atLeast"/>
        <w:ind/>
        <w:rPr>
          <w:sz w:val="25"/>
          <w:vertAlign w:val="superscript"/>
        </w:rPr>
      </w:pPr>
    </w:p>
    <w:p w14:paraId="A2000000">
      <w:pPr>
        <w:widowControl w:val="1"/>
        <w:spacing w:line="240" w:lineRule="atLeast"/>
        <w:ind/>
        <w:rPr>
          <w:sz w:val="25"/>
          <w:vertAlign w:val="superscript"/>
        </w:rPr>
      </w:pPr>
    </w:p>
    <w:p w14:paraId="A3000000">
      <w:pPr>
        <w:widowControl w:val="1"/>
        <w:spacing w:line="240" w:lineRule="atLeast"/>
        <w:ind/>
        <w:rPr>
          <w:sz w:val="25"/>
          <w:vertAlign w:val="superscript"/>
        </w:rPr>
      </w:pPr>
    </w:p>
    <w:p w14:paraId="A4000000">
      <w:pPr>
        <w:widowControl w:val="1"/>
        <w:spacing w:line="240" w:lineRule="atLeast"/>
        <w:ind/>
        <w:rPr>
          <w:sz w:val="25"/>
          <w:vertAlign w:val="superscript"/>
        </w:rPr>
      </w:pPr>
    </w:p>
    <w:p w14:paraId="A5000000">
      <w:pPr>
        <w:widowControl w:val="1"/>
        <w:spacing w:line="240" w:lineRule="atLeast"/>
        <w:ind/>
        <w:rPr>
          <w:sz w:val="25"/>
          <w:vertAlign w:val="superscript"/>
        </w:rPr>
      </w:pPr>
    </w:p>
    <w:p w14:paraId="A6000000">
      <w:pPr>
        <w:widowControl w:val="1"/>
        <w:spacing w:line="240" w:lineRule="atLeast"/>
        <w:ind/>
        <w:rPr>
          <w:sz w:val="25"/>
          <w:vertAlign w:val="superscript"/>
        </w:rPr>
      </w:pPr>
    </w:p>
    <w:p w14:paraId="A7000000">
      <w:pPr>
        <w:widowControl w:val="1"/>
        <w:spacing w:line="240" w:lineRule="atLeast"/>
        <w:ind/>
        <w:rPr>
          <w:sz w:val="25"/>
          <w:vertAlign w:val="superscript"/>
        </w:rPr>
      </w:pPr>
    </w:p>
    <w:p w14:paraId="A8000000">
      <w:pPr>
        <w:widowControl w:val="1"/>
        <w:spacing w:line="240" w:lineRule="atLeast"/>
        <w:ind/>
        <w:rPr>
          <w:sz w:val="25"/>
          <w:vertAlign w:val="superscript"/>
        </w:rPr>
      </w:pPr>
    </w:p>
    <w:p w14:paraId="A9000000">
      <w:pPr>
        <w:widowControl w:val="1"/>
        <w:spacing w:line="240" w:lineRule="atLeast"/>
        <w:ind/>
        <w:rPr>
          <w:sz w:val="25"/>
          <w:vertAlign w:val="superscript"/>
        </w:rPr>
      </w:pPr>
    </w:p>
    <w:p w14:paraId="AA000000">
      <w:pPr>
        <w:widowControl w:val="1"/>
        <w:spacing w:line="240" w:lineRule="atLeast"/>
        <w:ind/>
        <w:rPr>
          <w:sz w:val="25"/>
          <w:vertAlign w:val="superscript"/>
        </w:rPr>
      </w:pPr>
    </w:p>
    <w:p w14:paraId="AB000000">
      <w:pPr>
        <w:widowControl w:val="1"/>
        <w:spacing w:line="240" w:lineRule="atLeast"/>
        <w:ind/>
        <w:rPr>
          <w:sz w:val="25"/>
          <w:vertAlign w:val="superscript"/>
        </w:rPr>
      </w:pPr>
    </w:p>
    <w:p w14:paraId="AC000000">
      <w:pPr>
        <w:widowControl w:val="1"/>
        <w:spacing w:line="240" w:lineRule="atLeast"/>
        <w:ind/>
        <w:rPr>
          <w:sz w:val="25"/>
          <w:vertAlign w:val="superscript"/>
        </w:rPr>
      </w:pPr>
    </w:p>
    <w:p w14:paraId="AD000000">
      <w:pPr>
        <w:widowControl w:val="1"/>
        <w:spacing w:line="240" w:lineRule="atLeast"/>
        <w:ind/>
        <w:rPr>
          <w:sz w:val="25"/>
          <w:vertAlign w:val="superscript"/>
        </w:rPr>
      </w:pPr>
    </w:p>
    <w:p w14:paraId="AE000000">
      <w:pPr>
        <w:widowControl w:val="1"/>
        <w:spacing w:line="240" w:lineRule="atLeast"/>
        <w:ind/>
        <w:rPr>
          <w:sz w:val="25"/>
          <w:vertAlign w:val="superscript"/>
        </w:rPr>
      </w:pPr>
    </w:p>
    <w:p w14:paraId="AF000000">
      <w:pPr>
        <w:widowControl w:val="1"/>
        <w:spacing w:line="240" w:lineRule="atLeast"/>
        <w:ind w:left="5670"/>
        <w:rPr>
          <w:sz w:val="25"/>
        </w:rPr>
      </w:pPr>
      <w:r>
        <w:rPr>
          <w:sz w:val="25"/>
        </w:rPr>
        <w:t xml:space="preserve">Приложение  к договору № </w:t>
      </w:r>
    </w:p>
    <w:p w14:paraId="B0000000">
      <w:pPr>
        <w:widowControl w:val="1"/>
        <w:spacing w:line="240" w:lineRule="atLeast"/>
        <w:ind w:left="5670"/>
        <w:rPr>
          <w:sz w:val="25"/>
        </w:rPr>
      </w:pPr>
      <w:r>
        <w:rPr>
          <w:sz w:val="25"/>
        </w:rPr>
        <w:t>от «___» __ 2026г.</w:t>
      </w:r>
    </w:p>
    <w:p w14:paraId="B1000000">
      <w:pPr>
        <w:widowControl w:val="1"/>
        <w:spacing w:line="240" w:lineRule="atLeast"/>
        <w:ind w:firstLine="709" w:left="6237"/>
        <w:rPr>
          <w:sz w:val="25"/>
        </w:rPr>
      </w:pPr>
    </w:p>
    <w:p w14:paraId="B2000000">
      <w:pPr>
        <w:widowControl w:val="1"/>
        <w:spacing w:line="240" w:lineRule="atLeast"/>
        <w:ind/>
        <w:jc w:val="center"/>
        <w:outlineLvl w:val="0"/>
        <w:rPr>
          <w:b w:val="1"/>
          <w:sz w:val="25"/>
        </w:rPr>
      </w:pPr>
      <w:r>
        <w:rPr>
          <w:b w:val="1"/>
          <w:sz w:val="25"/>
        </w:rPr>
        <w:t>Спецификация на поставку товара</w:t>
      </w:r>
    </w:p>
    <w:p w14:paraId="B3000000">
      <w:pPr>
        <w:widowControl w:val="1"/>
        <w:ind/>
        <w:jc w:val="both"/>
      </w:pPr>
    </w:p>
    <w:p w14:paraId="B4000000">
      <w:pPr>
        <w:widowControl w:val="1"/>
        <w:spacing w:line="240" w:lineRule="atLeast"/>
        <w:ind/>
        <w:jc w:val="center"/>
        <w:outlineLvl w:val="0"/>
        <w:rPr>
          <w:b w:val="1"/>
          <w:sz w:val="25"/>
        </w:rPr>
      </w:pPr>
    </w:p>
    <w:tbl>
      <w:tblPr>
        <w:tblStyle w:val="Style_5"/>
        <w:tblW w:type="auto" w:w="0"/>
        <w:tblInd w:type="dxa" w:w="-34"/>
        <w:tblBorders>
          <w:top w:color="000000" w:sz="4" w:val="single"/>
          <w:left w:color="000000" w:sz="4" w:val="single"/>
          <w:bottom w:color="000000" w:sz="4" w:val="single"/>
          <w:right w:color="000000" w:sz="4" w:val="single"/>
          <w:insideH w:color="000000" w:sz="4" w:val="single"/>
          <w:insideV w:color="000000" w:sz="4" w:val="single"/>
        </w:tblBorders>
        <w:tblLayout w:type="fixed"/>
        <w:tblCellMar>
          <w:top w:type="dxa" w:w="0"/>
          <w:left w:type="dxa" w:w="108"/>
          <w:bottom w:type="dxa" w:w="0"/>
          <w:right w:type="dxa" w:w="108"/>
        </w:tblCellMar>
      </w:tblPr>
      <w:tblGrid>
        <w:gridCol w:w="595"/>
        <w:gridCol w:w="4225"/>
        <w:gridCol w:w="992"/>
        <w:gridCol w:w="993"/>
        <w:gridCol w:w="1559"/>
        <w:gridCol w:w="1843"/>
      </w:tblGrid>
      <w:tr>
        <w:trPr>
          <w:trHeight w:hRule="atLeast" w:val="360"/>
        </w:trPr>
        <w:tc>
          <w:tcPr>
            <w:tcW w:type="dxa" w:w="595"/>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vAlign w:val="center"/>
          </w:tcPr>
          <w:p w14:paraId="B5000000">
            <w:pPr>
              <w:widowControl w:val="1"/>
              <w:ind/>
              <w:jc w:val="center"/>
              <w:rPr>
                <w:sz w:val="26"/>
              </w:rPr>
            </w:pPr>
            <w:r>
              <w:rPr>
                <w:sz w:val="26"/>
              </w:rPr>
              <w:t>№ п/п</w:t>
            </w:r>
          </w:p>
        </w:tc>
        <w:tc>
          <w:tcPr>
            <w:tcW w:type="dxa" w:w="4225"/>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vAlign w:val="center"/>
          </w:tcPr>
          <w:p w14:paraId="B6000000">
            <w:pPr>
              <w:widowControl w:val="1"/>
              <w:ind/>
              <w:jc w:val="center"/>
              <w:rPr>
                <w:sz w:val="26"/>
              </w:rPr>
            </w:pPr>
            <w:r>
              <w:rPr>
                <w:sz w:val="26"/>
              </w:rPr>
              <w:t>Наименование товара</w:t>
            </w:r>
          </w:p>
        </w:tc>
        <w:tc>
          <w:tcPr>
            <w:tcW w:type="dxa" w:w="992"/>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vAlign w:val="center"/>
          </w:tcPr>
          <w:p w14:paraId="B7000000">
            <w:pPr>
              <w:widowControl w:val="1"/>
              <w:ind/>
              <w:jc w:val="center"/>
              <w:rPr>
                <w:sz w:val="26"/>
              </w:rPr>
            </w:pPr>
            <w:r>
              <w:rPr>
                <w:sz w:val="26"/>
              </w:rPr>
              <w:t>Ед. изм.</w:t>
            </w:r>
          </w:p>
        </w:tc>
        <w:tc>
          <w:tcPr>
            <w:tcW w:type="dxa" w:w="993"/>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vAlign w:val="center"/>
          </w:tcPr>
          <w:p w14:paraId="B8000000">
            <w:pPr>
              <w:widowControl w:val="1"/>
              <w:ind/>
              <w:jc w:val="center"/>
              <w:rPr>
                <w:sz w:val="26"/>
              </w:rPr>
            </w:pPr>
            <w:r>
              <w:rPr>
                <w:sz w:val="26"/>
              </w:rPr>
              <w:t>Кол-во</w:t>
            </w:r>
          </w:p>
        </w:tc>
        <w:tc>
          <w:tcPr>
            <w:tcW w:type="dxa" w:w="1559"/>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vAlign w:val="center"/>
          </w:tcPr>
          <w:p w14:paraId="B9000000">
            <w:pPr>
              <w:widowControl w:val="1"/>
              <w:ind/>
              <w:jc w:val="center"/>
              <w:rPr>
                <w:sz w:val="26"/>
              </w:rPr>
            </w:pPr>
            <w:r>
              <w:rPr>
                <w:sz w:val="26"/>
              </w:rPr>
              <w:t>Цена за ед. (руб.)</w:t>
            </w:r>
          </w:p>
        </w:tc>
        <w:tc>
          <w:tcPr>
            <w:tcW w:type="dxa" w:w="1843"/>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vAlign w:val="center"/>
          </w:tcPr>
          <w:p w14:paraId="BA000000">
            <w:pPr>
              <w:widowControl w:val="1"/>
              <w:ind/>
              <w:jc w:val="center"/>
              <w:rPr>
                <w:sz w:val="26"/>
              </w:rPr>
            </w:pPr>
            <w:r>
              <w:rPr>
                <w:sz w:val="26"/>
              </w:rPr>
              <w:t>Сумма (руб.)</w:t>
            </w:r>
          </w:p>
        </w:tc>
      </w:tr>
      <w:tr>
        <w:trPr>
          <w:trHeight w:hRule="atLeast" w:val="434"/>
        </w:trPr>
        <w:tc>
          <w:tcPr>
            <w:tcW w:type="dxa" w:w="595"/>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vAlign w:val="center"/>
          </w:tcPr>
          <w:p w14:paraId="BB000000">
            <w:pPr>
              <w:widowControl w:val="1"/>
              <w:ind/>
              <w:jc w:val="center"/>
              <w:rPr>
                <w:sz w:val="26"/>
              </w:rPr>
            </w:pPr>
            <w:r>
              <w:rPr>
                <w:sz w:val="26"/>
              </w:rPr>
              <w:t>1</w:t>
            </w:r>
          </w:p>
        </w:tc>
        <w:tc>
          <w:tcPr>
            <w:tcW w:type="dxa" w:w="4225"/>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vAlign w:val="center"/>
          </w:tcPr>
          <w:p w14:paraId="BC000000">
            <w:pPr>
              <w:widowControl w:val="1"/>
              <w:spacing w:after="0" w:before="0"/>
              <w:ind w:firstLine="0" w:left="0" w:right="0"/>
              <w:jc w:val="left"/>
              <w:rPr>
                <w:rFonts w:ascii="Times New Roman" w:hAnsi="Times New Roman"/>
                <w:b w:val="1"/>
                <w:i w:val="0"/>
                <w:caps w:val="0"/>
                <w:color w:val="000000"/>
                <w:spacing w:val="0"/>
                <w:sz w:val="24"/>
                <w:highlight w:val="white"/>
              </w:rPr>
            </w:pPr>
            <w:r>
              <w:rPr>
                <w:rFonts w:ascii="Times New Roman" w:hAnsi="Times New Roman"/>
                <w:b w:val="1"/>
                <w:i w:val="0"/>
                <w:caps w:val="0"/>
                <w:color w:val="000000"/>
                <w:spacing w:val="0"/>
                <w:sz w:val="24"/>
                <w:highlight w:val="white"/>
              </w:rPr>
              <w:t>информационная вывеска:</w:t>
            </w:r>
          </w:p>
          <w:p w14:paraId="BD000000">
            <w:pPr>
              <w:widowControl w:val="1"/>
              <w:spacing w:after="0" w:before="0"/>
              <w:ind w:firstLine="0" w:left="0" w:right="0"/>
              <w:jc w:val="left"/>
              <w:rPr>
                <w:rFonts w:ascii="Times New Roman" w:hAnsi="Times New Roman"/>
                <w:b w:val="0"/>
                <w:i w:val="0"/>
                <w:caps w:val="0"/>
                <w:color w:val="000000"/>
                <w:spacing w:val="0"/>
                <w:sz w:val="24"/>
                <w:highlight w:val="white"/>
              </w:rPr>
            </w:pPr>
            <w:r>
              <w:rPr>
                <w:rFonts w:ascii="Times New Roman" w:hAnsi="Times New Roman"/>
                <w:b w:val="0"/>
                <w:i w:val="0"/>
                <w:caps w:val="0"/>
                <w:color w:val="000000"/>
                <w:spacing w:val="0"/>
                <w:sz w:val="24"/>
                <w:highlight w:val="white"/>
              </w:rPr>
              <w:t>высота 50 см</w:t>
            </w:r>
          </w:p>
          <w:p w14:paraId="BE000000">
            <w:pPr>
              <w:widowControl w:val="1"/>
              <w:spacing w:after="0" w:before="0"/>
              <w:ind w:firstLine="0" w:left="0" w:right="0"/>
              <w:jc w:val="left"/>
              <w:rPr>
                <w:rFonts w:ascii="Times New Roman" w:hAnsi="Times New Roman"/>
                <w:b w:val="0"/>
                <w:i w:val="0"/>
                <w:caps w:val="0"/>
                <w:color w:val="000000"/>
                <w:spacing w:val="0"/>
                <w:sz w:val="24"/>
                <w:highlight w:val="white"/>
              </w:rPr>
            </w:pPr>
            <w:r>
              <w:rPr>
                <w:rFonts w:ascii="Times New Roman" w:hAnsi="Times New Roman"/>
                <w:b w:val="0"/>
                <w:i w:val="0"/>
                <w:caps w:val="0"/>
                <w:color w:val="000000"/>
                <w:spacing w:val="0"/>
                <w:sz w:val="24"/>
                <w:highlight w:val="white"/>
              </w:rPr>
              <w:t xml:space="preserve">ширина 70 см </w:t>
            </w:r>
          </w:p>
          <w:p w14:paraId="BF000000">
            <w:pPr>
              <w:widowControl w:val="1"/>
              <w:spacing w:after="0" w:before="0"/>
              <w:ind w:firstLine="0" w:left="0" w:right="0"/>
              <w:jc w:val="left"/>
              <w:rPr>
                <w:rFonts w:ascii="Times New Roman" w:hAnsi="Times New Roman"/>
                <w:b w:val="0"/>
                <w:i w:val="0"/>
                <w:caps w:val="0"/>
                <w:color w:val="000000"/>
                <w:spacing w:val="0"/>
                <w:sz w:val="24"/>
                <w:highlight w:val="white"/>
              </w:rPr>
            </w:pPr>
            <w:r>
              <w:rPr>
                <w:rFonts w:ascii="Times New Roman" w:hAnsi="Times New Roman"/>
                <w:sz w:val="24"/>
              </w:rPr>
              <w:t xml:space="preserve">Материал вывески: Двойное акриловое стекло </w:t>
            </w:r>
          </w:p>
          <w:p w14:paraId="C0000000">
            <w:pPr>
              <w:widowControl w:val="1"/>
              <w:spacing w:after="0" w:before="0"/>
              <w:ind w:firstLine="0" w:left="0" w:right="0"/>
              <w:jc w:val="left"/>
              <w:rPr>
                <w:rFonts w:ascii="Times New Roman" w:hAnsi="Times New Roman"/>
                <w:b w:val="0"/>
                <w:i w:val="0"/>
                <w:caps w:val="0"/>
                <w:color w:val="000000"/>
                <w:spacing w:val="0"/>
                <w:sz w:val="24"/>
                <w:highlight w:val="white"/>
              </w:rPr>
            </w:pPr>
            <w:r>
              <w:rPr>
                <w:rFonts w:ascii="Times New Roman" w:hAnsi="Times New Roman"/>
                <w:sz w:val="24"/>
              </w:rPr>
              <w:t xml:space="preserve">Цвет основы вывески: Молочный акрил 3 мм. </w:t>
            </w:r>
            <w:r>
              <w:rPr>
                <w:rFonts w:ascii="Times New Roman" w:hAnsi="Times New Roman"/>
                <w:sz w:val="24"/>
              </w:rPr>
              <w:t>Прозрачный акрил 3 мм Метод нанесения надписи: УФ печать + УФ  лак+ покрытие оракалом</w:t>
            </w:r>
          </w:p>
          <w:p w14:paraId="C1000000">
            <w:pPr>
              <w:widowControl w:val="1"/>
              <w:spacing w:after="0" w:before="0"/>
              <w:ind w:firstLine="0" w:left="0" w:right="0"/>
              <w:jc w:val="left"/>
              <w:rPr>
                <w:rFonts w:ascii="Times New Roman" w:hAnsi="Times New Roman"/>
                <w:b w:val="0"/>
                <w:i w:val="0"/>
                <w:caps w:val="0"/>
                <w:color w:val="000000"/>
                <w:spacing w:val="0"/>
                <w:sz w:val="24"/>
                <w:highlight w:val="white"/>
              </w:rPr>
            </w:pPr>
            <w:r>
              <w:rPr>
                <w:rFonts w:ascii="Times New Roman" w:hAnsi="Times New Roman"/>
                <w:sz w:val="24"/>
              </w:rPr>
              <w:t>Рамка - Профиль алюминевый ALU FRAME-анодированный серебро Способ крепления вывески - Хромированные металлические дистанционные держатели</w:t>
            </w:r>
          </w:p>
          <w:p w14:paraId="C2000000">
            <w:pPr>
              <w:widowControl w:val="1"/>
              <w:spacing w:after="0" w:before="0"/>
              <w:ind w:firstLine="0" w:left="0" w:right="0"/>
              <w:jc w:val="left"/>
              <w:rPr>
                <w:rFonts w:ascii="Times New Roman" w:hAnsi="Times New Roman"/>
                <w:b w:val="0"/>
                <w:i w:val="0"/>
                <w:caps w:val="0"/>
                <w:color w:val="000000"/>
                <w:spacing w:val="0"/>
                <w:sz w:val="24"/>
                <w:highlight w:val="white"/>
              </w:rPr>
            </w:pPr>
            <w:r>
              <w:rPr>
                <w:rFonts w:ascii="Times New Roman" w:hAnsi="Times New Roman"/>
                <w:sz w:val="24"/>
              </w:rPr>
              <w:t>Наличие саморезов с дюбелями для крепления – Да</w:t>
            </w:r>
          </w:p>
          <w:p w14:paraId="C3000000">
            <w:pPr>
              <w:widowControl w:val="1"/>
              <w:spacing w:after="0" w:before="0"/>
              <w:ind w:firstLine="0" w:left="0" w:right="0"/>
              <w:jc w:val="left"/>
              <w:rPr>
                <w:rFonts w:ascii="Times New Roman" w:hAnsi="Times New Roman"/>
                <w:b w:val="0"/>
                <w:i w:val="0"/>
                <w:caps w:val="0"/>
                <w:color w:val="000000"/>
                <w:spacing w:val="0"/>
                <w:sz w:val="24"/>
                <w:highlight w:val="white"/>
              </w:rPr>
            </w:pPr>
            <w:r>
              <w:rPr>
                <w:rFonts w:ascii="Times New Roman" w:hAnsi="Times New Roman"/>
                <w:sz w:val="24"/>
              </w:rPr>
              <w:t xml:space="preserve">Наличие целлофановой упаковки - Да </w:t>
            </w:r>
          </w:p>
        </w:tc>
        <w:tc>
          <w:tcPr>
            <w:tcW w:type="dxa" w:w="992"/>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vAlign w:val="center"/>
          </w:tcPr>
          <w:p w14:paraId="C4000000">
            <w:pPr>
              <w:widowControl w:val="1"/>
              <w:ind/>
              <w:jc w:val="center"/>
              <w:rPr>
                <w:sz w:val="26"/>
              </w:rPr>
            </w:pPr>
            <w:r>
              <w:rPr>
                <w:sz w:val="26"/>
              </w:rPr>
              <w:t>Шт.</w:t>
            </w:r>
          </w:p>
        </w:tc>
        <w:tc>
          <w:tcPr>
            <w:tcW w:type="dxa" w:w="993"/>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vAlign w:val="center"/>
          </w:tcPr>
          <w:p w14:paraId="C5000000">
            <w:pPr>
              <w:widowControl w:val="1"/>
              <w:ind/>
              <w:jc w:val="center"/>
              <w:rPr>
                <w:sz w:val="26"/>
              </w:rPr>
            </w:pPr>
            <w:r>
              <w:rPr>
                <w:sz w:val="26"/>
              </w:rPr>
              <w:t>58</w:t>
            </w:r>
          </w:p>
        </w:tc>
        <w:tc>
          <w:tcPr>
            <w:tcW w:type="dxa" w:w="1559"/>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vAlign w:val="center"/>
          </w:tcPr>
          <w:p w14:paraId="C6000000">
            <w:pPr>
              <w:widowControl w:val="1"/>
              <w:ind/>
              <w:jc w:val="center"/>
              <w:rPr>
                <w:sz w:val="26"/>
              </w:rPr>
            </w:pPr>
          </w:p>
        </w:tc>
        <w:tc>
          <w:tcPr>
            <w:tcW w:type="dxa" w:w="1843"/>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vAlign w:val="center"/>
          </w:tcPr>
          <w:p w14:paraId="C7000000">
            <w:pPr>
              <w:widowControl w:val="1"/>
              <w:ind/>
              <w:jc w:val="center"/>
              <w:rPr>
                <w:sz w:val="26"/>
              </w:rPr>
            </w:pPr>
          </w:p>
        </w:tc>
      </w:tr>
      <w:tr>
        <w:trPr>
          <w:trHeight w:hRule="atLeast" w:val="434"/>
        </w:trPr>
        <w:tc>
          <w:tcPr>
            <w:tcW w:type="dxa" w:w="595"/>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vAlign w:val="center"/>
          </w:tcPr>
          <w:p w14:paraId="C8000000">
            <w:pPr>
              <w:widowControl w:val="1"/>
              <w:ind/>
              <w:jc w:val="center"/>
              <w:rPr>
                <w:sz w:val="26"/>
              </w:rPr>
            </w:pPr>
            <w:r>
              <w:rPr>
                <w:sz w:val="26"/>
              </w:rPr>
              <w:t>2</w:t>
            </w:r>
          </w:p>
        </w:tc>
        <w:tc>
          <w:tcPr>
            <w:tcW w:type="dxa" w:w="4225"/>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vAlign w:val="center"/>
          </w:tcPr>
          <w:p w14:paraId="C9000000">
            <w:pPr>
              <w:rPr>
                <w:rFonts w:ascii="Times New Roman" w:hAnsi="Times New Roman"/>
                <w:sz w:val="24"/>
              </w:rPr>
            </w:pPr>
            <w:r>
              <w:rPr>
                <w:rFonts w:ascii="Times New Roman" w:hAnsi="Times New Roman"/>
                <w:sz w:val="24"/>
              </w:rPr>
              <w:t>Плакат А2, с изображением сайгаков и информацией о заповеднике «Чёрные земли» бумага мелованная 1</w:t>
            </w:r>
            <w:r>
              <w:rPr>
                <w:rFonts w:ascii="Times New Roman" w:hAnsi="Times New Roman"/>
                <w:sz w:val="24"/>
              </w:rPr>
              <w:t xml:space="preserve"> . </w:t>
            </w:r>
          </w:p>
          <w:p w14:paraId="CA000000">
            <w:pPr>
              <w:rPr>
                <w:rFonts w:ascii="Times New Roman" w:hAnsi="Times New Roman"/>
                <w:sz w:val="24"/>
              </w:rPr>
            </w:pPr>
            <w:r>
              <w:rPr>
                <w:rFonts w:ascii="Times New Roman" w:hAnsi="Times New Roman"/>
                <w:sz w:val="24"/>
              </w:rPr>
              <w:t xml:space="preserve">Услуги дизайна,  подготовка  и  верстка печатного издания  за счет производителя 50 гр/м2, печать </w:t>
            </w:r>
            <w:r>
              <w:rPr>
                <w:rFonts w:ascii="Times New Roman" w:hAnsi="Times New Roman"/>
                <w:sz w:val="24"/>
              </w:rPr>
              <w:t>CMYK</w:t>
            </w:r>
            <w:r>
              <w:rPr>
                <w:rFonts w:ascii="Times New Roman" w:hAnsi="Times New Roman"/>
                <w:sz w:val="24"/>
              </w:rPr>
              <w:t xml:space="preserve"> 4+0.</w:t>
            </w:r>
          </w:p>
          <w:p w14:paraId="CB000000">
            <w:pPr>
              <w:rPr>
                <w:rFonts w:ascii="Times New Roman" w:hAnsi="Times New Roman"/>
                <w:sz w:val="24"/>
              </w:rPr>
            </w:pPr>
            <w:r>
              <w:rPr>
                <w:rFonts w:ascii="Times New Roman" w:hAnsi="Times New Roman"/>
                <w:sz w:val="24"/>
              </w:rPr>
              <w:t xml:space="preserve"> Доставка за счет производителя по указанному  адресу клиента                  г. Элиста, ул. </w:t>
            </w:r>
            <w:r>
              <w:rPr>
                <w:rFonts w:ascii="Times New Roman" w:hAnsi="Times New Roman"/>
                <w:sz w:val="24"/>
              </w:rPr>
              <w:t>Лермонтова 4</w:t>
            </w:r>
          </w:p>
          <w:p w14:paraId="CC000000">
            <w:pPr>
              <w:rPr>
                <w:rFonts w:ascii="Times New Roman" w:hAnsi="Times New Roman"/>
                <w:sz w:val="24"/>
              </w:rPr>
            </w:pPr>
          </w:p>
        </w:tc>
        <w:tc>
          <w:tcPr>
            <w:tcW w:type="dxa" w:w="992"/>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vAlign w:val="center"/>
          </w:tcPr>
          <w:p w14:paraId="CD000000">
            <w:pPr>
              <w:widowControl w:val="1"/>
              <w:ind/>
              <w:jc w:val="center"/>
              <w:rPr>
                <w:sz w:val="26"/>
              </w:rPr>
            </w:pPr>
            <w:r>
              <w:rPr>
                <w:sz w:val="26"/>
              </w:rPr>
              <w:t>Шт.</w:t>
            </w:r>
          </w:p>
        </w:tc>
        <w:tc>
          <w:tcPr>
            <w:tcW w:type="dxa" w:w="993"/>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vAlign w:val="center"/>
          </w:tcPr>
          <w:p w14:paraId="CE000000">
            <w:pPr>
              <w:widowControl w:val="1"/>
              <w:ind/>
              <w:jc w:val="center"/>
              <w:rPr>
                <w:sz w:val="26"/>
              </w:rPr>
            </w:pPr>
            <w:r>
              <w:rPr>
                <w:sz w:val="26"/>
              </w:rPr>
              <w:t>150</w:t>
            </w:r>
          </w:p>
        </w:tc>
        <w:tc>
          <w:tcPr>
            <w:tcW w:type="dxa" w:w="1559"/>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vAlign w:val="center"/>
          </w:tcPr>
          <w:p w14:paraId="CF000000">
            <w:pPr>
              <w:widowControl w:val="1"/>
              <w:ind/>
              <w:jc w:val="center"/>
              <w:rPr>
                <w:sz w:val="26"/>
              </w:rPr>
            </w:pPr>
          </w:p>
        </w:tc>
        <w:tc>
          <w:tcPr>
            <w:tcW w:type="dxa" w:w="1843"/>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vAlign w:val="center"/>
          </w:tcPr>
          <w:p w14:paraId="D0000000">
            <w:pPr>
              <w:widowControl w:val="1"/>
              <w:ind/>
              <w:jc w:val="center"/>
              <w:rPr>
                <w:sz w:val="26"/>
              </w:rPr>
            </w:pPr>
          </w:p>
        </w:tc>
      </w:tr>
      <w:tr>
        <w:trPr>
          <w:trHeight w:hRule="atLeast" w:val="434"/>
        </w:trPr>
        <w:tc>
          <w:tcPr>
            <w:tcW w:type="dxa" w:w="595"/>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vAlign w:val="center"/>
          </w:tcPr>
          <w:p w14:paraId="D1000000">
            <w:pPr>
              <w:widowControl w:val="1"/>
              <w:ind/>
              <w:jc w:val="center"/>
              <w:rPr>
                <w:sz w:val="26"/>
              </w:rPr>
            </w:pPr>
            <w:r>
              <w:rPr>
                <w:sz w:val="26"/>
              </w:rPr>
              <w:t>3</w:t>
            </w:r>
          </w:p>
        </w:tc>
        <w:tc>
          <w:tcPr>
            <w:tcW w:type="dxa" w:w="4225"/>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vAlign w:val="center"/>
          </w:tcPr>
          <w:p w14:paraId="D2000000">
            <w:pPr>
              <w:rPr>
                <w:rFonts w:ascii="Times New Roman" w:hAnsi="Times New Roman"/>
                <w:sz w:val="24"/>
              </w:rPr>
            </w:pPr>
            <w:r>
              <w:rPr>
                <w:rFonts w:ascii="Times New Roman" w:hAnsi="Times New Roman"/>
                <w:sz w:val="24"/>
              </w:rPr>
              <w:t xml:space="preserve">Буклет А4 ( в развороте) с  информацией о заповеднике «Чёрные земли», 2 биго-фальца,  бумага мелованная глянцевая 130 гр/м2, печать </w:t>
            </w:r>
            <w:r>
              <w:rPr>
                <w:rFonts w:ascii="Times New Roman" w:hAnsi="Times New Roman"/>
                <w:sz w:val="24"/>
              </w:rPr>
              <w:t>CMYK</w:t>
            </w:r>
            <w:r>
              <w:rPr>
                <w:rFonts w:ascii="Times New Roman" w:hAnsi="Times New Roman"/>
                <w:sz w:val="24"/>
              </w:rPr>
              <w:t xml:space="preserve"> 4+4 . </w:t>
            </w:r>
          </w:p>
          <w:p w14:paraId="D3000000">
            <w:pPr>
              <w:rPr>
                <w:sz w:val="26"/>
              </w:rPr>
            </w:pPr>
          </w:p>
        </w:tc>
        <w:tc>
          <w:tcPr>
            <w:tcW w:type="dxa" w:w="992"/>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vAlign w:val="center"/>
          </w:tcPr>
          <w:p w14:paraId="D4000000">
            <w:pPr>
              <w:widowControl w:val="1"/>
              <w:ind/>
              <w:jc w:val="center"/>
              <w:rPr>
                <w:sz w:val="26"/>
              </w:rPr>
            </w:pPr>
            <w:r>
              <w:rPr>
                <w:sz w:val="26"/>
              </w:rPr>
              <w:t>Шт.</w:t>
            </w:r>
          </w:p>
        </w:tc>
        <w:tc>
          <w:tcPr>
            <w:tcW w:type="dxa" w:w="993"/>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vAlign w:val="center"/>
          </w:tcPr>
          <w:p w14:paraId="D5000000">
            <w:pPr>
              <w:widowControl w:val="1"/>
              <w:ind/>
              <w:jc w:val="center"/>
              <w:rPr>
                <w:sz w:val="26"/>
              </w:rPr>
            </w:pPr>
            <w:r>
              <w:rPr>
                <w:sz w:val="26"/>
              </w:rPr>
              <w:t>500</w:t>
            </w:r>
          </w:p>
        </w:tc>
        <w:tc>
          <w:tcPr>
            <w:tcW w:type="dxa" w:w="1559"/>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vAlign w:val="center"/>
          </w:tcPr>
          <w:p w14:paraId="D6000000">
            <w:pPr>
              <w:widowControl w:val="1"/>
              <w:ind/>
              <w:jc w:val="center"/>
              <w:rPr>
                <w:sz w:val="26"/>
              </w:rPr>
            </w:pPr>
          </w:p>
        </w:tc>
        <w:tc>
          <w:tcPr>
            <w:tcW w:type="dxa" w:w="1843"/>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vAlign w:val="center"/>
          </w:tcPr>
          <w:p w14:paraId="D7000000">
            <w:pPr>
              <w:widowControl w:val="1"/>
              <w:ind/>
              <w:jc w:val="center"/>
              <w:rPr>
                <w:sz w:val="26"/>
              </w:rPr>
            </w:pPr>
          </w:p>
        </w:tc>
      </w:tr>
      <w:tr>
        <w:trPr>
          <w:trHeight w:hRule="atLeast" w:val="434"/>
        </w:trPr>
        <w:tc>
          <w:tcPr>
            <w:tcW w:type="dxa" w:w="595"/>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vAlign w:val="center"/>
          </w:tcPr>
          <w:p w14:paraId="D8000000">
            <w:pPr>
              <w:widowControl w:val="1"/>
              <w:ind/>
              <w:jc w:val="center"/>
              <w:rPr>
                <w:sz w:val="26"/>
              </w:rPr>
            </w:pPr>
            <w:r>
              <w:rPr>
                <w:sz w:val="26"/>
              </w:rPr>
              <w:t>4</w:t>
            </w:r>
          </w:p>
        </w:tc>
        <w:tc>
          <w:tcPr>
            <w:tcW w:type="dxa" w:w="4225"/>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vAlign w:val="center"/>
          </w:tcPr>
          <w:p w14:paraId="D9000000">
            <w:pPr>
              <w:rPr>
                <w:rFonts w:ascii="Times New Roman" w:hAnsi="Times New Roman"/>
                <w:sz w:val="24"/>
              </w:rPr>
            </w:pPr>
            <w:bookmarkStart w:id="1" w:name="_GoBack"/>
            <w:bookmarkEnd w:id="1"/>
            <w:r>
              <w:rPr>
                <w:rFonts w:ascii="Times New Roman" w:hAnsi="Times New Roman"/>
                <w:sz w:val="24"/>
              </w:rPr>
              <w:t>Стикерпак А5, про сайгаков , самоклеющаяся бумага 80 гр, печать 4+0, плоттерная резка.</w:t>
            </w:r>
          </w:p>
        </w:tc>
        <w:tc>
          <w:tcPr>
            <w:tcW w:type="dxa" w:w="992"/>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vAlign w:val="center"/>
          </w:tcPr>
          <w:p w14:paraId="DA000000">
            <w:pPr>
              <w:widowControl w:val="1"/>
              <w:ind/>
              <w:jc w:val="center"/>
              <w:rPr>
                <w:sz w:val="26"/>
              </w:rPr>
            </w:pPr>
            <w:r>
              <w:rPr>
                <w:sz w:val="26"/>
              </w:rPr>
              <w:t>Шт.</w:t>
            </w:r>
          </w:p>
        </w:tc>
        <w:tc>
          <w:tcPr>
            <w:tcW w:type="dxa" w:w="993"/>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vAlign w:val="center"/>
          </w:tcPr>
          <w:p w14:paraId="DB000000">
            <w:pPr>
              <w:widowControl w:val="1"/>
              <w:ind/>
              <w:jc w:val="center"/>
              <w:rPr>
                <w:sz w:val="26"/>
              </w:rPr>
            </w:pPr>
            <w:r>
              <w:rPr>
                <w:sz w:val="26"/>
              </w:rPr>
              <w:t>300</w:t>
            </w:r>
          </w:p>
        </w:tc>
        <w:tc>
          <w:tcPr>
            <w:tcW w:type="dxa" w:w="1559"/>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vAlign w:val="center"/>
          </w:tcPr>
          <w:p w14:paraId="DC000000">
            <w:pPr>
              <w:widowControl w:val="1"/>
              <w:ind/>
              <w:jc w:val="center"/>
              <w:rPr>
                <w:sz w:val="26"/>
              </w:rPr>
            </w:pPr>
          </w:p>
        </w:tc>
        <w:tc>
          <w:tcPr>
            <w:tcW w:type="dxa" w:w="1843"/>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vAlign w:val="center"/>
          </w:tcPr>
          <w:p w14:paraId="DD000000">
            <w:pPr>
              <w:widowControl w:val="1"/>
              <w:ind/>
              <w:jc w:val="center"/>
              <w:rPr>
                <w:sz w:val="26"/>
              </w:rPr>
            </w:pPr>
          </w:p>
        </w:tc>
      </w:tr>
      <w:tr>
        <w:trPr>
          <w:trHeight w:hRule="atLeast" w:val="434"/>
        </w:trPr>
        <w:tc>
          <w:tcPr>
            <w:tcW w:type="dxa" w:w="595"/>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vAlign w:val="center"/>
          </w:tcPr>
          <w:p w14:paraId="DE000000">
            <w:pPr>
              <w:widowControl w:val="1"/>
              <w:ind/>
              <w:jc w:val="center"/>
              <w:rPr>
                <w:sz w:val="26"/>
              </w:rPr>
            </w:pPr>
            <w:r>
              <w:rPr>
                <w:sz w:val="26"/>
              </w:rPr>
              <w:t>5</w:t>
            </w:r>
          </w:p>
        </w:tc>
        <w:tc>
          <w:tcPr>
            <w:tcW w:type="dxa" w:w="422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DF000000">
            <w:pPr>
              <w:rPr>
                <w:rFonts w:ascii="Times New Roman" w:hAnsi="Times New Roman"/>
                <w:sz w:val="24"/>
              </w:rPr>
            </w:pPr>
            <w:r>
              <w:rPr>
                <w:rFonts w:ascii="Times New Roman" w:hAnsi="Times New Roman"/>
                <w:sz w:val="24"/>
              </w:rPr>
              <w:t xml:space="preserve">Блокнот А5 с изображением рисунков сайгаков и логотипа заповедника, логотип на каждом листе </w:t>
            </w:r>
          </w:p>
          <w:p w14:paraId="E0000000">
            <w:pPr>
              <w:rPr>
                <w:rFonts w:ascii="Times New Roman" w:hAnsi="Times New Roman"/>
                <w:sz w:val="24"/>
              </w:rPr>
            </w:pPr>
            <w:r>
              <w:rPr>
                <w:rFonts w:ascii="Times New Roman" w:hAnsi="Times New Roman"/>
                <w:sz w:val="24"/>
              </w:rPr>
              <w:t xml:space="preserve">бумага картон 300 гр/м2, печать обложки /подложки  </w:t>
            </w:r>
            <w:r>
              <w:rPr>
                <w:rFonts w:ascii="Times New Roman" w:hAnsi="Times New Roman"/>
                <w:sz w:val="24"/>
              </w:rPr>
              <w:t>CMYK</w:t>
            </w:r>
            <w:r>
              <w:rPr>
                <w:rFonts w:ascii="Times New Roman" w:hAnsi="Times New Roman"/>
                <w:sz w:val="24"/>
              </w:rPr>
              <w:t xml:space="preserve">  4+4,   блок  - бумага 80 гр/м2, печать 1+0, 50 листов  пружина.  </w:t>
            </w:r>
          </w:p>
          <w:p w14:paraId="E1000000">
            <w:pPr>
              <w:rPr>
                <w:rFonts w:ascii="Times New Roman" w:hAnsi="Times New Roman"/>
                <w:sz w:val="24"/>
              </w:rPr>
            </w:pPr>
            <w:r>
              <w:rPr>
                <w:rFonts w:ascii="Times New Roman" w:hAnsi="Times New Roman"/>
                <w:sz w:val="24"/>
              </w:rPr>
              <w:t>ламинация обложка и подложка soft touch   и уф лак выборочно.</w:t>
            </w:r>
          </w:p>
          <w:p w14:paraId="E2000000">
            <w:pPr>
              <w:rPr>
                <w:rFonts w:ascii="Times New Roman" w:hAnsi="Times New Roman"/>
                <w:sz w:val="24"/>
              </w:rPr>
            </w:pPr>
          </w:p>
        </w:tc>
        <w:tc>
          <w:tcPr>
            <w:tcW w:type="dxa" w:w="992"/>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vAlign w:val="center"/>
          </w:tcPr>
          <w:p w14:paraId="E3000000">
            <w:pPr>
              <w:widowControl w:val="1"/>
              <w:ind/>
              <w:jc w:val="center"/>
              <w:rPr>
                <w:sz w:val="26"/>
              </w:rPr>
            </w:pPr>
            <w:r>
              <w:rPr>
                <w:sz w:val="26"/>
              </w:rPr>
              <w:t>шт</w:t>
            </w:r>
          </w:p>
        </w:tc>
        <w:tc>
          <w:tcPr>
            <w:tcW w:type="dxa" w:w="993"/>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vAlign w:val="center"/>
          </w:tcPr>
          <w:p w14:paraId="E4000000">
            <w:pPr>
              <w:widowControl w:val="1"/>
              <w:ind/>
              <w:jc w:val="center"/>
              <w:rPr>
                <w:sz w:val="26"/>
              </w:rPr>
            </w:pPr>
            <w:r>
              <w:rPr>
                <w:sz w:val="26"/>
              </w:rPr>
              <w:t>500</w:t>
            </w:r>
          </w:p>
        </w:tc>
        <w:tc>
          <w:tcPr>
            <w:tcW w:type="dxa" w:w="1559"/>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vAlign w:val="center"/>
          </w:tcPr>
          <w:p w14:paraId="E5000000">
            <w:pPr>
              <w:widowControl w:val="1"/>
              <w:ind/>
              <w:jc w:val="center"/>
              <w:rPr>
                <w:sz w:val="26"/>
              </w:rPr>
            </w:pPr>
          </w:p>
        </w:tc>
        <w:tc>
          <w:tcPr>
            <w:tcW w:type="dxa" w:w="1843"/>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vAlign w:val="center"/>
          </w:tcPr>
          <w:p w14:paraId="E6000000">
            <w:pPr>
              <w:widowControl w:val="1"/>
              <w:ind/>
              <w:jc w:val="center"/>
              <w:rPr>
                <w:sz w:val="26"/>
              </w:rPr>
            </w:pPr>
          </w:p>
        </w:tc>
      </w:tr>
      <w:tr>
        <w:trPr>
          <w:trHeight w:hRule="atLeast" w:val="434"/>
        </w:trPr>
        <w:tc>
          <w:tcPr>
            <w:tcW w:type="dxa" w:w="595"/>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vAlign w:val="center"/>
          </w:tcPr>
          <w:p w14:paraId="E7000000">
            <w:pPr>
              <w:widowControl w:val="1"/>
              <w:ind/>
              <w:jc w:val="center"/>
              <w:rPr>
                <w:sz w:val="26"/>
              </w:rPr>
            </w:pPr>
          </w:p>
        </w:tc>
        <w:tc>
          <w:tcPr>
            <w:tcW w:type="dxa" w:w="4225"/>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vAlign w:val="center"/>
          </w:tcPr>
          <w:p w14:paraId="E8000000">
            <w:pPr>
              <w:rPr>
                <w:sz w:val="26"/>
              </w:rPr>
            </w:pPr>
            <w:r>
              <w:rPr>
                <w:sz w:val="26"/>
              </w:rPr>
              <w:t>Услуги дизайна,  подготовка  и  верстка печатного издания  за счет производителя</w:t>
            </w:r>
          </w:p>
        </w:tc>
        <w:tc>
          <w:tcPr>
            <w:tcW w:type="dxa" w:w="992"/>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vAlign w:val="center"/>
          </w:tcPr>
          <w:p w14:paraId="E9000000">
            <w:pPr>
              <w:widowControl w:val="1"/>
              <w:ind/>
              <w:jc w:val="center"/>
              <w:rPr>
                <w:sz w:val="26"/>
              </w:rPr>
            </w:pPr>
          </w:p>
        </w:tc>
        <w:tc>
          <w:tcPr>
            <w:tcW w:type="dxa" w:w="993"/>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vAlign w:val="center"/>
          </w:tcPr>
          <w:p w14:paraId="EA000000">
            <w:pPr>
              <w:widowControl w:val="1"/>
              <w:ind/>
              <w:jc w:val="center"/>
              <w:rPr>
                <w:sz w:val="26"/>
              </w:rPr>
            </w:pPr>
          </w:p>
        </w:tc>
        <w:tc>
          <w:tcPr>
            <w:tcW w:type="dxa" w:w="1559"/>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vAlign w:val="center"/>
          </w:tcPr>
          <w:p w14:paraId="EB000000">
            <w:pPr>
              <w:widowControl w:val="1"/>
              <w:ind/>
              <w:jc w:val="center"/>
              <w:rPr>
                <w:sz w:val="26"/>
              </w:rPr>
            </w:pPr>
          </w:p>
        </w:tc>
        <w:tc>
          <w:tcPr>
            <w:tcW w:type="dxa" w:w="1843"/>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vAlign w:val="center"/>
          </w:tcPr>
          <w:p w14:paraId="EC000000">
            <w:pPr>
              <w:widowControl w:val="1"/>
              <w:ind/>
              <w:jc w:val="center"/>
              <w:rPr>
                <w:sz w:val="26"/>
              </w:rPr>
            </w:pPr>
          </w:p>
        </w:tc>
      </w:tr>
      <w:tr>
        <w:trPr>
          <w:trHeight w:hRule="atLeast" w:val="447"/>
        </w:trPr>
        <w:tc>
          <w:tcPr>
            <w:tcW w:type="dxa" w:w="10207"/>
            <w:gridSpan w:val="6"/>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vAlign w:val="center"/>
          </w:tcPr>
          <w:p w14:paraId="ED000000">
            <w:pPr>
              <w:rPr>
                <w:sz w:val="26"/>
              </w:rPr>
            </w:pPr>
            <w:r>
              <w:rPr>
                <w:sz w:val="26"/>
              </w:rPr>
              <w:t xml:space="preserve">                        ИТОГО:  </w:t>
            </w:r>
            <w:r>
              <w:rPr>
                <w:sz w:val="26"/>
              </w:rPr>
              <w:t>____</w:t>
            </w:r>
            <w:r>
              <w:rPr>
                <w:sz w:val="26"/>
              </w:rPr>
              <w:t xml:space="preserve">0, 00  </w:t>
            </w:r>
            <w:r>
              <w:rPr>
                <w:sz w:val="20"/>
              </w:rPr>
              <w:t>(</w:t>
            </w:r>
            <w:r>
              <w:rPr>
                <w:sz w:val="20"/>
              </w:rPr>
              <w:t>______--</w:t>
            </w:r>
            <w:r>
              <w:rPr>
                <w:sz w:val="20"/>
              </w:rPr>
              <w:t xml:space="preserve"> рублей,  00 копеек.)</w:t>
            </w:r>
            <w:r>
              <w:rPr>
                <w:sz w:val="26"/>
              </w:rPr>
              <w:t xml:space="preserve"> </w:t>
            </w:r>
          </w:p>
        </w:tc>
      </w:tr>
    </w:tbl>
    <w:p w14:paraId="EE000000">
      <w:pPr>
        <w:keepNext w:val="1"/>
        <w:widowControl w:val="1"/>
        <w:spacing w:line="240" w:lineRule="atLeast"/>
        <w:ind w:firstLine="709"/>
        <w:jc w:val="center"/>
        <w:outlineLvl w:val="0"/>
        <w:rPr>
          <w:sz w:val="25"/>
        </w:rPr>
      </w:pPr>
    </w:p>
    <w:p w14:paraId="EF000000">
      <w:pPr>
        <w:widowControl w:val="1"/>
        <w:ind/>
        <w:jc w:val="both"/>
        <w:rPr>
          <w:i w:val="1"/>
        </w:rPr>
      </w:pPr>
      <w:r>
        <w:t>Всего наименований 5</w:t>
      </w:r>
      <w:r>
        <w:t xml:space="preserve"> на общую сумму Контракта: </w:t>
      </w:r>
      <w:r>
        <w:rPr>
          <w:b w:val="1"/>
        </w:rPr>
        <w:t>_____ руб. (_____</w:t>
      </w:r>
      <w:r>
        <w:rPr>
          <w:b w:val="1"/>
        </w:rPr>
        <w:t xml:space="preserve">, </w:t>
      </w:r>
      <w:r>
        <w:rPr>
          <w:i w:val="1"/>
        </w:rPr>
        <w:t>НДС/НДС не применяется</w:t>
      </w:r>
    </w:p>
    <w:p w14:paraId="F0000000">
      <w:pPr>
        <w:keepNext w:val="1"/>
        <w:widowControl w:val="1"/>
        <w:spacing w:line="240" w:lineRule="atLeast"/>
        <w:ind w:firstLine="709"/>
        <w:jc w:val="center"/>
        <w:outlineLvl w:val="0"/>
        <w:rPr>
          <w:sz w:val="25"/>
        </w:rPr>
      </w:pPr>
    </w:p>
    <w:p w14:paraId="F1000000">
      <w:pPr>
        <w:keepNext w:val="1"/>
        <w:widowControl w:val="1"/>
        <w:spacing w:line="240" w:lineRule="atLeast"/>
        <w:ind w:firstLine="709"/>
        <w:jc w:val="center"/>
        <w:outlineLvl w:val="0"/>
        <w:rPr>
          <w:sz w:val="25"/>
        </w:rPr>
      </w:pPr>
    </w:p>
    <w:p w14:paraId="F2000000">
      <w:pPr>
        <w:keepNext w:val="1"/>
        <w:widowControl w:val="1"/>
        <w:spacing w:line="240" w:lineRule="atLeast"/>
        <w:ind w:firstLine="709"/>
        <w:jc w:val="center"/>
        <w:outlineLvl w:val="0"/>
        <w:rPr>
          <w:sz w:val="25"/>
        </w:rPr>
      </w:pPr>
    </w:p>
    <w:p w14:paraId="F3000000">
      <w:pPr>
        <w:keepNext w:val="1"/>
        <w:widowControl w:val="1"/>
        <w:spacing w:line="240" w:lineRule="atLeast"/>
        <w:ind w:firstLine="709"/>
        <w:jc w:val="center"/>
        <w:outlineLvl w:val="0"/>
        <w:rPr>
          <w:sz w:val="25"/>
        </w:rPr>
      </w:pPr>
    </w:p>
    <w:p w14:paraId="F4000000">
      <w:pPr>
        <w:keepNext w:val="1"/>
        <w:widowControl w:val="1"/>
        <w:spacing w:line="240" w:lineRule="atLeast"/>
        <w:ind w:firstLine="709"/>
        <w:jc w:val="center"/>
        <w:outlineLvl w:val="0"/>
        <w:rPr>
          <w:sz w:val="25"/>
        </w:rPr>
      </w:pPr>
    </w:p>
    <w:p w14:paraId="F5000000">
      <w:pPr>
        <w:widowControl w:val="1"/>
        <w:spacing w:line="240" w:lineRule="atLeast"/>
        <w:ind/>
      </w:pPr>
    </w:p>
    <w:sectPr>
      <w:footerReference r:id="rId1" w:type="default"/>
      <w:pgSz w:h="16838" w:orient="portrait" w:w="11906"/>
      <w:pgMar w:bottom="1134" w:footer="317" w:gutter="0" w:header="0" w:left="1134" w:right="851" w:top="1134"/>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footer1.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1000000">
    <w:pPr>
      <w:pStyle w:val="Style_1"/>
      <w:widowControl w:val="1"/>
      <w:ind/>
      <w:jc w:val="center"/>
      <w:rPr>
        <w:sz w:val="20"/>
      </w:rPr>
    </w:pPr>
    <w:r>
      <w:rPr>
        <w:sz w:val="20"/>
      </w:rPr>
      <w:fldChar w:fldCharType="begin"/>
    </w:r>
    <w:r>
      <w:rPr>
        <w:sz w:val="20"/>
      </w:rPr>
      <w:instrText xml:space="preserve">PAGE </w:instrText>
    </w:r>
    <w:r>
      <w:rPr>
        <w:sz w:val="20"/>
      </w:rPr>
      <w:fldChar w:fldCharType="separate"/>
    </w:r>
    <w:r>
      <w:rPr>
        <w:sz w:val="20"/>
      </w:rPr>
      <w:t xml:space="preserve"> </w:t>
    </w:r>
    <w:r>
      <w:rPr>
        <w:sz w:val="20"/>
      </w:rPr>
      <w:fldChar w:fldCharType="end"/>
    </w:r>
  </w:p>
  <w:p w14:paraId="02000000">
    <w:pPr>
      <w:pStyle w:val="Style_1"/>
    </w:pPr>
  </w:p>
</w:ftr>
</file>

<file path=word/numbering.xml><?xml version="1.0" encoding="utf-8"?>
<w:number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abstractNum w:abstractNumId="0">
    <w:lvl w:ilvl="0">
      <w:start w:val="1"/>
      <w:numFmt w:val="decimal"/>
      <w:lvlText w:val="%1."/>
      <w:lvlJc w:val="left"/>
      <w:pPr>
        <w:widowControl w:val="1"/>
        <w:tabs>
          <w:tab w:leader="none" w:pos="0" w:val="left"/>
        </w:tabs>
        <w:ind w:hanging="360" w:left="2100"/>
      </w:pPr>
    </w:lvl>
    <w:lvl w:ilvl="1">
      <w:start w:val="1"/>
      <w:numFmt w:val="lowerLetter"/>
      <w:lvlText w:val="%2."/>
      <w:lvlJc w:val="left"/>
      <w:pPr>
        <w:widowControl w:val="1"/>
        <w:tabs>
          <w:tab w:leader="none" w:pos="0" w:val="left"/>
        </w:tabs>
        <w:ind w:hanging="360" w:left="2820"/>
      </w:pPr>
    </w:lvl>
    <w:lvl w:ilvl="2">
      <w:start w:val="1"/>
      <w:numFmt w:val="lowerRoman"/>
      <w:lvlText w:val="%3."/>
      <w:lvlJc w:val="right"/>
      <w:pPr>
        <w:widowControl w:val="1"/>
        <w:tabs>
          <w:tab w:leader="none" w:pos="0" w:val="left"/>
        </w:tabs>
        <w:ind w:hanging="180" w:left="3540"/>
      </w:pPr>
    </w:lvl>
    <w:lvl w:ilvl="3">
      <w:start w:val="1"/>
      <w:numFmt w:val="decimal"/>
      <w:lvlText w:val="%4."/>
      <w:lvlJc w:val="left"/>
      <w:pPr>
        <w:widowControl w:val="1"/>
        <w:tabs>
          <w:tab w:leader="none" w:pos="0" w:val="left"/>
        </w:tabs>
        <w:ind w:hanging="360" w:left="4260"/>
      </w:pPr>
    </w:lvl>
    <w:lvl w:ilvl="4">
      <w:start w:val="1"/>
      <w:numFmt w:val="lowerLetter"/>
      <w:lvlText w:val="%5."/>
      <w:lvlJc w:val="left"/>
      <w:pPr>
        <w:widowControl w:val="1"/>
        <w:tabs>
          <w:tab w:leader="none" w:pos="0" w:val="left"/>
        </w:tabs>
        <w:ind w:hanging="360" w:left="4980"/>
      </w:pPr>
    </w:lvl>
    <w:lvl w:ilvl="5">
      <w:start w:val="1"/>
      <w:numFmt w:val="lowerRoman"/>
      <w:lvlText w:val="%6."/>
      <w:lvlJc w:val="right"/>
      <w:pPr>
        <w:widowControl w:val="1"/>
        <w:tabs>
          <w:tab w:leader="none" w:pos="0" w:val="left"/>
        </w:tabs>
        <w:ind w:hanging="180" w:left="5700"/>
      </w:pPr>
    </w:lvl>
    <w:lvl w:ilvl="6">
      <w:start w:val="1"/>
      <w:numFmt w:val="decimal"/>
      <w:lvlText w:val="%7."/>
      <w:lvlJc w:val="left"/>
      <w:pPr>
        <w:widowControl w:val="1"/>
        <w:tabs>
          <w:tab w:leader="none" w:pos="0" w:val="left"/>
        </w:tabs>
        <w:ind w:hanging="360" w:left="6420"/>
      </w:pPr>
    </w:lvl>
    <w:lvl w:ilvl="7">
      <w:start w:val="1"/>
      <w:numFmt w:val="lowerLetter"/>
      <w:lvlText w:val="%8."/>
      <w:lvlJc w:val="left"/>
      <w:pPr>
        <w:widowControl w:val="1"/>
        <w:tabs>
          <w:tab w:leader="none" w:pos="0" w:val="left"/>
        </w:tabs>
        <w:ind w:hanging="360" w:left="7140"/>
      </w:pPr>
    </w:lvl>
    <w:lvl w:ilvl="8">
      <w:start w:val="1"/>
      <w:numFmt w:val="lowerRoman"/>
      <w:lvlText w:val="%9."/>
      <w:lvlJc w:val="right"/>
      <w:pPr>
        <w:widowControl w:val="1"/>
        <w:tabs>
          <w:tab w:leader="none" w:pos="0" w:val="left"/>
        </w:tabs>
        <w:ind w:hanging="180" w:left="7860"/>
      </w:pPr>
    </w:lvl>
  </w:abstractNum>
  <w:abstractNum w:abstractNumId="1">
    <w:lvl w:ilvl="0">
      <w:start w:val="6"/>
      <w:numFmt w:val="decimal"/>
      <w:lvlText w:val="%1."/>
      <w:lvlJc w:val="left"/>
      <w:pPr>
        <w:widowControl w:val="1"/>
        <w:tabs>
          <w:tab w:leader="none" w:pos="0" w:val="left"/>
        </w:tabs>
        <w:ind w:hanging="360" w:left="2100"/>
      </w:pPr>
    </w:lvl>
    <w:lvl w:ilvl="1">
      <w:start w:val="1"/>
      <w:numFmt w:val="lowerLetter"/>
      <w:lvlText w:val="%2."/>
      <w:lvlJc w:val="left"/>
      <w:pPr>
        <w:widowControl w:val="1"/>
        <w:tabs>
          <w:tab w:leader="none" w:pos="0" w:val="left"/>
        </w:tabs>
        <w:ind w:hanging="360" w:left="2820"/>
      </w:pPr>
    </w:lvl>
    <w:lvl w:ilvl="2">
      <w:start w:val="1"/>
      <w:numFmt w:val="lowerRoman"/>
      <w:lvlText w:val="%3."/>
      <w:lvlJc w:val="right"/>
      <w:pPr>
        <w:widowControl w:val="1"/>
        <w:tabs>
          <w:tab w:leader="none" w:pos="0" w:val="left"/>
        </w:tabs>
        <w:ind w:hanging="180" w:left="3540"/>
      </w:pPr>
    </w:lvl>
    <w:lvl w:ilvl="3">
      <w:start w:val="1"/>
      <w:numFmt w:val="decimal"/>
      <w:lvlText w:val="%4."/>
      <w:lvlJc w:val="left"/>
      <w:pPr>
        <w:widowControl w:val="1"/>
        <w:tabs>
          <w:tab w:leader="none" w:pos="0" w:val="left"/>
        </w:tabs>
        <w:ind w:hanging="360" w:left="4260"/>
      </w:pPr>
    </w:lvl>
    <w:lvl w:ilvl="4">
      <w:start w:val="1"/>
      <w:numFmt w:val="lowerLetter"/>
      <w:lvlText w:val="%5."/>
      <w:lvlJc w:val="left"/>
      <w:pPr>
        <w:widowControl w:val="1"/>
        <w:tabs>
          <w:tab w:leader="none" w:pos="0" w:val="left"/>
        </w:tabs>
        <w:ind w:hanging="360" w:left="4980"/>
      </w:pPr>
    </w:lvl>
    <w:lvl w:ilvl="5">
      <w:start w:val="1"/>
      <w:numFmt w:val="lowerRoman"/>
      <w:lvlText w:val="%6."/>
      <w:lvlJc w:val="right"/>
      <w:pPr>
        <w:widowControl w:val="1"/>
        <w:tabs>
          <w:tab w:leader="none" w:pos="0" w:val="left"/>
        </w:tabs>
        <w:ind w:hanging="180" w:left="5700"/>
      </w:pPr>
    </w:lvl>
    <w:lvl w:ilvl="6">
      <w:start w:val="1"/>
      <w:numFmt w:val="decimal"/>
      <w:lvlText w:val="%7."/>
      <w:lvlJc w:val="left"/>
      <w:pPr>
        <w:widowControl w:val="1"/>
        <w:tabs>
          <w:tab w:leader="none" w:pos="0" w:val="left"/>
        </w:tabs>
        <w:ind w:hanging="360" w:left="6420"/>
      </w:pPr>
    </w:lvl>
    <w:lvl w:ilvl="7">
      <w:start w:val="1"/>
      <w:numFmt w:val="lowerLetter"/>
      <w:lvlText w:val="%8."/>
      <w:lvlJc w:val="left"/>
      <w:pPr>
        <w:widowControl w:val="1"/>
        <w:tabs>
          <w:tab w:leader="none" w:pos="0" w:val="left"/>
        </w:tabs>
        <w:ind w:hanging="360" w:left="7140"/>
      </w:pPr>
    </w:lvl>
    <w:lvl w:ilvl="8">
      <w:start w:val="1"/>
      <w:numFmt w:val="lowerRoman"/>
      <w:lvlText w:val="%9."/>
      <w:lvlJc w:val="right"/>
      <w:pPr>
        <w:widowControl w:val="1"/>
        <w:tabs>
          <w:tab w:leader="none" w:pos="0" w:val="left"/>
        </w:tabs>
        <w:ind w:hanging="180" w:left="7860"/>
      </w:pPr>
    </w:lvl>
  </w:abstractNum>
  <w:num w:numId="1">
    <w:abstractNumId w:val="0"/>
  </w:num>
  <w:num w:numId="2">
    <w:abstractNumId w:val="1"/>
  </w:num>
</w:numbering>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efaultTabStop w:val="708"/>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ocDefaults>
    <w:rPrDefault>
      <w:rPr>
        <w:rFonts w:ascii="Times New Roman" w:hAnsi="Times New Roman"/>
        <w:color w:val="000000"/>
        <w:spacing w:val="0"/>
        <w:sz w:val="20"/>
      </w:rPr>
    </w:rPrDefault>
    <w:pPrDefault>
      <w:pPr>
        <w:widowControl w:val="1"/>
        <w:spacing w:after="0" w:before="0" w:line="240" w:lineRule="auto"/>
        <w:ind w:firstLine="0" w:left="0" w:right="0"/>
        <w:jc w:val="left"/>
      </w:pPr>
    </w:pPrDefault>
  </w:docDefaults>
  <w:latentStyles w:count="25"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End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8" w:type="paragraph">
    <w:name w:val="Normal"/>
    <w:link w:val="Style_8_ch"/>
    <w:uiPriority w:val="0"/>
    <w:qFormat/>
    <w:rPr>
      <w:rFonts w:ascii="Times New Roman" w:hAnsi="Times New Roman"/>
      <w:sz w:val="24"/>
    </w:rPr>
  </w:style>
  <w:style w:default="1" w:styleId="Style_8_ch" w:type="character">
    <w:name w:val="Normal"/>
    <w:link w:val="Style_8"/>
    <w:rPr>
      <w:rFonts w:ascii="Times New Roman" w:hAnsi="Times New Roman"/>
      <w:sz w:val="24"/>
    </w:rPr>
  </w:style>
  <w:style w:styleId="Style_9" w:type="paragraph">
    <w:name w:val="Тема примечания Знак"/>
    <w:basedOn w:val="Style_10"/>
    <w:link w:val="Style_9_ch"/>
    <w:rPr>
      <w:rFonts w:ascii="Times New Roman" w:hAnsi="Times New Roman"/>
      <w:b w:val="1"/>
      <w:sz w:val="20"/>
    </w:rPr>
  </w:style>
  <w:style w:styleId="Style_9_ch" w:type="character">
    <w:name w:val="Тема примечания Знак"/>
    <w:basedOn w:val="Style_10_ch"/>
    <w:link w:val="Style_9"/>
    <w:rPr>
      <w:rFonts w:ascii="Times New Roman" w:hAnsi="Times New Roman"/>
      <w:b w:val="1"/>
      <w:sz w:val="20"/>
    </w:rPr>
  </w:style>
  <w:style w:styleId="Style_11" w:type="paragraph">
    <w:name w:val="toc 2"/>
    <w:next w:val="Style_8"/>
    <w:link w:val="Style_11_ch"/>
    <w:uiPriority w:val="39"/>
    <w:pPr>
      <w:widowControl w:val="1"/>
      <w:ind w:firstLine="0" w:left="200"/>
      <w:jc w:val="left"/>
    </w:pPr>
    <w:rPr>
      <w:rFonts w:ascii="XO Thames" w:hAnsi="XO Thames"/>
      <w:sz w:val="28"/>
    </w:rPr>
  </w:style>
  <w:style w:styleId="Style_11_ch" w:type="character">
    <w:name w:val="toc 2"/>
    <w:link w:val="Style_11"/>
    <w:rPr>
      <w:rFonts w:ascii="XO Thames" w:hAnsi="XO Thames"/>
      <w:sz w:val="28"/>
    </w:rPr>
  </w:style>
  <w:style w:styleId="Style_12" w:type="paragraph">
    <w:name w:val="section__info2"/>
    <w:basedOn w:val="Style_13"/>
    <w:link w:val="Style_12_ch"/>
  </w:style>
  <w:style w:styleId="Style_12_ch" w:type="character">
    <w:name w:val="section__info2"/>
    <w:basedOn w:val="Style_13_ch"/>
    <w:link w:val="Style_12"/>
  </w:style>
  <w:style w:styleId="Style_13" w:type="paragraph">
    <w:name w:val="Default Paragraph Font"/>
    <w:link w:val="Style_13_ch"/>
  </w:style>
  <w:style w:styleId="Style_13_ch" w:type="character">
    <w:name w:val="Default Paragraph Font"/>
    <w:link w:val="Style_13"/>
  </w:style>
  <w:style w:styleId="Style_14" w:type="paragraph">
    <w:name w:val="toc 4"/>
    <w:next w:val="Style_8"/>
    <w:link w:val="Style_14_ch"/>
    <w:uiPriority w:val="39"/>
    <w:pPr>
      <w:widowControl w:val="1"/>
      <w:ind w:firstLine="0" w:left="600"/>
      <w:jc w:val="left"/>
    </w:pPr>
    <w:rPr>
      <w:rFonts w:ascii="XO Thames" w:hAnsi="XO Thames"/>
      <w:sz w:val="28"/>
    </w:rPr>
  </w:style>
  <w:style w:styleId="Style_14_ch" w:type="character">
    <w:name w:val="toc 4"/>
    <w:link w:val="Style_14"/>
    <w:rPr>
      <w:rFonts w:ascii="XO Thames" w:hAnsi="XO Thames"/>
      <w:sz w:val="28"/>
    </w:rPr>
  </w:style>
  <w:style w:styleId="Style_15" w:type="paragraph">
    <w:name w:val="toc 6"/>
    <w:next w:val="Style_8"/>
    <w:link w:val="Style_15_ch"/>
    <w:uiPriority w:val="39"/>
    <w:pPr>
      <w:widowControl w:val="1"/>
      <w:ind w:firstLine="0" w:left="1000"/>
      <w:jc w:val="left"/>
    </w:pPr>
    <w:rPr>
      <w:rFonts w:ascii="XO Thames" w:hAnsi="XO Thames"/>
      <w:sz w:val="28"/>
    </w:rPr>
  </w:style>
  <w:style w:styleId="Style_15_ch" w:type="character">
    <w:name w:val="toc 6"/>
    <w:link w:val="Style_15"/>
    <w:rPr>
      <w:rFonts w:ascii="XO Thames" w:hAnsi="XO Thames"/>
      <w:sz w:val="28"/>
    </w:rPr>
  </w:style>
  <w:style w:styleId="Style_16" w:type="paragraph">
    <w:name w:val="toc 7"/>
    <w:next w:val="Style_8"/>
    <w:link w:val="Style_16_ch"/>
    <w:uiPriority w:val="39"/>
    <w:pPr>
      <w:widowControl w:val="1"/>
      <w:ind w:firstLine="0" w:left="1200"/>
      <w:jc w:val="left"/>
    </w:pPr>
    <w:rPr>
      <w:rFonts w:ascii="XO Thames" w:hAnsi="XO Thames"/>
      <w:sz w:val="28"/>
    </w:rPr>
  </w:style>
  <w:style w:styleId="Style_16_ch" w:type="character">
    <w:name w:val="toc 7"/>
    <w:link w:val="Style_16"/>
    <w:rPr>
      <w:rFonts w:ascii="XO Thames" w:hAnsi="XO Thames"/>
      <w:sz w:val="28"/>
    </w:rPr>
  </w:style>
  <w:style w:styleId="Style_17" w:type="paragraph">
    <w:name w:val="Заголовок1"/>
    <w:basedOn w:val="Style_8"/>
    <w:next w:val="Style_18"/>
    <w:link w:val="Style_17_ch"/>
    <w:pPr>
      <w:keepNext w:val="1"/>
      <w:widowControl w:val="1"/>
      <w:spacing w:after="120" w:before="240"/>
      <w:ind/>
    </w:pPr>
    <w:rPr>
      <w:rFonts w:ascii="Liberation Sans" w:hAnsi="Liberation Sans"/>
      <w:sz w:val="28"/>
    </w:rPr>
  </w:style>
  <w:style w:styleId="Style_17_ch" w:type="character">
    <w:name w:val="Заголовок1"/>
    <w:basedOn w:val="Style_8_ch"/>
    <w:link w:val="Style_17"/>
    <w:rPr>
      <w:rFonts w:ascii="Liberation Sans" w:hAnsi="Liberation Sans"/>
      <w:sz w:val="28"/>
    </w:rPr>
  </w:style>
  <w:style w:styleId="Style_6" w:type="paragraph">
    <w:name w:val="ConsPlusNonformat"/>
    <w:link w:val="Style_6_ch"/>
    <w:pPr>
      <w:widowControl w:val="0"/>
      <w:ind/>
    </w:pPr>
    <w:rPr>
      <w:rFonts w:ascii="Courier New" w:hAnsi="Courier New"/>
    </w:rPr>
  </w:style>
  <w:style w:styleId="Style_6_ch" w:type="character">
    <w:name w:val="ConsPlusNonformat"/>
    <w:link w:val="Style_6"/>
    <w:rPr>
      <w:rFonts w:ascii="Courier New" w:hAnsi="Courier New"/>
    </w:rPr>
  </w:style>
  <w:style w:styleId="Style_19" w:type="paragraph">
    <w:name w:val="Endnote"/>
    <w:link w:val="Style_19_ch"/>
    <w:pPr>
      <w:widowControl w:val="1"/>
      <w:ind w:firstLine="851" w:left="0"/>
      <w:jc w:val="both"/>
    </w:pPr>
    <w:rPr>
      <w:rFonts w:ascii="XO Thames" w:hAnsi="XO Thames"/>
      <w:sz w:val="22"/>
    </w:rPr>
  </w:style>
  <w:style w:styleId="Style_19_ch" w:type="character">
    <w:name w:val="Endnote"/>
    <w:link w:val="Style_19"/>
    <w:rPr>
      <w:rFonts w:ascii="XO Thames" w:hAnsi="XO Thames"/>
      <w:sz w:val="22"/>
    </w:rPr>
  </w:style>
  <w:style w:styleId="Style_20" w:type="paragraph">
    <w:name w:val="heading 3"/>
    <w:basedOn w:val="Style_8"/>
    <w:next w:val="Style_8"/>
    <w:link w:val="Style_20_ch"/>
    <w:uiPriority w:val="9"/>
    <w:qFormat/>
    <w:pPr>
      <w:keepNext w:val="1"/>
      <w:keepLines w:val="1"/>
      <w:widowControl w:val="1"/>
      <w:spacing w:before="200" w:line="276" w:lineRule="auto"/>
      <w:ind/>
      <w:outlineLvl w:val="2"/>
    </w:pPr>
    <w:rPr>
      <w:rFonts w:ascii="Cambria" w:hAnsi="Cambria"/>
      <w:b w:val="1"/>
      <w:color w:themeColor="accent1" w:val="4F81BD"/>
      <w:sz w:val="22"/>
    </w:rPr>
  </w:style>
  <w:style w:styleId="Style_20_ch" w:type="character">
    <w:name w:val="heading 3"/>
    <w:basedOn w:val="Style_8_ch"/>
    <w:link w:val="Style_20"/>
    <w:rPr>
      <w:rFonts w:ascii="Cambria" w:hAnsi="Cambria"/>
      <w:b w:val="1"/>
      <w:color w:themeColor="accent1" w:val="4F81BD"/>
      <w:sz w:val="22"/>
    </w:rPr>
  </w:style>
  <w:style w:styleId="Style_21" w:type="paragraph">
    <w:name w:val="index 1"/>
    <w:basedOn w:val="Style_8"/>
    <w:next w:val="Style_8"/>
    <w:link w:val="Style_21_ch"/>
  </w:style>
  <w:style w:styleId="Style_21_ch" w:type="character">
    <w:name w:val="index 1"/>
    <w:basedOn w:val="Style_8_ch"/>
    <w:link w:val="Style_21"/>
  </w:style>
  <w:style w:styleId="Style_22" w:type="paragraph">
    <w:name w:val="Заголовок 1 Знак1"/>
    <w:link w:val="Style_22_ch"/>
    <w:rPr>
      <w:rFonts w:ascii="Times New Roman" w:hAnsi="Times New Roman"/>
      <w:b w:val="1"/>
      <w:sz w:val="36"/>
    </w:rPr>
  </w:style>
  <w:style w:styleId="Style_22_ch" w:type="character">
    <w:name w:val="Заголовок 1 Знак1"/>
    <w:link w:val="Style_22"/>
    <w:rPr>
      <w:rFonts w:ascii="Times New Roman" w:hAnsi="Times New Roman"/>
      <w:b w:val="1"/>
      <w:sz w:val="36"/>
    </w:rPr>
  </w:style>
  <w:style w:styleId="Style_23" w:type="paragraph">
    <w:name w:val="ConsNonformat"/>
    <w:link w:val="Style_23_ch"/>
    <w:pPr>
      <w:widowControl w:val="0"/>
      <w:ind w:right="19772"/>
    </w:pPr>
    <w:rPr>
      <w:rFonts w:ascii="Courier New" w:hAnsi="Courier New"/>
    </w:rPr>
  </w:style>
  <w:style w:styleId="Style_23_ch" w:type="character">
    <w:name w:val="ConsNonformat"/>
    <w:link w:val="Style_23"/>
    <w:rPr>
      <w:rFonts w:ascii="Courier New" w:hAnsi="Courier New"/>
    </w:rPr>
  </w:style>
  <w:style w:styleId="Style_24" w:type="paragraph">
    <w:name w:val="Основной текст3"/>
    <w:basedOn w:val="Style_8"/>
    <w:link w:val="Style_24_ch"/>
    <w:pPr>
      <w:widowControl w:val="0"/>
      <w:spacing w:line="0" w:lineRule="atLeast"/>
      <w:ind w:hanging="280"/>
    </w:pPr>
    <w:rPr>
      <w:rFonts w:asciiTheme="minorAscii" w:hAnsiTheme="minorHAnsi"/>
      <w:sz w:val="27"/>
    </w:rPr>
  </w:style>
  <w:style w:styleId="Style_24_ch" w:type="character">
    <w:name w:val="Основной текст3"/>
    <w:basedOn w:val="Style_8_ch"/>
    <w:link w:val="Style_24"/>
    <w:rPr>
      <w:rFonts w:asciiTheme="minorAscii" w:hAnsiTheme="minorHAnsi"/>
      <w:sz w:val="27"/>
    </w:rPr>
  </w:style>
  <w:style w:styleId="Style_2" w:type="paragraph">
    <w:name w:val="Обычный таблица"/>
    <w:basedOn w:val="Style_8"/>
    <w:link w:val="Style_2_ch"/>
    <w:rPr>
      <w:sz w:val="18"/>
    </w:rPr>
  </w:style>
  <w:style w:styleId="Style_2_ch" w:type="character">
    <w:name w:val="Обычный таблица"/>
    <w:basedOn w:val="Style_8_ch"/>
    <w:link w:val="Style_2"/>
    <w:rPr>
      <w:sz w:val="18"/>
    </w:rPr>
  </w:style>
  <w:style w:styleId="Style_18" w:type="paragraph">
    <w:name w:val="Body Text"/>
    <w:basedOn w:val="Style_8"/>
    <w:link w:val="Style_18_ch"/>
    <w:pPr>
      <w:widowControl w:val="1"/>
      <w:spacing w:after="120"/>
      <w:ind/>
      <w:jc w:val="both"/>
    </w:pPr>
  </w:style>
  <w:style w:styleId="Style_18_ch" w:type="character">
    <w:name w:val="Body Text"/>
    <w:basedOn w:val="Style_8_ch"/>
    <w:link w:val="Style_18"/>
  </w:style>
  <w:style w:styleId="Style_25" w:type="paragraph">
    <w:name w:val="Normal (Web)"/>
    <w:basedOn w:val="Style_8"/>
    <w:link w:val="Style_25_ch"/>
    <w:pPr>
      <w:widowControl w:val="1"/>
      <w:spacing w:afterAutospacing="on" w:beforeAutospacing="on"/>
      <w:ind/>
    </w:pPr>
  </w:style>
  <w:style w:styleId="Style_25_ch" w:type="character">
    <w:name w:val="Normal (Web)"/>
    <w:basedOn w:val="Style_8_ch"/>
    <w:link w:val="Style_25"/>
  </w:style>
  <w:style w:styleId="Style_7" w:type="paragraph">
    <w:name w:val="docdata"/>
    <w:link w:val="Style_7_ch"/>
  </w:style>
  <w:style w:styleId="Style_7_ch" w:type="character">
    <w:name w:val="docdata"/>
    <w:link w:val="Style_7"/>
  </w:style>
  <w:style w:styleId="Style_26" w:type="paragraph">
    <w:name w:val="annotation reference"/>
    <w:basedOn w:val="Style_13"/>
    <w:link w:val="Style_26_ch"/>
    <w:rPr>
      <w:sz w:val="16"/>
    </w:rPr>
  </w:style>
  <w:style w:styleId="Style_26_ch" w:type="character">
    <w:name w:val="annotation reference"/>
    <w:basedOn w:val="Style_13_ch"/>
    <w:link w:val="Style_26"/>
    <w:rPr>
      <w:sz w:val="16"/>
    </w:rPr>
  </w:style>
  <w:style w:styleId="Style_27" w:type="paragraph">
    <w:name w:val="Заголовок таблицы"/>
    <w:basedOn w:val="Style_28"/>
    <w:link w:val="Style_27_ch"/>
    <w:pPr>
      <w:widowControl w:val="1"/>
      <w:ind/>
      <w:jc w:val="center"/>
    </w:pPr>
    <w:rPr>
      <w:b w:val="1"/>
    </w:rPr>
  </w:style>
  <w:style w:styleId="Style_27_ch" w:type="character">
    <w:name w:val="Заголовок таблицы"/>
    <w:basedOn w:val="Style_28_ch"/>
    <w:link w:val="Style_27"/>
    <w:rPr>
      <w:b w:val="1"/>
    </w:rPr>
  </w:style>
  <w:style w:styleId="Style_29" w:type="paragraph">
    <w:name w:val="toc 3"/>
    <w:next w:val="Style_8"/>
    <w:link w:val="Style_29_ch"/>
    <w:uiPriority w:val="39"/>
    <w:pPr>
      <w:widowControl w:val="1"/>
      <w:ind w:firstLine="0" w:left="400"/>
      <w:jc w:val="left"/>
    </w:pPr>
    <w:rPr>
      <w:rFonts w:ascii="XO Thames" w:hAnsi="XO Thames"/>
      <w:sz w:val="28"/>
    </w:rPr>
  </w:style>
  <w:style w:styleId="Style_29_ch" w:type="character">
    <w:name w:val="toc 3"/>
    <w:link w:val="Style_29"/>
    <w:rPr>
      <w:rFonts w:ascii="XO Thames" w:hAnsi="XO Thames"/>
      <w:sz w:val="28"/>
    </w:rPr>
  </w:style>
  <w:style w:styleId="Style_30" w:type="paragraph">
    <w:name w:val="Обычный1"/>
    <w:link w:val="Style_30_ch"/>
    <w:rPr>
      <w:rFonts w:ascii="Times New Roman" w:hAnsi="Times New Roman"/>
      <w:sz w:val="24"/>
    </w:rPr>
  </w:style>
  <w:style w:styleId="Style_30_ch" w:type="character">
    <w:name w:val="Обычный1"/>
    <w:link w:val="Style_30"/>
    <w:rPr>
      <w:rFonts w:ascii="Times New Roman" w:hAnsi="Times New Roman"/>
      <w:sz w:val="24"/>
    </w:rPr>
  </w:style>
  <w:style w:styleId="Style_1" w:type="paragraph">
    <w:name w:val="footer"/>
    <w:basedOn w:val="Style_8"/>
    <w:link w:val="Style_1_ch"/>
    <w:pPr>
      <w:widowControl w:val="1"/>
      <w:tabs>
        <w:tab w:leader="none" w:pos="4677" w:val="center"/>
        <w:tab w:leader="none" w:pos="9355" w:val="right"/>
      </w:tabs>
      <w:ind/>
    </w:pPr>
  </w:style>
  <w:style w:styleId="Style_1_ch" w:type="character">
    <w:name w:val="footer"/>
    <w:basedOn w:val="Style_8_ch"/>
    <w:link w:val="Style_1"/>
  </w:style>
  <w:style w:styleId="Style_31" w:type="paragraph">
    <w:name w:val="caption"/>
    <w:basedOn w:val="Style_8"/>
    <w:next w:val="Style_8"/>
    <w:link w:val="Style_31_ch"/>
    <w:pPr>
      <w:widowControl w:val="1"/>
      <w:spacing w:after="120" w:before="120"/>
      <w:ind/>
    </w:pPr>
    <w:rPr>
      <w:i w:val="1"/>
    </w:rPr>
  </w:style>
  <w:style w:styleId="Style_31_ch" w:type="character">
    <w:name w:val="caption"/>
    <w:basedOn w:val="Style_8_ch"/>
    <w:link w:val="Style_31"/>
    <w:rPr>
      <w:i w:val="1"/>
    </w:rPr>
  </w:style>
  <w:style w:styleId="Style_32" w:type="paragraph">
    <w:name w:val="heading 5"/>
    <w:next w:val="Style_8"/>
    <w:link w:val="Style_32_ch"/>
    <w:uiPriority w:val="9"/>
    <w:qFormat/>
    <w:pPr>
      <w:widowControl w:val="1"/>
      <w:spacing w:after="120" w:before="120"/>
      <w:ind/>
      <w:jc w:val="both"/>
      <w:outlineLvl w:val="4"/>
    </w:pPr>
    <w:rPr>
      <w:rFonts w:ascii="XO Thames" w:hAnsi="XO Thames"/>
      <w:b w:val="1"/>
      <w:sz w:val="22"/>
    </w:rPr>
  </w:style>
  <w:style w:styleId="Style_32_ch" w:type="character">
    <w:name w:val="heading 5"/>
    <w:link w:val="Style_32"/>
    <w:rPr>
      <w:rFonts w:ascii="XO Thames" w:hAnsi="XO Thames"/>
      <w:b w:val="1"/>
      <w:sz w:val="22"/>
    </w:rPr>
  </w:style>
  <w:style w:styleId="Style_10" w:type="paragraph">
    <w:name w:val="Текст примечания Знак"/>
    <w:basedOn w:val="Style_13"/>
    <w:link w:val="Style_10_ch"/>
    <w:rPr>
      <w:rFonts w:ascii="Times New Roman" w:hAnsi="Times New Roman"/>
      <w:sz w:val="20"/>
    </w:rPr>
  </w:style>
  <w:style w:styleId="Style_10_ch" w:type="character">
    <w:name w:val="Текст примечания Знак"/>
    <w:basedOn w:val="Style_13_ch"/>
    <w:link w:val="Style_10"/>
    <w:rPr>
      <w:rFonts w:ascii="Times New Roman" w:hAnsi="Times New Roman"/>
      <w:sz w:val="20"/>
    </w:rPr>
  </w:style>
  <w:style w:styleId="Style_33" w:type="paragraph">
    <w:name w:val="index heading"/>
    <w:basedOn w:val="Style_8"/>
    <w:next w:val="Style_21"/>
    <w:link w:val="Style_33_ch"/>
  </w:style>
  <w:style w:styleId="Style_33_ch" w:type="character">
    <w:name w:val="index heading"/>
    <w:basedOn w:val="Style_8_ch"/>
    <w:link w:val="Style_33"/>
  </w:style>
  <w:style w:styleId="Style_34" w:type="paragraph">
    <w:name w:val="List"/>
    <w:basedOn w:val="Style_18"/>
    <w:link w:val="Style_34_ch"/>
  </w:style>
  <w:style w:styleId="Style_34_ch" w:type="character">
    <w:name w:val="List"/>
    <w:basedOn w:val="Style_18_ch"/>
    <w:link w:val="Style_34"/>
  </w:style>
  <w:style w:styleId="Style_35" w:type="paragraph">
    <w:name w:val="header"/>
    <w:basedOn w:val="Style_8"/>
    <w:link w:val="Style_35_ch"/>
    <w:pPr>
      <w:widowControl w:val="1"/>
      <w:tabs>
        <w:tab w:leader="none" w:pos="4677" w:val="center"/>
        <w:tab w:leader="none" w:pos="9355" w:val="right"/>
      </w:tabs>
      <w:ind/>
    </w:pPr>
  </w:style>
  <w:style w:styleId="Style_35_ch" w:type="character">
    <w:name w:val="header"/>
    <w:basedOn w:val="Style_8_ch"/>
    <w:link w:val="Style_35"/>
  </w:style>
  <w:style w:styleId="Style_36" w:type="paragraph">
    <w:name w:val="heading 1"/>
    <w:basedOn w:val="Style_8"/>
    <w:next w:val="Style_8"/>
    <w:link w:val="Style_36_ch"/>
    <w:uiPriority w:val="9"/>
    <w:qFormat/>
    <w:pPr>
      <w:keepNext w:val="1"/>
      <w:widowControl w:val="1"/>
      <w:spacing w:after="60" w:before="240"/>
      <w:ind/>
      <w:jc w:val="center"/>
      <w:outlineLvl w:val="0"/>
    </w:pPr>
    <w:rPr>
      <w:b w:val="1"/>
      <w:sz w:val="36"/>
    </w:rPr>
  </w:style>
  <w:style w:styleId="Style_36_ch" w:type="character">
    <w:name w:val="heading 1"/>
    <w:basedOn w:val="Style_8_ch"/>
    <w:link w:val="Style_36"/>
    <w:rPr>
      <w:b w:val="1"/>
      <w:sz w:val="36"/>
    </w:rPr>
  </w:style>
  <w:style w:styleId="Style_37" w:type="paragraph">
    <w:name w:val="Hyperlink"/>
    <w:basedOn w:val="Style_13"/>
    <w:link w:val="Style_37_ch"/>
    <w:rPr>
      <w:color w:val="0000FF"/>
      <w:u w:val="single"/>
    </w:rPr>
  </w:style>
  <w:style w:styleId="Style_37_ch" w:type="character">
    <w:name w:val="Hyperlink"/>
    <w:basedOn w:val="Style_13_ch"/>
    <w:link w:val="Style_37"/>
    <w:rPr>
      <w:color w:val="0000FF"/>
      <w:u w:val="single"/>
    </w:rPr>
  </w:style>
  <w:style w:styleId="Style_38" w:type="paragraph">
    <w:name w:val="Footnote"/>
    <w:link w:val="Style_38_ch"/>
    <w:pPr>
      <w:widowControl w:val="1"/>
      <w:ind w:firstLine="851" w:left="0"/>
      <w:jc w:val="both"/>
    </w:pPr>
    <w:rPr>
      <w:rFonts w:ascii="XO Thames" w:hAnsi="XO Thames"/>
      <w:sz w:val="22"/>
    </w:rPr>
  </w:style>
  <w:style w:styleId="Style_38_ch" w:type="character">
    <w:name w:val="Footnote"/>
    <w:link w:val="Style_38"/>
    <w:rPr>
      <w:rFonts w:ascii="XO Thames" w:hAnsi="XO Thames"/>
      <w:sz w:val="22"/>
    </w:rPr>
  </w:style>
  <w:style w:styleId="Style_39" w:type="paragraph">
    <w:name w:val="Style8"/>
    <w:basedOn w:val="Style_8"/>
    <w:link w:val="Style_39_ch"/>
    <w:pPr>
      <w:widowControl w:val="1"/>
      <w:spacing w:line="250" w:lineRule="exact"/>
      <w:ind/>
      <w:jc w:val="both"/>
    </w:pPr>
  </w:style>
  <w:style w:styleId="Style_39_ch" w:type="character">
    <w:name w:val="Style8"/>
    <w:basedOn w:val="Style_8_ch"/>
    <w:link w:val="Style_39"/>
  </w:style>
  <w:style w:styleId="Style_3" w:type="paragraph">
    <w:name w:val="Body text (12) Exact"/>
    <w:link w:val="Style_3_ch"/>
    <w:rPr>
      <w:rFonts w:ascii="Times New Roman" w:hAnsi="Times New Roman"/>
      <w:i w:val="1"/>
      <w:spacing w:val="-4"/>
      <w:sz w:val="17"/>
      <w:u w:val="none"/>
    </w:rPr>
  </w:style>
  <w:style w:styleId="Style_3_ch" w:type="character">
    <w:name w:val="Body text (12) Exact"/>
    <w:link w:val="Style_3"/>
    <w:rPr>
      <w:rFonts w:ascii="Times New Roman" w:hAnsi="Times New Roman"/>
      <w:i w:val="1"/>
      <w:spacing w:val="-4"/>
      <w:sz w:val="17"/>
      <w:u w:val="none"/>
    </w:rPr>
  </w:style>
  <w:style w:styleId="Style_40" w:type="paragraph">
    <w:name w:val="toc 1"/>
    <w:next w:val="Style_8"/>
    <w:link w:val="Style_40_ch"/>
    <w:uiPriority w:val="39"/>
    <w:pPr>
      <w:widowControl w:val="1"/>
      <w:ind w:firstLine="0" w:left="0"/>
      <w:jc w:val="left"/>
    </w:pPr>
    <w:rPr>
      <w:rFonts w:ascii="XO Thames" w:hAnsi="XO Thames"/>
      <w:b w:val="1"/>
      <w:sz w:val="28"/>
    </w:rPr>
  </w:style>
  <w:style w:styleId="Style_40_ch" w:type="character">
    <w:name w:val="toc 1"/>
    <w:link w:val="Style_40"/>
    <w:rPr>
      <w:rFonts w:ascii="XO Thames" w:hAnsi="XO Thames"/>
      <w:b w:val="1"/>
      <w:sz w:val="28"/>
    </w:rPr>
  </w:style>
  <w:style w:styleId="Style_41" w:type="paragraph">
    <w:name w:val="Header and Footer"/>
    <w:link w:val="Style_41_ch"/>
    <w:pPr>
      <w:widowControl w:val="1"/>
      <w:spacing w:line="240" w:lineRule="auto"/>
      <w:ind/>
      <w:jc w:val="both"/>
    </w:pPr>
    <w:rPr>
      <w:rFonts w:ascii="XO Thames" w:hAnsi="XO Thames"/>
      <w:sz w:val="28"/>
    </w:rPr>
  </w:style>
  <w:style w:styleId="Style_41_ch" w:type="character">
    <w:name w:val="Header and Footer"/>
    <w:link w:val="Style_41"/>
    <w:rPr>
      <w:rFonts w:ascii="XO Thames" w:hAnsi="XO Thames"/>
      <w:sz w:val="28"/>
    </w:rPr>
  </w:style>
  <w:style w:styleId="Style_42" w:type="paragraph">
    <w:name w:val="Основной текст Знак"/>
    <w:basedOn w:val="Style_13"/>
    <w:link w:val="Style_42_ch"/>
    <w:rPr>
      <w:rFonts w:ascii="Times New Roman" w:hAnsi="Times New Roman"/>
      <w:sz w:val="24"/>
    </w:rPr>
  </w:style>
  <w:style w:styleId="Style_42_ch" w:type="character">
    <w:name w:val="Основной текст Знак"/>
    <w:basedOn w:val="Style_13_ch"/>
    <w:link w:val="Style_42"/>
    <w:rPr>
      <w:rFonts w:ascii="Times New Roman" w:hAnsi="Times New Roman"/>
      <w:sz w:val="24"/>
    </w:rPr>
  </w:style>
  <w:style w:styleId="Style_43" w:type="paragraph">
    <w:name w:val="Интернет-ссылка"/>
    <w:link w:val="Style_43_ch"/>
    <w:rPr>
      <w:color w:val="0000FF"/>
      <w:u w:val="single"/>
    </w:rPr>
  </w:style>
  <w:style w:styleId="Style_43_ch" w:type="character">
    <w:name w:val="Интернет-ссылка"/>
    <w:link w:val="Style_43"/>
    <w:rPr>
      <w:color w:val="0000FF"/>
      <w:u w:val="single"/>
    </w:rPr>
  </w:style>
  <w:style w:styleId="Style_44" w:type="paragraph">
    <w:name w:val="toc 9"/>
    <w:next w:val="Style_8"/>
    <w:link w:val="Style_44_ch"/>
    <w:uiPriority w:val="39"/>
    <w:pPr>
      <w:widowControl w:val="1"/>
      <w:ind w:firstLine="0" w:left="1600"/>
      <w:jc w:val="left"/>
    </w:pPr>
    <w:rPr>
      <w:rFonts w:ascii="XO Thames" w:hAnsi="XO Thames"/>
      <w:sz w:val="28"/>
    </w:rPr>
  </w:style>
  <w:style w:styleId="Style_44_ch" w:type="character">
    <w:name w:val="toc 9"/>
    <w:link w:val="Style_44"/>
    <w:rPr>
      <w:rFonts w:ascii="XO Thames" w:hAnsi="XO Thames"/>
      <w:sz w:val="28"/>
    </w:rPr>
  </w:style>
  <w:style w:styleId="Style_45" w:type="paragraph">
    <w:name w:val="Font Style74"/>
    <w:link w:val="Style_45_ch"/>
    <w:rPr>
      <w:rFonts w:ascii="Times New Roman" w:hAnsi="Times New Roman"/>
      <w:sz w:val="16"/>
    </w:rPr>
  </w:style>
  <w:style w:styleId="Style_45_ch" w:type="character">
    <w:name w:val="Font Style74"/>
    <w:link w:val="Style_45"/>
    <w:rPr>
      <w:rFonts w:ascii="Times New Roman" w:hAnsi="Times New Roman"/>
      <w:sz w:val="16"/>
    </w:rPr>
  </w:style>
  <w:style w:styleId="Style_4" w:type="paragraph">
    <w:name w:val="List Paragraph"/>
    <w:basedOn w:val="Style_8"/>
    <w:link w:val="Style_4_ch"/>
    <w:pPr>
      <w:widowControl w:val="1"/>
      <w:ind w:left="720"/>
    </w:pPr>
  </w:style>
  <w:style w:styleId="Style_4_ch" w:type="character">
    <w:name w:val="List Paragraph"/>
    <w:basedOn w:val="Style_8_ch"/>
    <w:link w:val="Style_4"/>
  </w:style>
  <w:style w:styleId="Style_46" w:type="paragraph">
    <w:name w:val="Standard"/>
    <w:link w:val="Style_46_ch"/>
    <w:rPr>
      <w:rFonts w:ascii="Arial" w:hAnsi="Arial"/>
    </w:rPr>
  </w:style>
  <w:style w:styleId="Style_46_ch" w:type="character">
    <w:name w:val="Standard"/>
    <w:link w:val="Style_46"/>
    <w:rPr>
      <w:rFonts w:ascii="Arial" w:hAnsi="Arial"/>
    </w:rPr>
  </w:style>
  <w:style w:styleId="Style_47" w:type="paragraph">
    <w:name w:val="toc 8"/>
    <w:next w:val="Style_8"/>
    <w:link w:val="Style_47_ch"/>
    <w:uiPriority w:val="39"/>
    <w:pPr>
      <w:widowControl w:val="1"/>
      <w:ind w:firstLine="0" w:left="1400"/>
      <w:jc w:val="left"/>
    </w:pPr>
    <w:rPr>
      <w:rFonts w:ascii="XO Thames" w:hAnsi="XO Thames"/>
      <w:sz w:val="28"/>
    </w:rPr>
  </w:style>
  <w:style w:styleId="Style_47_ch" w:type="character">
    <w:name w:val="toc 8"/>
    <w:link w:val="Style_47"/>
    <w:rPr>
      <w:rFonts w:ascii="XO Thames" w:hAnsi="XO Thames"/>
      <w:sz w:val="28"/>
    </w:rPr>
  </w:style>
  <w:style w:styleId="Style_48" w:type="paragraph">
    <w:name w:val="Содержимое врезки"/>
    <w:basedOn w:val="Style_8"/>
    <w:link w:val="Style_48_ch"/>
  </w:style>
  <w:style w:styleId="Style_48_ch" w:type="character">
    <w:name w:val="Содержимое врезки"/>
    <w:basedOn w:val="Style_8_ch"/>
    <w:link w:val="Style_48"/>
  </w:style>
  <w:style w:styleId="Style_49" w:type="paragraph">
    <w:name w:val="Balloon Text"/>
    <w:basedOn w:val="Style_8"/>
    <w:link w:val="Style_49_ch"/>
    <w:rPr>
      <w:rFonts w:ascii="Tahoma" w:hAnsi="Tahoma"/>
      <w:sz w:val="16"/>
    </w:rPr>
  </w:style>
  <w:style w:styleId="Style_49_ch" w:type="character">
    <w:name w:val="Balloon Text"/>
    <w:basedOn w:val="Style_8_ch"/>
    <w:link w:val="Style_49"/>
    <w:rPr>
      <w:rFonts w:ascii="Tahoma" w:hAnsi="Tahoma"/>
      <w:sz w:val="16"/>
    </w:rPr>
  </w:style>
  <w:style w:styleId="Style_50" w:type="paragraph">
    <w:name w:val="toc 5"/>
    <w:next w:val="Style_8"/>
    <w:link w:val="Style_50_ch"/>
    <w:uiPriority w:val="39"/>
    <w:pPr>
      <w:widowControl w:val="1"/>
      <w:ind w:firstLine="0" w:left="800"/>
      <w:jc w:val="left"/>
    </w:pPr>
    <w:rPr>
      <w:rFonts w:ascii="XO Thames" w:hAnsi="XO Thames"/>
      <w:sz w:val="28"/>
    </w:rPr>
  </w:style>
  <w:style w:styleId="Style_50_ch" w:type="character">
    <w:name w:val="toc 5"/>
    <w:link w:val="Style_50"/>
    <w:rPr>
      <w:rFonts w:ascii="XO Thames" w:hAnsi="XO Thames"/>
      <w:sz w:val="28"/>
    </w:rPr>
  </w:style>
  <w:style w:styleId="Style_51" w:type="paragraph">
    <w:name w:val="annotation subject"/>
    <w:basedOn w:val="Style_52"/>
    <w:next w:val="Style_52"/>
    <w:link w:val="Style_51_ch"/>
    <w:rPr>
      <w:b w:val="1"/>
    </w:rPr>
  </w:style>
  <w:style w:styleId="Style_51_ch" w:type="character">
    <w:name w:val="annotation subject"/>
    <w:basedOn w:val="Style_52_ch"/>
    <w:link w:val="Style_51"/>
    <w:rPr>
      <w:b w:val="1"/>
    </w:rPr>
  </w:style>
  <w:style w:styleId="Style_53" w:type="paragraph">
    <w:name w:val="ConsPlusNormal"/>
    <w:link w:val="Style_53_ch"/>
    <w:pPr>
      <w:widowControl w:val="0"/>
      <w:ind w:firstLine="720"/>
    </w:pPr>
    <w:rPr>
      <w:rFonts w:ascii="Arial" w:hAnsi="Arial"/>
    </w:rPr>
  </w:style>
  <w:style w:styleId="Style_53_ch" w:type="character">
    <w:name w:val="ConsPlusNormal"/>
    <w:link w:val="Style_53"/>
    <w:rPr>
      <w:rFonts w:ascii="Arial" w:hAnsi="Arial"/>
    </w:rPr>
  </w:style>
  <w:style w:styleId="Style_54" w:type="paragraph">
    <w:name w:val="Subtitle"/>
    <w:next w:val="Style_8"/>
    <w:link w:val="Style_54_ch"/>
    <w:uiPriority w:val="11"/>
    <w:qFormat/>
    <w:pPr>
      <w:widowControl w:val="1"/>
      <w:ind/>
      <w:jc w:val="both"/>
    </w:pPr>
    <w:rPr>
      <w:rFonts w:ascii="XO Thames" w:hAnsi="XO Thames"/>
      <w:i w:val="1"/>
      <w:sz w:val="24"/>
    </w:rPr>
  </w:style>
  <w:style w:styleId="Style_54_ch" w:type="character">
    <w:name w:val="Subtitle"/>
    <w:link w:val="Style_54"/>
    <w:rPr>
      <w:rFonts w:ascii="XO Thames" w:hAnsi="XO Thames"/>
      <w:i w:val="1"/>
      <w:sz w:val="24"/>
    </w:rPr>
  </w:style>
  <w:style w:styleId="Style_28" w:type="paragraph">
    <w:name w:val="Содержимое таблицы"/>
    <w:basedOn w:val="Style_8"/>
    <w:link w:val="Style_28_ch"/>
    <w:pPr>
      <w:widowControl w:val="0"/>
      <w:ind/>
    </w:pPr>
  </w:style>
  <w:style w:styleId="Style_28_ch" w:type="character">
    <w:name w:val="Содержимое таблицы"/>
    <w:basedOn w:val="Style_8_ch"/>
    <w:link w:val="Style_28"/>
  </w:style>
  <w:style w:styleId="Style_55" w:type="paragraph">
    <w:name w:val="Title"/>
    <w:next w:val="Style_8"/>
    <w:link w:val="Style_55_ch"/>
    <w:uiPriority w:val="10"/>
    <w:qFormat/>
    <w:pPr>
      <w:widowControl w:val="1"/>
      <w:spacing w:after="567" w:before="567"/>
      <w:ind/>
      <w:jc w:val="center"/>
    </w:pPr>
    <w:rPr>
      <w:rFonts w:ascii="XO Thames" w:hAnsi="XO Thames"/>
      <w:b w:val="1"/>
      <w:caps w:val="1"/>
      <w:sz w:val="40"/>
    </w:rPr>
  </w:style>
  <w:style w:styleId="Style_55_ch" w:type="character">
    <w:name w:val="Title"/>
    <w:link w:val="Style_55"/>
    <w:rPr>
      <w:rFonts w:ascii="XO Thames" w:hAnsi="XO Thames"/>
      <w:b w:val="1"/>
      <w:caps w:val="1"/>
      <w:sz w:val="40"/>
    </w:rPr>
  </w:style>
  <w:style w:styleId="Style_56" w:type="paragraph">
    <w:name w:val="heading 4"/>
    <w:next w:val="Style_8"/>
    <w:link w:val="Style_56_ch"/>
    <w:uiPriority w:val="9"/>
    <w:qFormat/>
    <w:pPr>
      <w:widowControl w:val="1"/>
      <w:spacing w:after="120" w:before="120"/>
      <w:ind/>
      <w:jc w:val="both"/>
      <w:outlineLvl w:val="3"/>
    </w:pPr>
    <w:rPr>
      <w:rFonts w:ascii="XO Thames" w:hAnsi="XO Thames"/>
      <w:b w:val="1"/>
      <w:sz w:val="24"/>
    </w:rPr>
  </w:style>
  <w:style w:styleId="Style_56_ch" w:type="character">
    <w:name w:val="heading 4"/>
    <w:link w:val="Style_56"/>
    <w:rPr>
      <w:rFonts w:ascii="XO Thames" w:hAnsi="XO Thames"/>
      <w:b w:val="1"/>
      <w:sz w:val="24"/>
    </w:rPr>
  </w:style>
  <w:style w:styleId="Style_57" w:type="paragraph">
    <w:name w:val="doc__note-text"/>
    <w:link w:val="Style_57_ch"/>
  </w:style>
  <w:style w:styleId="Style_57_ch" w:type="character">
    <w:name w:val="doc__note-text"/>
    <w:link w:val="Style_57"/>
  </w:style>
  <w:style w:styleId="Style_58" w:type="paragraph">
    <w:name w:val="dashed1"/>
    <w:link w:val="Style_58_ch"/>
  </w:style>
  <w:style w:styleId="Style_58_ch" w:type="character">
    <w:name w:val="dashed1"/>
    <w:link w:val="Style_58"/>
  </w:style>
  <w:style w:styleId="Style_59" w:type="paragraph">
    <w:name w:val="heading 2"/>
    <w:basedOn w:val="Style_8"/>
    <w:next w:val="Style_8"/>
    <w:link w:val="Style_59_ch"/>
    <w:uiPriority w:val="9"/>
    <w:qFormat/>
    <w:pPr>
      <w:keepNext w:val="1"/>
      <w:keepLines w:val="1"/>
      <w:widowControl w:val="1"/>
      <w:spacing w:before="200"/>
      <w:ind/>
      <w:outlineLvl w:val="1"/>
    </w:pPr>
    <w:rPr>
      <w:rFonts w:asciiTheme="majorAscii" w:hAnsiTheme="majorHAnsi"/>
      <w:b w:val="1"/>
      <w:color w:themeColor="accent1" w:val="4F81BD"/>
      <w:sz w:val="26"/>
    </w:rPr>
  </w:style>
  <w:style w:styleId="Style_59_ch" w:type="character">
    <w:name w:val="heading 2"/>
    <w:basedOn w:val="Style_8_ch"/>
    <w:link w:val="Style_59"/>
    <w:rPr>
      <w:rFonts w:asciiTheme="majorAscii" w:hAnsiTheme="majorHAnsi"/>
      <w:b w:val="1"/>
      <w:color w:themeColor="accent1" w:val="4F81BD"/>
      <w:sz w:val="26"/>
    </w:rPr>
  </w:style>
  <w:style w:styleId="Style_60" w:type="paragraph">
    <w:name w:val="Текст выноски Знак"/>
    <w:basedOn w:val="Style_13"/>
    <w:link w:val="Style_60_ch"/>
    <w:rPr>
      <w:rFonts w:ascii="Tahoma" w:hAnsi="Tahoma"/>
      <w:sz w:val="16"/>
    </w:rPr>
  </w:style>
  <w:style w:styleId="Style_60_ch" w:type="character">
    <w:name w:val="Текст выноски Знак"/>
    <w:basedOn w:val="Style_13_ch"/>
    <w:link w:val="Style_60"/>
    <w:rPr>
      <w:rFonts w:ascii="Tahoma" w:hAnsi="Tahoma"/>
      <w:sz w:val="16"/>
    </w:rPr>
  </w:style>
  <w:style w:styleId="Style_61" w:type="paragraph">
    <w:name w:val="Default"/>
    <w:link w:val="Style_61_ch"/>
    <w:rPr>
      <w:rFonts w:ascii="Times New Roman" w:hAnsi="Times New Roman"/>
      <w:color w:val="000000"/>
      <w:sz w:val="24"/>
    </w:rPr>
  </w:style>
  <w:style w:styleId="Style_61_ch" w:type="character">
    <w:name w:val="Default"/>
    <w:link w:val="Style_61"/>
    <w:rPr>
      <w:rFonts w:ascii="Times New Roman" w:hAnsi="Times New Roman"/>
      <w:color w:val="000000"/>
      <w:sz w:val="24"/>
    </w:rPr>
  </w:style>
  <w:style w:styleId="Style_52" w:type="paragraph">
    <w:name w:val="annotation text"/>
    <w:basedOn w:val="Style_8"/>
    <w:link w:val="Style_52_ch"/>
    <w:rPr>
      <w:sz w:val="20"/>
    </w:rPr>
  </w:style>
  <w:style w:styleId="Style_52_ch" w:type="character">
    <w:name w:val="annotation text"/>
    <w:basedOn w:val="Style_8_ch"/>
    <w:link w:val="Style_52"/>
    <w:rPr>
      <w:sz w:val="20"/>
    </w:rPr>
  </w:style>
  <w:style w:styleId="Style_62" w:type="table">
    <w:name w:val="Table Grid"/>
    <w:basedOn w:val="Style_5"/>
    <w:tblPr>
      <w:tblBorders>
        <w:top w:color="000000" w:sz="4" w:val="single"/>
        <w:left w:color="000000" w:sz="4" w:val="single"/>
        <w:bottom w:color="000000" w:sz="4" w:val="single"/>
        <w:right w:color="000000" w:sz="4" w:val="single"/>
        <w:insideH w:color="000000" w:sz="4" w:val="single"/>
        <w:insideV w:color="000000" w:sz="4" w:val="single"/>
      </w:tblBorders>
    </w:tblPr>
  </w:style>
  <w:style w:default="1" w:styleId="Style_5" w:type="table">
    <w:name w:val="Normal Table"/>
    <w:tblPr>
      <w:tblCellMar>
        <w:top w:type="dxa" w:w="0"/>
        <w:left w:type="dxa" w:w="108"/>
        <w:bottom w:type="dxa" w:w="0"/>
        <w:right w:type="dxa" w:w="108"/>
      </w:tblCellMar>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6" Target="webSettings.xml" Type="http://schemas.openxmlformats.org/officeDocument/2006/relationships/webSettings"/>
  <Relationship Id="rId1" Target="footer1.xml" Type="http://schemas.openxmlformats.org/officeDocument/2006/relationships/footer"/>
  <Relationship Id="rId2" Target="fontTable.xml" Type="http://schemas.openxmlformats.org/officeDocument/2006/relationships/fontTable"/>
  <Relationship Id="rId3" Target="settings.xml" Type="http://schemas.openxmlformats.org/officeDocument/2006/relationships/settings"/>
  <Relationship Id="rId8" Target="numbering.xml" Type="http://schemas.openxmlformats.org/officeDocument/2006/relationships/numbering"/>
  <Relationship Id="rId4" Target="styles.xml" Type="http://schemas.openxmlformats.org/officeDocument/2006/relationships/styles"/>
  <Relationship Id="rId7" Target="theme/theme1.xml" Type="http://schemas.openxmlformats.org/officeDocument/2006/relationships/theme"/>
  <Relationship Id="rId5" Target="stylesWithEffects.xml" Type="http://schemas.microsoft.com/office/2007/relationships/stylesWithEffects"/>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MyOffice-CoreFramework-Windows/35</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2025-12-02T13:12:00Z</dcterms:created>
  <dcterms:modified xsi:type="dcterms:W3CDTF">2026-05-27T06:42:41Z</dcterms:modified>
</cp:coreProperties>
</file>