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5000" w:type="pct"/>
        <w:tblInd w:w="57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387"/>
        <w:gridCol w:w="1897"/>
        <w:gridCol w:w="1646"/>
        <w:gridCol w:w="1032"/>
        <w:gridCol w:w="139"/>
        <w:gridCol w:w="903"/>
        <w:gridCol w:w="930"/>
        <w:gridCol w:w="1049"/>
        <w:gridCol w:w="1049"/>
        <w:gridCol w:w="850"/>
        <w:gridCol w:w="559"/>
        <w:gridCol w:w="824"/>
        <w:gridCol w:w="1288"/>
        <w:gridCol w:w="1328"/>
        <w:gridCol w:w="625"/>
        <w:gridCol w:w="1313"/>
      </w:tblGrid>
      <w:tr w:rsidR="002E5B00" w:rsidTr="0027183D">
        <w:tblPrEx>
          <w:tblCellMar>
            <w:top w:w="0" w:type="dxa"/>
            <w:bottom w:w="0" w:type="dxa"/>
          </w:tblCellMar>
        </w:tblPrEx>
        <w:trPr>
          <w:gridAfter w:val="1"/>
          <w:wAfter w:w="1313" w:type="dxa"/>
          <w:cantSplit/>
          <w:trHeight w:val="235"/>
        </w:trPr>
        <w:tc>
          <w:tcPr>
            <w:tcW w:w="2284" w:type="dxa"/>
            <w:gridSpan w:val="2"/>
            <w:shd w:val="clear" w:color="auto" w:fill="auto"/>
            <w:vAlign w:val="center"/>
          </w:tcPr>
          <w:p w:rsidR="002E5B00" w:rsidRDefault="0094584C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*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2E5B00" w:rsidRDefault="002E5B00">
            <w:pPr>
              <w:jc w:val="center"/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2E5B00" w:rsidRDefault="002E5B00">
            <w:pPr>
              <w:jc w:val="center"/>
            </w:pPr>
          </w:p>
        </w:tc>
        <w:tc>
          <w:tcPr>
            <w:tcW w:w="139" w:type="dxa"/>
            <w:shd w:val="clear" w:color="auto" w:fill="auto"/>
            <w:vAlign w:val="center"/>
          </w:tcPr>
          <w:p w:rsidR="002E5B00" w:rsidRDefault="002E5B00">
            <w:pPr>
              <w:jc w:val="center"/>
            </w:pPr>
          </w:p>
        </w:tc>
        <w:tc>
          <w:tcPr>
            <w:tcW w:w="903" w:type="dxa"/>
            <w:shd w:val="clear" w:color="auto" w:fill="auto"/>
            <w:vAlign w:val="center"/>
          </w:tcPr>
          <w:p w:rsidR="002E5B00" w:rsidRDefault="002E5B00">
            <w:pPr>
              <w:jc w:val="center"/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2E5B00" w:rsidRDefault="002E5B00">
            <w:pPr>
              <w:jc w:val="center"/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2E5B00" w:rsidRDefault="002E5B00">
            <w:pPr>
              <w:jc w:val="center"/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2E5B00" w:rsidRDefault="002E5B00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E5B00" w:rsidRDefault="002E5B00">
            <w:pPr>
              <w:jc w:val="center"/>
            </w:pPr>
          </w:p>
        </w:tc>
        <w:tc>
          <w:tcPr>
            <w:tcW w:w="559" w:type="dxa"/>
            <w:shd w:val="clear" w:color="auto" w:fill="auto"/>
            <w:vAlign w:val="center"/>
          </w:tcPr>
          <w:p w:rsidR="002E5B00" w:rsidRDefault="002E5B00">
            <w:pPr>
              <w:jc w:val="center"/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2E5B00" w:rsidRDefault="002E5B00">
            <w:pPr>
              <w:jc w:val="center"/>
            </w:pPr>
          </w:p>
        </w:tc>
        <w:tc>
          <w:tcPr>
            <w:tcW w:w="1288" w:type="dxa"/>
            <w:shd w:val="clear" w:color="auto" w:fill="auto"/>
            <w:vAlign w:val="center"/>
          </w:tcPr>
          <w:p w:rsidR="002E5B00" w:rsidRDefault="002E5B00">
            <w:pPr>
              <w:jc w:val="center"/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2E5B00" w:rsidRDefault="002E5B00">
            <w:pPr>
              <w:jc w:val="center"/>
            </w:pPr>
          </w:p>
        </w:tc>
        <w:tc>
          <w:tcPr>
            <w:tcW w:w="625" w:type="dxa"/>
            <w:shd w:val="clear" w:color="auto" w:fill="auto"/>
            <w:vAlign w:val="center"/>
          </w:tcPr>
          <w:p w:rsidR="002E5B00" w:rsidRDefault="002E5B00">
            <w:pPr>
              <w:jc w:val="center"/>
            </w:pPr>
          </w:p>
        </w:tc>
      </w:tr>
      <w:tr w:rsidR="002E5B00" w:rsidTr="0027183D">
        <w:tblPrEx>
          <w:tblCellMar>
            <w:top w:w="0" w:type="dxa"/>
            <w:bottom w:w="0" w:type="dxa"/>
          </w:tblCellMar>
        </w:tblPrEx>
        <w:trPr>
          <w:cantSplit/>
          <w:trHeight w:val="235"/>
        </w:trPr>
        <w:tc>
          <w:tcPr>
            <w:tcW w:w="15819" w:type="dxa"/>
            <w:gridSpan w:val="16"/>
            <w:shd w:val="clear" w:color="auto" w:fill="auto"/>
            <w:vAlign w:val="center"/>
          </w:tcPr>
          <w:p w:rsidR="002E5B00" w:rsidRDefault="0094584C">
            <w:pPr>
              <w:jc w:val="center"/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Определение начальной максимальной цены контракта</w:t>
            </w:r>
          </w:p>
        </w:tc>
      </w:tr>
      <w:tr w:rsidR="002E5B00" w:rsidTr="0027183D">
        <w:tblPrEx>
          <w:tblCellMar>
            <w:top w:w="0" w:type="dxa"/>
            <w:bottom w:w="0" w:type="dxa"/>
          </w:tblCellMar>
        </w:tblPrEx>
        <w:trPr>
          <w:gridAfter w:val="1"/>
          <w:wAfter w:w="1313" w:type="dxa"/>
          <w:cantSplit/>
          <w:trHeight w:val="235"/>
        </w:trPr>
        <w:tc>
          <w:tcPr>
            <w:tcW w:w="387" w:type="dxa"/>
            <w:shd w:val="clear" w:color="auto" w:fill="auto"/>
            <w:vAlign w:val="center"/>
          </w:tcPr>
          <w:p w:rsidR="002E5B00" w:rsidRDefault="002E5B00">
            <w:pPr>
              <w:jc w:val="center"/>
            </w:pPr>
          </w:p>
        </w:tc>
        <w:tc>
          <w:tcPr>
            <w:tcW w:w="1897" w:type="dxa"/>
            <w:shd w:val="clear" w:color="auto" w:fill="auto"/>
            <w:vAlign w:val="center"/>
          </w:tcPr>
          <w:p w:rsidR="002E5B00" w:rsidRDefault="002E5B00">
            <w:pPr>
              <w:jc w:val="center"/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2E5B00" w:rsidRDefault="002E5B00">
            <w:pPr>
              <w:jc w:val="center"/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2E5B00" w:rsidRDefault="002E5B00">
            <w:pPr>
              <w:jc w:val="center"/>
            </w:pPr>
          </w:p>
        </w:tc>
        <w:tc>
          <w:tcPr>
            <w:tcW w:w="139" w:type="dxa"/>
            <w:shd w:val="clear" w:color="auto" w:fill="auto"/>
            <w:vAlign w:val="center"/>
          </w:tcPr>
          <w:p w:rsidR="002E5B00" w:rsidRDefault="002E5B00">
            <w:pPr>
              <w:jc w:val="center"/>
            </w:pPr>
          </w:p>
        </w:tc>
        <w:tc>
          <w:tcPr>
            <w:tcW w:w="903" w:type="dxa"/>
            <w:shd w:val="clear" w:color="auto" w:fill="auto"/>
            <w:vAlign w:val="center"/>
          </w:tcPr>
          <w:p w:rsidR="002E5B00" w:rsidRDefault="002E5B00">
            <w:pPr>
              <w:jc w:val="center"/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2E5B00" w:rsidRDefault="002E5B00">
            <w:pPr>
              <w:jc w:val="center"/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2E5B00" w:rsidRDefault="002E5B00">
            <w:pPr>
              <w:jc w:val="center"/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2E5B00" w:rsidRDefault="002E5B00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E5B00" w:rsidRDefault="002E5B00">
            <w:pPr>
              <w:jc w:val="center"/>
            </w:pPr>
          </w:p>
        </w:tc>
        <w:tc>
          <w:tcPr>
            <w:tcW w:w="559" w:type="dxa"/>
            <w:shd w:val="clear" w:color="auto" w:fill="auto"/>
            <w:vAlign w:val="center"/>
          </w:tcPr>
          <w:p w:rsidR="002E5B00" w:rsidRDefault="002E5B00">
            <w:pPr>
              <w:jc w:val="center"/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2E5B00" w:rsidRDefault="002E5B00">
            <w:pPr>
              <w:jc w:val="center"/>
            </w:pPr>
          </w:p>
        </w:tc>
        <w:tc>
          <w:tcPr>
            <w:tcW w:w="1288" w:type="dxa"/>
            <w:shd w:val="clear" w:color="auto" w:fill="auto"/>
            <w:vAlign w:val="center"/>
          </w:tcPr>
          <w:p w:rsidR="002E5B00" w:rsidRDefault="002E5B00">
            <w:pPr>
              <w:jc w:val="center"/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2E5B00" w:rsidRDefault="002E5B00">
            <w:pPr>
              <w:jc w:val="center"/>
            </w:pPr>
          </w:p>
        </w:tc>
        <w:tc>
          <w:tcPr>
            <w:tcW w:w="625" w:type="dxa"/>
            <w:shd w:val="clear" w:color="auto" w:fill="auto"/>
            <w:vAlign w:val="center"/>
          </w:tcPr>
          <w:p w:rsidR="002E5B00" w:rsidRDefault="002E5B00">
            <w:pPr>
              <w:jc w:val="center"/>
            </w:pPr>
          </w:p>
        </w:tc>
      </w:tr>
      <w:tr w:rsidR="002E5B00" w:rsidTr="002718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19" w:type="dxa"/>
            <w:gridSpan w:val="16"/>
            <w:shd w:val="clear" w:color="auto" w:fill="auto"/>
            <w:vAlign w:val="center"/>
          </w:tcPr>
          <w:p w:rsidR="002E5B00" w:rsidRDefault="0094584C">
            <w:pPr>
              <w:jc w:val="both"/>
            </w:pPr>
            <w:r>
              <w:rPr>
                <w:rFonts w:ascii="Times New Roman" w:hAnsi="Times New Roman"/>
                <w:sz w:val="21"/>
                <w:szCs w:val="21"/>
              </w:rPr>
              <w:t xml:space="preserve">Начальная (максимальная) цена контракта (далее - НМЦК) определена в соответствии с Приказом Министерства здравоохранения РФ от 19 декабря 2019 г. №1064н "Об утверждении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порядка определения начальной (максимальной) цены контракта, цены </w:t>
            </w:r>
            <w:proofErr w:type="gramStart"/>
            <w:r>
              <w:rPr>
                <w:rFonts w:ascii="Times New Roman" w:hAnsi="Times New Roman"/>
                <w:sz w:val="21"/>
                <w:szCs w:val="21"/>
              </w:rPr>
              <w:t>контракта</w:t>
            </w:r>
            <w:proofErr w:type="gramEnd"/>
            <w:r>
              <w:rPr>
                <w:rFonts w:ascii="Times New Roman" w:hAnsi="Times New Roman"/>
                <w:sz w:val="21"/>
                <w:szCs w:val="21"/>
              </w:rPr>
              <w:t xml:space="preserve"> заключаемого с единственным поставщиком (подрядчиком, исполнителем), начальной цены единицы товара, работы, услуги при осуществлении закупок лекарственных препаратов для медицинско</w:t>
            </w:r>
            <w:r>
              <w:rPr>
                <w:rFonts w:ascii="Times New Roman" w:hAnsi="Times New Roman"/>
                <w:sz w:val="21"/>
                <w:szCs w:val="21"/>
              </w:rPr>
              <w:t>го применения</w:t>
            </w:r>
          </w:p>
        </w:tc>
      </w:tr>
      <w:tr w:rsidR="002E5B00" w:rsidTr="0027183D">
        <w:tblPrEx>
          <w:tblCellMar>
            <w:top w:w="0" w:type="dxa"/>
            <w:bottom w:w="0" w:type="dxa"/>
          </w:tblCellMar>
        </w:tblPrEx>
        <w:trPr>
          <w:gridAfter w:val="1"/>
          <w:wAfter w:w="1313" w:type="dxa"/>
          <w:cantSplit/>
          <w:trHeight w:val="235"/>
        </w:trPr>
        <w:tc>
          <w:tcPr>
            <w:tcW w:w="387" w:type="dxa"/>
            <w:shd w:val="clear" w:color="auto" w:fill="auto"/>
            <w:vAlign w:val="center"/>
          </w:tcPr>
          <w:p w:rsidR="002E5B00" w:rsidRDefault="002E5B00">
            <w:pPr>
              <w:jc w:val="center"/>
            </w:pPr>
          </w:p>
        </w:tc>
        <w:tc>
          <w:tcPr>
            <w:tcW w:w="1897" w:type="dxa"/>
            <w:shd w:val="clear" w:color="auto" w:fill="auto"/>
            <w:vAlign w:val="center"/>
          </w:tcPr>
          <w:p w:rsidR="002E5B00" w:rsidRDefault="002E5B00">
            <w:pPr>
              <w:jc w:val="center"/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2E5B00" w:rsidRDefault="002E5B00">
            <w:pPr>
              <w:jc w:val="center"/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2E5B00" w:rsidRDefault="002E5B00">
            <w:pPr>
              <w:jc w:val="center"/>
            </w:pPr>
          </w:p>
        </w:tc>
        <w:tc>
          <w:tcPr>
            <w:tcW w:w="139" w:type="dxa"/>
            <w:shd w:val="clear" w:color="auto" w:fill="auto"/>
            <w:vAlign w:val="center"/>
          </w:tcPr>
          <w:p w:rsidR="002E5B00" w:rsidRDefault="002E5B00">
            <w:pPr>
              <w:jc w:val="center"/>
            </w:pPr>
          </w:p>
        </w:tc>
        <w:tc>
          <w:tcPr>
            <w:tcW w:w="903" w:type="dxa"/>
            <w:shd w:val="clear" w:color="auto" w:fill="auto"/>
            <w:vAlign w:val="center"/>
          </w:tcPr>
          <w:p w:rsidR="002E5B00" w:rsidRDefault="002E5B00">
            <w:pPr>
              <w:jc w:val="center"/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2E5B00" w:rsidRDefault="002E5B00">
            <w:pPr>
              <w:jc w:val="center"/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2E5B00" w:rsidRDefault="002E5B00">
            <w:pPr>
              <w:jc w:val="center"/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2E5B00" w:rsidRDefault="002E5B00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E5B00" w:rsidRDefault="002E5B00">
            <w:pPr>
              <w:jc w:val="center"/>
            </w:pPr>
          </w:p>
        </w:tc>
        <w:tc>
          <w:tcPr>
            <w:tcW w:w="559" w:type="dxa"/>
            <w:shd w:val="clear" w:color="auto" w:fill="auto"/>
            <w:vAlign w:val="center"/>
          </w:tcPr>
          <w:p w:rsidR="002E5B00" w:rsidRDefault="002E5B00">
            <w:pPr>
              <w:jc w:val="center"/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2E5B00" w:rsidRDefault="002E5B00">
            <w:pPr>
              <w:jc w:val="center"/>
            </w:pPr>
          </w:p>
        </w:tc>
        <w:tc>
          <w:tcPr>
            <w:tcW w:w="1288" w:type="dxa"/>
            <w:shd w:val="clear" w:color="auto" w:fill="auto"/>
            <w:vAlign w:val="center"/>
          </w:tcPr>
          <w:p w:rsidR="002E5B00" w:rsidRDefault="002E5B00">
            <w:pPr>
              <w:jc w:val="center"/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2E5B00" w:rsidRDefault="002E5B00">
            <w:pPr>
              <w:jc w:val="center"/>
            </w:pPr>
          </w:p>
        </w:tc>
        <w:tc>
          <w:tcPr>
            <w:tcW w:w="625" w:type="dxa"/>
            <w:shd w:val="clear" w:color="auto" w:fill="auto"/>
            <w:vAlign w:val="center"/>
          </w:tcPr>
          <w:p w:rsidR="002E5B00" w:rsidRDefault="002E5B00">
            <w:pPr>
              <w:jc w:val="center"/>
            </w:pPr>
          </w:p>
        </w:tc>
      </w:tr>
      <w:tr w:rsidR="002E5B00" w:rsidTr="002718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E5B00" w:rsidRDefault="0094584C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№</w:t>
            </w:r>
          </w:p>
        </w:tc>
        <w:tc>
          <w:tcPr>
            <w:tcW w:w="18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E5B00" w:rsidRDefault="0094584C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Международное непатентованное наименование или химическое, </w:t>
            </w:r>
            <w:proofErr w:type="spellStart"/>
            <w:r>
              <w:rPr>
                <w:rFonts w:ascii="Times New Roman" w:hAnsi="Times New Roman"/>
                <w:sz w:val="17"/>
                <w:szCs w:val="17"/>
              </w:rPr>
              <w:t>группировочное</w:t>
            </w:r>
            <w:proofErr w:type="spellEnd"/>
            <w:r>
              <w:rPr>
                <w:rFonts w:ascii="Times New Roman" w:hAnsi="Times New Roman"/>
                <w:sz w:val="17"/>
                <w:szCs w:val="17"/>
              </w:rPr>
              <w:t xml:space="preserve"> наименование ЛП</w:t>
            </w:r>
          </w:p>
        </w:tc>
        <w:tc>
          <w:tcPr>
            <w:tcW w:w="16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E5B00" w:rsidRDefault="0094584C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Лекарственная форма, дозировка по ЕСКЛП</w:t>
            </w:r>
          </w:p>
        </w:tc>
        <w:tc>
          <w:tcPr>
            <w:tcW w:w="10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E5B00" w:rsidRDefault="0094584C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ОКПД2</w:t>
            </w:r>
          </w:p>
        </w:tc>
        <w:tc>
          <w:tcPr>
            <w:tcW w:w="10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E5B00" w:rsidRDefault="0094584C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Ед. изм. (ЕИ) по ЕСКЛП</w:t>
            </w:r>
          </w:p>
        </w:tc>
        <w:tc>
          <w:tcPr>
            <w:tcW w:w="9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E5B00" w:rsidRDefault="0094584C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Мин. цена за ЕИ ЛП по анализу рынка, без учета НДС и ОН, руб.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E5B00" w:rsidRDefault="0094584C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Мин. цена ЕИ ЛП по данным ГРЛС, без учета НДС и ОН, руб.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E5B00" w:rsidRDefault="0094584C">
            <w:pPr>
              <w:jc w:val="center"/>
            </w:pPr>
            <w:r>
              <w:rPr>
                <w:rFonts w:ascii="Times New Roman" w:hAnsi="Times New Roman"/>
                <w:szCs w:val="15"/>
              </w:rPr>
              <w:t>Средневзвешенная цена ЕИ ЛП по исполненным Договорам за 12 месяцев, предшествующих месяцу расчета, без учета НДС и ОН, руб.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E5B00" w:rsidRDefault="0094584C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Референт-</w:t>
            </w:r>
            <w:proofErr w:type="spellStart"/>
            <w:r>
              <w:rPr>
                <w:rFonts w:ascii="Times New Roman" w:hAnsi="Times New Roman"/>
                <w:sz w:val="17"/>
                <w:szCs w:val="17"/>
              </w:rPr>
              <w:t>ная</w:t>
            </w:r>
            <w:proofErr w:type="spellEnd"/>
            <w:r>
              <w:rPr>
                <w:rFonts w:ascii="Times New Roman" w:hAnsi="Times New Roman"/>
                <w:sz w:val="17"/>
                <w:szCs w:val="17"/>
              </w:rPr>
              <w:t xml:space="preserve"> цена ЕИ ЛП, руб.</w:t>
            </w:r>
          </w:p>
        </w:tc>
        <w:tc>
          <w:tcPr>
            <w:tcW w:w="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E5B00" w:rsidRDefault="0094584C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НДС, %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E5B00" w:rsidRDefault="0094584C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Опт. </w:t>
            </w:r>
            <w:proofErr w:type="spellStart"/>
            <w:proofErr w:type="gramStart"/>
            <w:r>
              <w:rPr>
                <w:rFonts w:ascii="Times New Roman" w:hAnsi="Times New Roman"/>
                <w:sz w:val="17"/>
                <w:szCs w:val="17"/>
              </w:rPr>
              <w:t>надб</w:t>
            </w:r>
            <w:proofErr w:type="spellEnd"/>
            <w:r>
              <w:rPr>
                <w:rFonts w:ascii="Times New Roman" w:hAnsi="Times New Roman"/>
                <w:sz w:val="17"/>
                <w:szCs w:val="17"/>
              </w:rPr>
              <w:t>.,</w:t>
            </w:r>
            <w:proofErr w:type="gramEnd"/>
            <w:r>
              <w:rPr>
                <w:rFonts w:ascii="Times New Roman" w:hAnsi="Times New Roman"/>
                <w:sz w:val="17"/>
                <w:szCs w:val="17"/>
              </w:rPr>
              <w:t xml:space="preserve"> %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E5B00" w:rsidRDefault="0094584C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Мин. значение цены ЕИ ЛП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с учетом НДС и опт. надбавки, руб.</w:t>
            </w:r>
          </w:p>
        </w:tc>
        <w:tc>
          <w:tcPr>
            <w:tcW w:w="13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E5B00" w:rsidRDefault="0094584C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Объем закупки в ЕИ ЛП</w:t>
            </w:r>
          </w:p>
        </w:tc>
        <w:tc>
          <w:tcPr>
            <w:tcW w:w="193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E5B00" w:rsidRDefault="0094584C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НМЦК, руб.</w:t>
            </w:r>
          </w:p>
        </w:tc>
      </w:tr>
      <w:tr w:rsidR="002E5B00" w:rsidTr="0027183D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E5B00" w:rsidRDefault="0094584C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1</w:t>
            </w:r>
          </w:p>
        </w:tc>
        <w:tc>
          <w:tcPr>
            <w:tcW w:w="18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E5B00" w:rsidRDefault="0094584C">
            <w:pPr>
              <w:jc w:val="center"/>
            </w:pPr>
            <w:proofErr w:type="spellStart"/>
            <w:r>
              <w:rPr>
                <w:rFonts w:ascii="Times New Roman" w:hAnsi="Times New Roman"/>
                <w:sz w:val="17"/>
                <w:szCs w:val="17"/>
              </w:rPr>
              <w:t>Цитарабин</w:t>
            </w:r>
            <w:proofErr w:type="spellEnd"/>
          </w:p>
        </w:tc>
        <w:tc>
          <w:tcPr>
            <w:tcW w:w="16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7183D" w:rsidRPr="00DA4E48" w:rsidRDefault="0027183D" w:rsidP="002718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E48">
              <w:rPr>
                <w:rFonts w:ascii="Times New Roman" w:hAnsi="Times New Roman" w:cs="Times New Roman"/>
              </w:rPr>
              <w:t>Лиофилизат</w:t>
            </w:r>
            <w:proofErr w:type="spellEnd"/>
            <w:r w:rsidRPr="00DA4E48">
              <w:rPr>
                <w:rFonts w:ascii="Times New Roman" w:hAnsi="Times New Roman" w:cs="Times New Roman"/>
              </w:rPr>
              <w:t xml:space="preserve"> для приготовления раствора для инъекций</w:t>
            </w:r>
          </w:p>
          <w:p w:rsidR="002E5B00" w:rsidRDefault="0027183D" w:rsidP="0027183D">
            <w:pPr>
              <w:jc w:val="center"/>
            </w:pPr>
            <w:r w:rsidRPr="00DA4E48">
              <w:rPr>
                <w:rFonts w:ascii="Times New Roman" w:hAnsi="Times New Roman" w:cs="Times New Roman"/>
              </w:rPr>
              <w:t>100 мг</w:t>
            </w:r>
          </w:p>
        </w:tc>
        <w:tc>
          <w:tcPr>
            <w:tcW w:w="10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E5B00" w:rsidRDefault="0094584C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21.20.10.211</w:t>
            </w:r>
          </w:p>
        </w:tc>
        <w:tc>
          <w:tcPr>
            <w:tcW w:w="10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E5B00" w:rsidRDefault="0094584C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мг</w:t>
            </w:r>
          </w:p>
        </w:tc>
        <w:tc>
          <w:tcPr>
            <w:tcW w:w="9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E5B00" w:rsidRDefault="0094584C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1,3849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E5B00" w:rsidRDefault="0094584C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1,0300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E5B00" w:rsidRDefault="0094584C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1,0300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E5B00" w:rsidRDefault="0094584C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-</w:t>
            </w:r>
          </w:p>
        </w:tc>
        <w:tc>
          <w:tcPr>
            <w:tcW w:w="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E5B00" w:rsidRDefault="0094584C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10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E5B00" w:rsidRDefault="0094584C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7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E5B00" w:rsidRDefault="0094584C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1,2123</w:t>
            </w:r>
          </w:p>
        </w:tc>
        <w:tc>
          <w:tcPr>
            <w:tcW w:w="13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E5B00" w:rsidRDefault="0094584C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50 000</w:t>
            </w:r>
          </w:p>
        </w:tc>
        <w:tc>
          <w:tcPr>
            <w:tcW w:w="193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E5B00" w:rsidRDefault="0094584C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60 615,00</w:t>
            </w:r>
          </w:p>
        </w:tc>
      </w:tr>
      <w:tr w:rsidR="002E5B00" w:rsidTr="002718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81" w:type="dxa"/>
            <w:gridSpan w:val="1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E5B00" w:rsidRDefault="0094584C">
            <w:pPr>
              <w:jc w:val="center"/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ИТОГО:</w:t>
            </w:r>
          </w:p>
        </w:tc>
        <w:tc>
          <w:tcPr>
            <w:tcW w:w="193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E5B00" w:rsidRDefault="0094584C">
            <w:pPr>
              <w:jc w:val="center"/>
            </w:pPr>
            <w:r>
              <w:rPr>
                <w:rFonts w:ascii="Times New Roman" w:hAnsi="Times New Roman"/>
                <w:szCs w:val="15"/>
              </w:rPr>
              <w:t>60 615,00</w:t>
            </w:r>
          </w:p>
        </w:tc>
      </w:tr>
      <w:tr w:rsidR="002E5B00" w:rsidTr="0027183D">
        <w:tblPrEx>
          <w:tblCellMar>
            <w:top w:w="0" w:type="dxa"/>
            <w:bottom w:w="0" w:type="dxa"/>
          </w:tblCellMar>
        </w:tblPrEx>
        <w:trPr>
          <w:gridAfter w:val="1"/>
          <w:wAfter w:w="1313" w:type="dxa"/>
          <w:cantSplit/>
        </w:trPr>
        <w:tc>
          <w:tcPr>
            <w:tcW w:w="387" w:type="dxa"/>
            <w:shd w:val="clear" w:color="auto" w:fill="auto"/>
            <w:vAlign w:val="bottom"/>
          </w:tcPr>
          <w:p w:rsidR="002E5B00" w:rsidRDefault="002E5B00"/>
        </w:tc>
        <w:tc>
          <w:tcPr>
            <w:tcW w:w="1897" w:type="dxa"/>
            <w:shd w:val="clear" w:color="auto" w:fill="auto"/>
            <w:vAlign w:val="bottom"/>
          </w:tcPr>
          <w:p w:rsidR="002E5B00" w:rsidRDefault="002E5B00"/>
        </w:tc>
        <w:tc>
          <w:tcPr>
            <w:tcW w:w="1646" w:type="dxa"/>
            <w:shd w:val="clear" w:color="auto" w:fill="auto"/>
            <w:vAlign w:val="bottom"/>
          </w:tcPr>
          <w:p w:rsidR="002E5B00" w:rsidRDefault="002E5B00"/>
        </w:tc>
        <w:tc>
          <w:tcPr>
            <w:tcW w:w="1032" w:type="dxa"/>
            <w:shd w:val="clear" w:color="auto" w:fill="auto"/>
            <w:vAlign w:val="bottom"/>
          </w:tcPr>
          <w:p w:rsidR="002E5B00" w:rsidRDefault="002E5B00"/>
        </w:tc>
        <w:tc>
          <w:tcPr>
            <w:tcW w:w="139" w:type="dxa"/>
            <w:shd w:val="clear" w:color="auto" w:fill="auto"/>
            <w:vAlign w:val="bottom"/>
          </w:tcPr>
          <w:p w:rsidR="002E5B00" w:rsidRDefault="002E5B00"/>
        </w:tc>
        <w:tc>
          <w:tcPr>
            <w:tcW w:w="903" w:type="dxa"/>
            <w:shd w:val="clear" w:color="auto" w:fill="auto"/>
            <w:vAlign w:val="bottom"/>
          </w:tcPr>
          <w:p w:rsidR="002E5B00" w:rsidRDefault="002E5B00"/>
        </w:tc>
        <w:tc>
          <w:tcPr>
            <w:tcW w:w="930" w:type="dxa"/>
            <w:shd w:val="clear" w:color="auto" w:fill="auto"/>
            <w:vAlign w:val="bottom"/>
          </w:tcPr>
          <w:p w:rsidR="002E5B00" w:rsidRDefault="002E5B00"/>
        </w:tc>
        <w:tc>
          <w:tcPr>
            <w:tcW w:w="1049" w:type="dxa"/>
            <w:shd w:val="clear" w:color="auto" w:fill="auto"/>
            <w:vAlign w:val="bottom"/>
          </w:tcPr>
          <w:p w:rsidR="002E5B00" w:rsidRDefault="002E5B00"/>
        </w:tc>
        <w:tc>
          <w:tcPr>
            <w:tcW w:w="1049" w:type="dxa"/>
            <w:shd w:val="clear" w:color="auto" w:fill="auto"/>
            <w:vAlign w:val="bottom"/>
          </w:tcPr>
          <w:p w:rsidR="002E5B00" w:rsidRDefault="002E5B00"/>
        </w:tc>
        <w:tc>
          <w:tcPr>
            <w:tcW w:w="850" w:type="dxa"/>
            <w:shd w:val="clear" w:color="auto" w:fill="auto"/>
            <w:vAlign w:val="bottom"/>
          </w:tcPr>
          <w:p w:rsidR="002E5B00" w:rsidRDefault="002E5B00"/>
        </w:tc>
        <w:tc>
          <w:tcPr>
            <w:tcW w:w="559" w:type="dxa"/>
            <w:shd w:val="clear" w:color="auto" w:fill="auto"/>
            <w:vAlign w:val="bottom"/>
          </w:tcPr>
          <w:p w:rsidR="002E5B00" w:rsidRDefault="002E5B00"/>
        </w:tc>
        <w:tc>
          <w:tcPr>
            <w:tcW w:w="824" w:type="dxa"/>
            <w:shd w:val="clear" w:color="auto" w:fill="auto"/>
            <w:vAlign w:val="bottom"/>
          </w:tcPr>
          <w:p w:rsidR="002E5B00" w:rsidRDefault="002E5B00"/>
        </w:tc>
        <w:tc>
          <w:tcPr>
            <w:tcW w:w="1288" w:type="dxa"/>
            <w:shd w:val="clear" w:color="auto" w:fill="auto"/>
            <w:vAlign w:val="bottom"/>
          </w:tcPr>
          <w:p w:rsidR="002E5B00" w:rsidRDefault="002E5B00"/>
        </w:tc>
        <w:tc>
          <w:tcPr>
            <w:tcW w:w="1328" w:type="dxa"/>
            <w:shd w:val="clear" w:color="auto" w:fill="auto"/>
            <w:vAlign w:val="bottom"/>
          </w:tcPr>
          <w:p w:rsidR="002E5B00" w:rsidRDefault="002E5B00"/>
        </w:tc>
        <w:tc>
          <w:tcPr>
            <w:tcW w:w="625" w:type="dxa"/>
            <w:shd w:val="clear" w:color="auto" w:fill="auto"/>
            <w:vAlign w:val="bottom"/>
          </w:tcPr>
          <w:p w:rsidR="002E5B00" w:rsidRDefault="002E5B00"/>
        </w:tc>
      </w:tr>
      <w:tr w:rsidR="002E5B00" w:rsidTr="002718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19" w:type="dxa"/>
            <w:gridSpan w:val="16"/>
            <w:shd w:val="clear" w:color="auto" w:fill="auto"/>
            <w:vAlign w:val="bottom"/>
          </w:tcPr>
          <w:p w:rsidR="002E5B00" w:rsidRDefault="0094584C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Проведенные исследования позволяют определить </w:t>
            </w:r>
            <w:r>
              <w:rPr>
                <w:rFonts w:ascii="Times New Roman" w:hAnsi="Times New Roman"/>
                <w:sz w:val="23"/>
                <w:szCs w:val="23"/>
              </w:rPr>
              <w:t>начальную (максимальную) цену контракта в размере: 60 615,00 (Шестьдесят тысяч шестьсот пятнадцать рублей 00 копеек)</w:t>
            </w:r>
          </w:p>
          <w:p w:rsidR="0027183D" w:rsidRDefault="0027183D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27183D" w:rsidRDefault="0027183D">
            <w:r w:rsidRPr="0027183D">
              <w:rPr>
                <w:b/>
              </w:rPr>
              <w:t>В описании объекта закупки указаны характеристики требуемого заказчику товара, который отсутствует в Реестре российской промышленной продукции (ПП РФ 719 от 17.07.2015).</w:t>
            </w:r>
            <w:bookmarkStart w:id="0" w:name="_GoBack"/>
            <w:bookmarkEnd w:id="0"/>
          </w:p>
        </w:tc>
      </w:tr>
      <w:tr w:rsidR="002E5B00" w:rsidTr="0027183D">
        <w:tblPrEx>
          <w:tblCellMar>
            <w:top w:w="0" w:type="dxa"/>
            <w:bottom w:w="0" w:type="dxa"/>
          </w:tblCellMar>
        </w:tblPrEx>
        <w:trPr>
          <w:gridAfter w:val="1"/>
          <w:wAfter w:w="1313" w:type="dxa"/>
          <w:cantSplit/>
        </w:trPr>
        <w:tc>
          <w:tcPr>
            <w:tcW w:w="387" w:type="dxa"/>
            <w:shd w:val="clear" w:color="auto" w:fill="auto"/>
            <w:vAlign w:val="bottom"/>
          </w:tcPr>
          <w:p w:rsidR="002E5B00" w:rsidRDefault="002E5B00"/>
        </w:tc>
        <w:tc>
          <w:tcPr>
            <w:tcW w:w="1897" w:type="dxa"/>
            <w:shd w:val="clear" w:color="auto" w:fill="auto"/>
            <w:vAlign w:val="bottom"/>
          </w:tcPr>
          <w:p w:rsidR="002E5B00" w:rsidRDefault="002E5B00"/>
        </w:tc>
        <w:tc>
          <w:tcPr>
            <w:tcW w:w="1646" w:type="dxa"/>
            <w:shd w:val="clear" w:color="auto" w:fill="auto"/>
            <w:vAlign w:val="bottom"/>
          </w:tcPr>
          <w:p w:rsidR="002E5B00" w:rsidRDefault="002E5B00"/>
        </w:tc>
        <w:tc>
          <w:tcPr>
            <w:tcW w:w="1032" w:type="dxa"/>
            <w:shd w:val="clear" w:color="auto" w:fill="auto"/>
            <w:vAlign w:val="bottom"/>
          </w:tcPr>
          <w:p w:rsidR="002E5B00" w:rsidRDefault="002E5B00"/>
        </w:tc>
        <w:tc>
          <w:tcPr>
            <w:tcW w:w="139" w:type="dxa"/>
            <w:shd w:val="clear" w:color="auto" w:fill="auto"/>
            <w:vAlign w:val="bottom"/>
          </w:tcPr>
          <w:p w:rsidR="002E5B00" w:rsidRDefault="002E5B00"/>
        </w:tc>
        <w:tc>
          <w:tcPr>
            <w:tcW w:w="903" w:type="dxa"/>
            <w:shd w:val="clear" w:color="auto" w:fill="auto"/>
            <w:vAlign w:val="bottom"/>
          </w:tcPr>
          <w:p w:rsidR="002E5B00" w:rsidRDefault="002E5B00"/>
        </w:tc>
        <w:tc>
          <w:tcPr>
            <w:tcW w:w="930" w:type="dxa"/>
            <w:shd w:val="clear" w:color="auto" w:fill="auto"/>
            <w:vAlign w:val="bottom"/>
          </w:tcPr>
          <w:p w:rsidR="002E5B00" w:rsidRDefault="002E5B00"/>
        </w:tc>
        <w:tc>
          <w:tcPr>
            <w:tcW w:w="1049" w:type="dxa"/>
            <w:shd w:val="clear" w:color="auto" w:fill="auto"/>
            <w:vAlign w:val="bottom"/>
          </w:tcPr>
          <w:p w:rsidR="002E5B00" w:rsidRDefault="002E5B00"/>
        </w:tc>
        <w:tc>
          <w:tcPr>
            <w:tcW w:w="1049" w:type="dxa"/>
            <w:shd w:val="clear" w:color="auto" w:fill="auto"/>
            <w:vAlign w:val="bottom"/>
          </w:tcPr>
          <w:p w:rsidR="002E5B00" w:rsidRDefault="002E5B00"/>
        </w:tc>
        <w:tc>
          <w:tcPr>
            <w:tcW w:w="850" w:type="dxa"/>
            <w:shd w:val="clear" w:color="auto" w:fill="auto"/>
            <w:vAlign w:val="bottom"/>
          </w:tcPr>
          <w:p w:rsidR="002E5B00" w:rsidRDefault="002E5B00"/>
        </w:tc>
        <w:tc>
          <w:tcPr>
            <w:tcW w:w="559" w:type="dxa"/>
            <w:shd w:val="clear" w:color="auto" w:fill="auto"/>
            <w:vAlign w:val="bottom"/>
          </w:tcPr>
          <w:p w:rsidR="002E5B00" w:rsidRDefault="002E5B00"/>
        </w:tc>
        <w:tc>
          <w:tcPr>
            <w:tcW w:w="824" w:type="dxa"/>
            <w:shd w:val="clear" w:color="auto" w:fill="auto"/>
            <w:vAlign w:val="bottom"/>
          </w:tcPr>
          <w:p w:rsidR="002E5B00" w:rsidRDefault="002E5B00"/>
        </w:tc>
        <w:tc>
          <w:tcPr>
            <w:tcW w:w="1288" w:type="dxa"/>
            <w:shd w:val="clear" w:color="auto" w:fill="auto"/>
            <w:vAlign w:val="bottom"/>
          </w:tcPr>
          <w:p w:rsidR="002E5B00" w:rsidRDefault="002E5B00"/>
        </w:tc>
        <w:tc>
          <w:tcPr>
            <w:tcW w:w="1328" w:type="dxa"/>
            <w:shd w:val="clear" w:color="auto" w:fill="auto"/>
            <w:vAlign w:val="bottom"/>
          </w:tcPr>
          <w:p w:rsidR="002E5B00" w:rsidRDefault="002E5B00"/>
        </w:tc>
        <w:tc>
          <w:tcPr>
            <w:tcW w:w="625" w:type="dxa"/>
            <w:shd w:val="clear" w:color="auto" w:fill="auto"/>
            <w:vAlign w:val="bottom"/>
          </w:tcPr>
          <w:p w:rsidR="002E5B00" w:rsidRDefault="002E5B00"/>
        </w:tc>
      </w:tr>
      <w:tr w:rsidR="002E5B00" w:rsidTr="002718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19" w:type="dxa"/>
            <w:gridSpan w:val="16"/>
            <w:shd w:val="clear" w:color="auto" w:fill="auto"/>
            <w:vAlign w:val="bottom"/>
          </w:tcPr>
          <w:p w:rsidR="002E5B00" w:rsidRDefault="002E5B00"/>
        </w:tc>
      </w:tr>
    </w:tbl>
    <w:p w:rsidR="00000000" w:rsidRDefault="0094584C"/>
    <w:sectPr w:rsidR="00000000">
      <w:pgSz w:w="16839" w:h="11907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B00"/>
    <w:rsid w:val="0027183D"/>
    <w:rsid w:val="002E5B00"/>
    <w:rsid w:val="0094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225AA6-ED2D-46B7-AB1C-DEE341FF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5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945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58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Макунин Антон Сергеевич</dc:creator>
  <cp:lastModifiedBy>Макунин Антон Сергеевич</cp:lastModifiedBy>
  <cp:revision>2</cp:revision>
  <cp:lastPrinted>2026-05-19T12:51:00Z</cp:lastPrinted>
  <dcterms:created xsi:type="dcterms:W3CDTF">2026-05-19T12:51:00Z</dcterms:created>
  <dcterms:modified xsi:type="dcterms:W3CDTF">2026-05-19T12:51:00Z</dcterms:modified>
</cp:coreProperties>
</file>