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keepLines/>
        <w:keepNext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contextualSpacing/>
        <w:ind w:firstLine="709"/>
        <w:jc w:val="center"/>
        <w:keepLines/>
        <w:keepNext/>
        <w:spacing w:after="0" w:line="21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uppressLineNumbers/>
      </w:pPr>
      <w:r/>
      <w:bookmarkStart w:id="0" w:name="_GoBack"/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Поставка  макетной платы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нужд ФГБОУ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«Алтайский государственный университет».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53"/>
        <w:contextualSpacing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26 1 2225004738 222501001 0042 0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67 0000 000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г. Барнаул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«____»_______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 202</w:t>
      </w:r>
      <w:r>
        <w:rPr>
          <w:rFonts w:ascii="Times New Roman" w:hAnsi="Times New Roman" w:cs="Times New Roman"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contextualSpacing/>
        <w:spacing w:after="0" w:line="240" w:lineRule="auto"/>
        <w:tabs>
          <w:tab w:val="left" w:pos="658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 xml:space="preserve">Федеральное г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с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 xml:space="preserve">д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3"/>
          <w:sz w:val="24"/>
          <w:szCs w:val="24"/>
          <w:lang w:eastAsia="ar-SA"/>
        </w:rPr>
        <w:t xml:space="preserve">с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 xml:space="preserve">т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 xml:space="preserve">нн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ое бюджетное об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з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6"/>
          <w:sz w:val="24"/>
          <w:szCs w:val="24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 xml:space="preserve">т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л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ь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 xml:space="preserve">н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уч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3"/>
          <w:sz w:val="24"/>
          <w:szCs w:val="24"/>
          <w:lang w:eastAsia="ar-SA"/>
        </w:rPr>
        <w:t xml:space="preserve">ж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 xml:space="preserve">д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 xml:space="preserve">ни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pacing w:val="-4"/>
          <w:sz w:val="24"/>
          <w:szCs w:val="24"/>
          <w:lang w:eastAsia="ar-SA"/>
        </w:rPr>
        <w:t xml:space="preserve">вы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с</w:t>
      </w:r>
      <w:r>
        <w:rPr>
          <w:rFonts w:ascii="Times New Roman" w:hAnsi="Times New Roman" w:cs="Times New Roman"/>
          <w:bCs/>
          <w:spacing w:val="6"/>
          <w:sz w:val="24"/>
          <w:szCs w:val="24"/>
          <w:lang w:eastAsia="ar-SA"/>
        </w:rPr>
        <w:t xml:space="preserve">ш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г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об</w:t>
      </w:r>
      <w:r>
        <w:rPr>
          <w:rFonts w:ascii="Times New Roman" w:hAnsi="Times New Roman" w:cs="Times New Roman"/>
          <w:bCs/>
          <w:spacing w:val="-3"/>
          <w:sz w:val="24"/>
          <w:szCs w:val="24"/>
          <w:lang w:eastAsia="ar-SA"/>
        </w:rPr>
        <w:t xml:space="preserve">р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-2"/>
          <w:sz w:val="24"/>
          <w:szCs w:val="24"/>
          <w:lang w:eastAsia="ar-SA"/>
        </w:rPr>
        <w:t xml:space="preserve">з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cs="Times New Roman"/>
          <w:bCs/>
          <w:spacing w:val="1"/>
          <w:sz w:val="24"/>
          <w:szCs w:val="24"/>
          <w:lang w:eastAsia="ar-SA"/>
        </w:rPr>
        <w:t xml:space="preserve">в</w:t>
      </w:r>
      <w:r>
        <w:rPr>
          <w:rFonts w:ascii="Times New Roman" w:hAnsi="Times New Roman" w:cs="Times New Roman"/>
          <w:bCs/>
          <w:spacing w:val="-5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bCs/>
          <w:spacing w:val="2"/>
          <w:sz w:val="24"/>
          <w:szCs w:val="24"/>
          <w:lang w:eastAsia="ar-SA"/>
        </w:rPr>
        <w:t xml:space="preserve">ния </w:t>
      </w:r>
      <w:r>
        <w:rPr>
          <w:rFonts w:ascii="Times New Roman" w:hAnsi="Times New Roman" w:cs="Times New Roman"/>
          <w:bCs/>
          <w:spacing w:val="-1"/>
          <w:sz w:val="24"/>
          <w:szCs w:val="24"/>
          <w:lang w:eastAsia="ar-SA"/>
        </w:rPr>
        <w:t xml:space="preserve">«Алтайский государственный университет»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и</w:t>
      </w:r>
      <w:r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м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н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у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ое</w:t>
      </w:r>
      <w:r>
        <w:rPr>
          <w:rFonts w:ascii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</w:t>
      </w:r>
      <w:r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д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ль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н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й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 xml:space="preserve">ш</w:t>
      </w:r>
      <w:r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к</w:t>
      </w:r>
      <w:r>
        <w:rPr>
          <w:rFonts w:ascii="Times New Roman" w:hAnsi="Times New Roman" w:cs="Times New Roman"/>
          <w:spacing w:val="3"/>
          <w:sz w:val="24"/>
          <w:szCs w:val="24"/>
          <w:lang w:eastAsia="ar-SA"/>
        </w:rPr>
        <w:t xml:space="preserve">а</w:t>
      </w:r>
      <w:r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зч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и</w:t>
      </w:r>
      <w:r>
        <w:rPr>
          <w:rFonts w:ascii="Times New Roman" w:hAnsi="Times New Roman" w:cs="Times New Roman"/>
          <w:spacing w:val="-2"/>
          <w:sz w:val="24"/>
          <w:szCs w:val="24"/>
          <w:lang w:eastAsia="ar-SA"/>
        </w:rPr>
        <w:t xml:space="preserve">к»,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 </w:t>
      </w:r>
      <w:r>
        <w:rPr>
          <w:rFonts w:ascii="Times New Roman" w:hAnsi="Times New Roman" w:cs="Times New Roman"/>
          <w:spacing w:val="-5"/>
          <w:sz w:val="24"/>
          <w:szCs w:val="24"/>
          <w:lang w:eastAsia="ar-SA"/>
        </w:rPr>
        <w:t xml:space="preserve">л</w:t>
      </w:r>
      <w:r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иц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 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ректора Бочарова Сергея Николаевича, действующего на основании Устава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с одной стороны, и</w:t>
      </w: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pacing w:val="5"/>
          <w:sz w:val="24"/>
          <w:szCs w:val="24"/>
          <w:lang w:eastAsia="ar-SA"/>
        </w:rPr>
      </w:pP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______________________________________________________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, именуемое в дальнейшем «Поставщик», в лице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 _________________________________________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, действующего на основании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 __________________________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, с другой стороны, в дальнейшем вместе именуемые Стороны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, на основании п. 5 ч. 1 ст. 93  Федерального закона от 05 апреля  2013г. № 44-ФЗ «О контрактной системе в сфере закупок 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Товар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ов, работ, услуг для обеспечения государственных и муниципальных нужд», заключили настоящий контракт (далее - Контракт) о нижеследующем:</w:t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spacing w:val="5"/>
          <w:sz w:val="24"/>
          <w:szCs w:val="24"/>
          <w:lang w:eastAsia="ar-SA"/>
        </w:rPr>
      </w:pP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</w:r>
      <w:r>
        <w:rPr>
          <w:rFonts w:ascii="Times New Roman" w:hAnsi="Times New Roman" w:cs="Times New Roman"/>
          <w:spacing w:val="5"/>
          <w:sz w:val="24"/>
          <w:szCs w:val="24"/>
          <w:lang w:eastAsia="ar-SA"/>
        </w:rPr>
      </w:r>
    </w:p>
    <w:p>
      <w:pPr>
        <w:pStyle w:val="845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color w:val="000000"/>
          <w:sz w:val="24"/>
          <w:szCs w:val="24"/>
        </w:rPr>
      </w:pPr>
      <w:r>
        <w:rPr>
          <w:rFonts w:cs="Times New Roman"/>
          <w:i w:val="0"/>
          <w:color w:val="000000"/>
          <w:sz w:val="24"/>
          <w:szCs w:val="24"/>
          <w:lang w:val="en-US"/>
        </w:rPr>
        <w:t xml:space="preserve">I</w:t>
      </w:r>
      <w:r>
        <w:rPr>
          <w:rFonts w:cs="Times New Roman"/>
          <w:i w:val="0"/>
          <w:color w:val="000000"/>
          <w:sz w:val="24"/>
          <w:szCs w:val="24"/>
        </w:rPr>
        <w:t xml:space="preserve">.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i w:val="0"/>
          <w:color w:val="000000"/>
          <w:sz w:val="24"/>
          <w:szCs w:val="24"/>
        </w:rPr>
        <w:t xml:space="preserve">Предмет Контракта</w:t>
      </w:r>
      <w:r>
        <w:rPr>
          <w:rFonts w:cs="Times New Roman"/>
          <w:color w:val="000000"/>
          <w:sz w:val="24"/>
          <w:szCs w:val="24"/>
        </w:rPr>
      </w:r>
      <w:r>
        <w:rPr>
          <w:rFonts w:cs="Times New Roman"/>
          <w:color w:val="000000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</w:t>
      </w:r>
      <w:r>
        <w:rPr>
          <w:rFonts w:ascii="Times New Roman" w:hAnsi="Times New Roman" w:cs="Times New Roman"/>
          <w:sz w:val="24"/>
          <w:szCs w:val="24"/>
        </w:rPr>
        <w:t xml:space="preserve"> поставить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макетную плату</w:t>
      </w:r>
      <w:r>
        <w:rPr>
          <w:rFonts w:ascii="Times New Roman" w:hAnsi="Times New Roman" w:cs="Times New Roman"/>
          <w:sz w:val="24"/>
          <w:szCs w:val="24"/>
        </w:rPr>
        <w:t xml:space="preserve"> для нужд ФГБОУ </w:t>
      </w:r>
      <w:r>
        <w:rPr>
          <w:rFonts w:ascii="Times New Roman" w:hAnsi="Times New Roman" w:cs="Times New Roman"/>
          <w:sz w:val="24"/>
          <w:szCs w:val="24"/>
        </w:rPr>
        <w:t xml:space="preserve">ВО</w:t>
      </w:r>
      <w:r>
        <w:rPr>
          <w:rFonts w:ascii="Times New Roman" w:hAnsi="Times New Roman" w:cs="Times New Roman"/>
          <w:sz w:val="24"/>
          <w:szCs w:val="24"/>
        </w:rPr>
        <w:t xml:space="preserve"> «Алтайский государственный 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), а Заказчик обязуется принять и оплатить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указаны в Спецификации (Приложение № 1 к Контракту), являющейся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contextualSpacing/>
        <w:ind w:left="0"/>
        <w:jc w:val="center"/>
        <w:spacing w:before="0" w:after="0"/>
        <w:tabs>
          <w:tab w:val="clear" w:pos="0" w:leader="none"/>
          <w:tab w:val="left" w:pos="708" w:leader="none"/>
        </w:tabs>
        <w:rPr>
          <w:rFonts w:cs="Times New Roman"/>
          <w:color w:val="000000"/>
          <w:sz w:val="24"/>
          <w:szCs w:val="24"/>
        </w:rPr>
      </w:pPr>
      <w:r>
        <w:rPr>
          <w:rFonts w:cs="Times New Roman"/>
          <w:i w:val="0"/>
          <w:color w:val="000000"/>
          <w:sz w:val="24"/>
          <w:szCs w:val="24"/>
        </w:rPr>
        <w:t xml:space="preserve">II</w:t>
      </w:r>
      <w:r>
        <w:rPr>
          <w:rFonts w:cs="Times New Roman"/>
          <w:color w:val="000000"/>
          <w:sz w:val="24"/>
          <w:szCs w:val="24"/>
        </w:rPr>
        <w:t xml:space="preserve">. </w:t>
      </w:r>
      <w:r>
        <w:rPr>
          <w:rFonts w:cs="Times New Roman"/>
          <w:i w:val="0"/>
          <w:color w:val="000000"/>
          <w:sz w:val="24"/>
          <w:szCs w:val="24"/>
        </w:rPr>
        <w:t xml:space="preserve">Цена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i w:val="0"/>
          <w:color w:val="000000"/>
          <w:sz w:val="24"/>
          <w:szCs w:val="24"/>
        </w:rPr>
        <w:t xml:space="preserve">Контракта и порядок расчетов</w:t>
      </w:r>
      <w:r>
        <w:rPr>
          <w:rFonts w:cs="Times New Roman"/>
          <w:color w:val="000000"/>
          <w:sz w:val="24"/>
          <w:szCs w:val="24"/>
        </w:rPr>
      </w:r>
      <w:r>
        <w:rPr>
          <w:rFonts w:cs="Times New Roman"/>
          <w:color w:val="000000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Цена Контракта составляет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рублей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копеек,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НДС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 без НДС.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Цена Контракта включает стоимость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овара, с</w:t>
      </w:r>
      <w:r>
        <w:rPr>
          <w:rFonts w:ascii="Times New Roman" w:hAnsi="Times New Roman" w:cs="Times New Roman"/>
          <w:sz w:val="24"/>
          <w:szCs w:val="24"/>
        </w:rPr>
        <w:t xml:space="preserve">тоимость упаковки, расходы по доставке товара до склада Заказчика, погрузочно-разгрузочные работы, расходы на страхование, уплату таможенных пошлин, налогов, сборов и других обязательных платежей, а также другие затраты Поставщика,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Цена Контракта является твердой и определяется на весь срок исполнения Контракта, за исключением случаев, установленных Федеральным законом от 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5 апреля 2013 г. N 44-ФЗ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 xml:space="preserve">арственных и муниципальных нужд»</w:t>
      </w:r>
      <w:r>
        <w:rPr>
          <w:rFonts w:ascii="Times New Roman" w:hAnsi="Times New Roman" w:cs="Times New Roman"/>
          <w:sz w:val="24"/>
          <w:szCs w:val="24"/>
        </w:rPr>
        <w:t xml:space="preserve"> и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Источник финансирования -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средства бюджетных учреждений: за счет средств субсидии на финансовое обеспечение выполнения государственного задания на оказание государственных услуг (выполнение работ).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Оплата за поставленный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 осуществляется по безналичному расчету путем перечисления денежных средств на расчетный счет Поставщика,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>
        <w:rPr>
          <w:rFonts w:ascii="Times New Roman" w:hAnsi="Times New Roman" w:cs="Times New Roman"/>
          <w:sz w:val="24"/>
          <w:szCs w:val="24"/>
        </w:rPr>
        <w:t xml:space="preserve">десяти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подписания</w:t>
      </w:r>
      <w:r>
        <w:rPr>
          <w:rFonts w:ascii="Times New Roman" w:hAnsi="Times New Roman" w:cs="Times New Roman"/>
          <w:sz w:val="24"/>
          <w:szCs w:val="24"/>
        </w:rPr>
        <w:t xml:space="preserve"> документа о приемке (Акта приемки товаров, работ, услуг (ф. 0510452)).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8"/>
        <w:ind w:firstLine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2.6. Заказчик имеет право произвести полный отказ от оплаты расходов, не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8"/>
        <w:ind w:firstLine="56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Порядок, сроки и условия поставки и приемки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5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3.1. </w:t>
      </w:r>
      <w:r>
        <w:rPr>
          <w:rFonts w:ascii="Times New Roman" w:hAnsi="Times New Roman" w:cs="Times New Roman"/>
          <w:sz w:val="24"/>
          <w:szCs w:val="24"/>
        </w:rPr>
        <w:t xml:space="preserve">Место поставки</w:t>
      </w:r>
      <w:r>
        <w:rPr>
          <w:rFonts w:ascii="Times New Roman" w:hAnsi="Times New Roman" w:cs="Times New Roman"/>
          <w:sz w:val="24"/>
          <w:szCs w:val="24"/>
        </w:rPr>
        <w:t xml:space="preserve"> товара: Российская Федерация, край Алтайский, </w:t>
      </w:r>
      <w:r>
        <w:rPr>
          <w:rFonts w:ascii="Times New Roman" w:hAnsi="Times New Roman" w:cs="Times New Roman"/>
          <w:sz w:val="24"/>
          <w:szCs w:val="24"/>
        </w:rPr>
        <w:t xml:space="preserve">г.о</w:t>
      </w:r>
      <w:r>
        <w:rPr>
          <w:rFonts w:ascii="Times New Roman" w:hAnsi="Times New Roman" w:cs="Times New Roman"/>
          <w:sz w:val="24"/>
          <w:szCs w:val="24"/>
        </w:rPr>
        <w:t xml:space="preserve">. город Барнаул, г Барнаул, </w:t>
      </w:r>
      <w:r>
        <w:rPr>
          <w:rFonts w:ascii="Times New Roman" w:hAnsi="Times New Roman" w:cs="Times New Roman"/>
          <w:sz w:val="24"/>
          <w:szCs w:val="24"/>
        </w:rPr>
        <w:t xml:space="preserve">пр-кт</w:t>
      </w:r>
      <w:r>
        <w:rPr>
          <w:rFonts w:ascii="Times New Roman" w:hAnsi="Times New Roman" w:cs="Times New Roman"/>
          <w:sz w:val="24"/>
          <w:szCs w:val="24"/>
        </w:rPr>
        <w:t xml:space="preserve"> Социалистический, </w:t>
      </w:r>
      <w:r>
        <w:rPr>
          <w:rFonts w:ascii="Times New Roman" w:hAnsi="Times New Roman" w:cs="Times New Roman"/>
          <w:sz w:val="24"/>
          <w:szCs w:val="24"/>
        </w:rPr>
        <w:t xml:space="preserve">зд</w:t>
      </w:r>
      <w:r>
        <w:rPr>
          <w:rFonts w:ascii="Times New Roman" w:hAnsi="Times New Roman" w:cs="Times New Roman"/>
          <w:sz w:val="24"/>
          <w:szCs w:val="24"/>
        </w:rPr>
        <w:t xml:space="preserve">. 68 (склад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  <w:lang w:eastAsia="zh-CN"/>
        </w:rPr>
      </w:r>
      <w:r>
        <w:rPr>
          <w:rFonts w:ascii="Times New Roman" w:hAnsi="Times New Roman" w:cs="Times New Roman"/>
          <w:sz w:val="24"/>
          <w:szCs w:val="24"/>
          <w:lang w:eastAsia="zh-CN"/>
        </w:rPr>
      </w:r>
    </w:p>
    <w:p>
      <w:pPr>
        <w:ind w:firstLine="425"/>
        <w:jc w:val="both"/>
        <w:spacing w:after="0" w:line="240" w:lineRule="auto"/>
        <w:tabs>
          <w:tab w:val="right" w:pos="935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Сроки поставки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течение 30 (Тридцати) рабочих дней с момента заключения Контракта.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 требованиям, подтверждающих качество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овара, обеспечивающие ее безопасность для жизни и здоровья окружающих.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Поставщик вместе с поставляемым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оваром направляет оригиналы первичных бухгалтерских документов: счет на оплату, счет-фактура (при наличии), товарная накладная (или универсальный передаточный документ (УПД)),  а также необходимые документы, предусмотренн</w:t>
      </w:r>
      <w:r>
        <w:rPr>
          <w:rFonts w:ascii="Times New Roman" w:hAnsi="Times New Roman" w:cs="Times New Roman"/>
          <w:sz w:val="24"/>
          <w:szCs w:val="24"/>
        </w:rPr>
        <w:t xml:space="preserve">ые действующим законодательством РФ: документы, подтверждающие страну происхождения товара, документы, подтверждающие качество - копии сертификата или декларации соответствия, заверенные надлежащим образом в соответствии с действующим законодательством РФ.</w:t>
      </w:r>
      <w:r>
        <w:rPr>
          <w:rFonts w:ascii="Times New Roman" w:hAnsi="Times New Roman" w:cs="Times New Roman"/>
          <w:sz w:val="24"/>
          <w:szCs w:val="24"/>
        </w:rPr>
        <w:t xml:space="preserve"> Первичные бухгалтерские документы (наименование, количество, единицы измерения, цена) должны полностью соответствовать спецификации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3"/>
        <w:ind w:firstLine="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</w:t>
      </w:r>
      <w:r>
        <w:rPr>
          <w:rFonts w:ascii="Times New Roman" w:hAnsi="Times New Roman" w:eastAsia="Calibri" w:cs="Times New Roman"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Приёмка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овара по качеству и количеству производится, приемочной комиссией Заказчика и оформляется Актом приемки товаров, работ, услуг (ф.0510452). Приемка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овара по акту осуществляется в течение 20 (Двадцати) рабочих дней со дня поставки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овара на склад Заказчика и предоставлении первичных бухгалтерских документов, оформленных в соответствии с действующим законодательством РФ. Приемочная комиссия Заказчика проверяет соответствие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овара сведениям, указанным в транспортных и сопроводительных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документах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(включая настоящий контракт) по наименованию, количеству и качеству в случае их соответствия формирует и подписывает Акт приемки товаров, работ, услуг (ф.05104</w:t>
      </w:r>
      <w:r>
        <w:rPr>
          <w:rFonts w:ascii="Times New Roman" w:hAnsi="Times New Roman" w:eastAsia="Calibri" w:cs="Times New Roman"/>
          <w:sz w:val="24"/>
          <w:szCs w:val="24"/>
        </w:rPr>
        <w:t xml:space="preserve">52) с указанием (отсутствием) недостатков. Приемочная комиссия Заказчика направляет Акт приемки товаров, работ, услуг (ф.0510452) Поставщику. В случае если при приемке Товара будет обнаружен Товар не надлежащего качества или несоответствующего ассортимента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Заказчик может отказаться от приемки Товара, уведомив об этом Поставщика. При этом Поставщик обязан заменить некачественный или не соответствующий ассортименту Товар на качественный или соответствующий ассортименту в срок - не более 3(трех) рабочих дней.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853"/>
        <w:ind w:firstLine="425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</w:t>
      </w:r>
      <w:r>
        <w:rPr>
          <w:rFonts w:ascii="Times New Roman" w:hAnsi="Times New Roman" w:eastAsia="Calibri" w:cs="Times New Roman"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Датой приемки Товара считается дата  подписания акта приемки товаров, работ, услуг (ф.0510452).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Обязательства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Поставщик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sz w:val="24"/>
          <w:szCs w:val="24"/>
        </w:rPr>
        <w:t xml:space="preserve">, количестве, в срок и на условиях, предусмотренных Контрактом и Спецификацией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 1 к Контракту)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обеспечить соответствие поставляемого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обеспечить за свой счет устранение выявленных недостатков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или осуществить его соответствующую замену в </w:t>
      </w:r>
      <w:r>
        <w:rPr>
          <w:rFonts w:ascii="Times New Roman" w:hAnsi="Times New Roman" w:cs="Times New Roman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sz w:val="24"/>
          <w:szCs w:val="24"/>
        </w:rPr>
        <w:t xml:space="preserve"> и на условиях, предусмотренных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п</w:t>
      </w:r>
      <w:r>
        <w:rPr>
          <w:rFonts w:ascii="Times New Roman" w:hAnsi="Times New Roman" w:cs="Times New Roman"/>
          <w:sz w:val="24"/>
          <w:szCs w:val="24"/>
        </w:rPr>
        <w:t xml:space="preserve">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поставка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осуществляется путем передачи Поставщиком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а, транспортных,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осопроводительных и (или) иных документов, подтверждающих доставку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Поставщик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требовать от Заказчика произвести приемку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в </w:t>
      </w:r>
      <w:r>
        <w:rPr>
          <w:rFonts w:ascii="Times New Roman" w:hAnsi="Times New Roman" w:cs="Times New Roman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sz w:val="24"/>
          <w:szCs w:val="24"/>
        </w:rPr>
        <w:t xml:space="preserve"> и в сроки, предусмотренные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разделом VI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z w:val="24"/>
          <w:szCs w:val="24"/>
        </w:rPr>
        <w:t xml:space="preserve">по согласованию с Заказчиком (путем заключения дополнительного соглашения) поставить Товар, качест</w:t>
      </w:r>
      <w:r>
        <w:rPr>
          <w:rFonts w:ascii="Times New Roman" w:hAnsi="Times New Roman" w:cs="Times New Roman"/>
          <w:sz w:val="24"/>
          <w:szCs w:val="24"/>
        </w:rPr>
        <w:t xml:space="preserve">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ч. 4 статьи 14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5 апреля 2013 г. N 44-ФЗ "О контрактной системе в сфере закупок товаров, работ, услуг для</w:t>
      </w:r>
      <w:r>
        <w:rPr>
          <w:rFonts w:ascii="Times New Roman" w:hAnsi="Times New Roman" w:cs="Times New Roman"/>
          <w:sz w:val="24"/>
          <w:szCs w:val="24"/>
        </w:rPr>
        <w:t xml:space="preserve"> обеспечения государственных и муниципальных нужд"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Заказчик обязуется: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надлежащего качества в </w:t>
      </w:r>
      <w:r>
        <w:rPr>
          <w:rFonts w:ascii="Times New Roman" w:hAnsi="Times New Roman" w:cs="Times New Roman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sz w:val="24"/>
          <w:szCs w:val="24"/>
        </w:rPr>
        <w:t xml:space="preserve"> и сроки, предусмотренные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разделом VI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разделом VI Контракта, причиненных по вине Поставщика;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Контракта количество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ов, работ, услуг для обеспечения государственных и муниципальных нужд";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а, не соответствующего условиям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с привлечением экспертов, экспертных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V. Качество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</w:t>
      </w:r>
      <w:r>
        <w:rPr>
          <w:rFonts w:ascii="Times New Roman" w:hAnsi="Times New Roman" w:cs="Times New Roman"/>
          <w:sz w:val="24"/>
          <w:szCs w:val="24"/>
        </w:rPr>
        <w:t xml:space="preserve">числе</w:t>
      </w:r>
      <w:r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предусмотреноКонтрактом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доставляется и разгружается силами и за счет Поставщика. Поставщик несет ответственность за всякого рода порчу товара вследствие некачественной или ненадлежащей упаковки и транспортировки.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 Требования к упаковке, маркировке: </w:t>
      </w:r>
      <w:r>
        <w:rPr>
          <w:rFonts w:ascii="Times New Roman" w:hAnsi="Times New Roman" w:cs="Times New Roman"/>
          <w:sz w:val="24"/>
          <w:szCs w:val="24"/>
        </w:rPr>
        <w:t xml:space="preserve">Приобретаемый товар должен иметь упаковку, которая обеспечивает сохранность товара при транспортировке и погрузочно-разгрузочных работах к конечному месту эксплуатации до приемки его заказчиком, включая условия перегрузки.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709" w:leader="none"/>
          <w:tab w:val="left" w:pos="99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Маркировка, упаковка товара должна соответствовать требованиям нормативно-техни</w:t>
      </w:r>
      <w:r>
        <w:rPr>
          <w:rFonts w:ascii="Times New Roman" w:hAnsi="Times New Roman" w:cs="Times New Roman"/>
          <w:sz w:val="24"/>
          <w:szCs w:val="24"/>
        </w:rPr>
        <w:t xml:space="preserve">ческой документации, утвержденной в установленном порядке. Маркировка товара должна содержать наименование изделия, наименование фирмы-изготовителя, юридический адрес изготовителя, дату выпуска. Маркировка упаковки должна строго соответствовать маркировке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 Требование к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овара: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 должен соответствовать санитарным правилам и нормам, утвержденным федеральным органом исполнительной власти по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у надзору в области стандартизации и сертификации, федеральным органом исполнительной власти в области государственного санитарно-эпидемиологического надзора в соответствии с их компетенцией и в установленном законодательством Российской Федерации порядке.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 требованиям, </w:t>
      </w:r>
      <w:r>
        <w:rPr>
          <w:rFonts w:ascii="Times New Roman" w:hAnsi="Times New Roman" w:cs="Times New Roman"/>
          <w:sz w:val="24"/>
          <w:szCs w:val="24"/>
        </w:rPr>
        <w:t xml:space="preserve">подтверждающих</w:t>
      </w:r>
      <w:r>
        <w:rPr>
          <w:rFonts w:ascii="Times New Roman" w:hAnsi="Times New Roman" w:cs="Times New Roman"/>
          <w:sz w:val="24"/>
          <w:szCs w:val="24"/>
        </w:rPr>
        <w:t xml:space="preserve"> качество товара, обеспечивающие ее безопасность для жизни и здоровья.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гарантии качества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овара, а также требования к гарантийному сроку и (или) объему предоставления гарантий их качества, к гарантийному обслуживанию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овара, к расходам на эксплуатацию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овара, к обязательности осуществления монтажа и наладки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овара, к обучению лиц, осуществляющих использование и обслуживание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овара: </w:t>
      </w:r>
      <w:r>
        <w:rPr>
          <w:rFonts w:ascii="Times New Roman" w:hAnsi="Times New Roman" w:cs="Times New Roman"/>
          <w:sz w:val="24"/>
          <w:szCs w:val="24"/>
        </w:rPr>
        <w:t xml:space="preserve">Гарантийный срок на поставляемый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 составляет 12 месяцев </w:t>
      </w:r>
      <w:r>
        <w:rPr>
          <w:rFonts w:ascii="Times New Roman" w:hAnsi="Times New Roman" w:cs="Times New Roman"/>
          <w:sz w:val="24"/>
          <w:szCs w:val="24"/>
        </w:rPr>
        <w:t xml:space="preserve">с даты </w:t>
      </w:r>
      <w:r>
        <w:rPr>
          <w:rFonts w:ascii="Times New Roman" w:hAnsi="Times New Roman" w:cs="Times New Roman"/>
          <w:sz w:val="24"/>
          <w:szCs w:val="24"/>
        </w:rPr>
        <w:t xml:space="preserve">подписания</w:t>
      </w:r>
      <w:r>
        <w:rPr>
          <w:rFonts w:ascii="Times New Roman" w:hAnsi="Times New Roman" w:cs="Times New Roman"/>
          <w:sz w:val="24"/>
          <w:szCs w:val="24"/>
        </w:rPr>
        <w:t xml:space="preserve"> документа о приемке </w:t>
      </w:r>
      <w:r>
        <w:rPr>
          <w:rFonts w:ascii="Times New Roman" w:hAnsi="Times New Roman" w:cs="Times New Roman"/>
          <w:sz w:val="24"/>
          <w:szCs w:val="24"/>
        </w:rPr>
        <w:t xml:space="preserve">и не менее гарантийного срока, указанного Производителем в документации на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Доставка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овара должна осуществляется с учетом условий, обеспечивающих надлежащий уровень сохранности при транспортировке.  Поставщик несет все риски, связанные с хранением товара до момента передачи его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VI. Ответственность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Сторона Контракта, имущественные интересы (деловая репутация) которой нарушены в результате неисполнения или ненадлежащего исполнения обязательств по Контракту другой Стороной, вправе требовать полного возмещения причиненных ей этой Стороной убытков.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Ответственность Поставщика: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 (в том числ</w:t>
      </w:r>
      <w:r>
        <w:rPr>
          <w:rFonts w:ascii="Times New Roman" w:hAnsi="Times New Roman" w:cs="Times New Roman"/>
          <w:sz w:val="24"/>
          <w:szCs w:val="24"/>
        </w:rPr>
        <w:t xml:space="preserve">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</w:t>
      </w:r>
      <w:r>
        <w:rPr>
          <w:rFonts w:ascii="Times New Roman" w:hAnsi="Times New Roman" w:cs="Times New Roman"/>
          <w:sz w:val="24"/>
          <w:szCs w:val="24"/>
        </w:rPr>
        <w:t xml:space="preserve">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</w:t>
      </w:r>
      <w:r>
        <w:rPr>
          <w:rFonts w:ascii="Times New Roman" w:hAnsi="Times New Roman" w:cs="Times New Roman"/>
          <w:sz w:val="24"/>
          <w:szCs w:val="24"/>
        </w:rPr>
        <w:t xml:space="preserve">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каждый факт неисполнен</w:t>
      </w:r>
      <w:r>
        <w:rPr>
          <w:rFonts w:ascii="Times New Roman" w:hAnsi="Times New Roman" w:cs="Times New Roman"/>
          <w:sz w:val="24"/>
          <w:szCs w:val="24"/>
        </w:rPr>
        <w:t xml:space="preserve">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процентов цены Контракта (этапа) в </w:t>
      </w:r>
      <w:r>
        <w:rPr>
          <w:rFonts w:ascii="Times New Roman" w:hAnsi="Times New Roman" w:cs="Times New Roman"/>
          <w:sz w:val="24"/>
          <w:szCs w:val="24"/>
        </w:rPr>
        <w:t xml:space="preserve">случае</w:t>
      </w:r>
      <w:r>
        <w:rPr>
          <w:rFonts w:ascii="Times New Roman" w:hAnsi="Times New Roman" w:cs="Times New Roman"/>
          <w:sz w:val="24"/>
          <w:szCs w:val="24"/>
        </w:rPr>
        <w:t xml:space="preserve">, если цена Контракта (этапа) не превышает 3 млн. рублей –</w:t>
      </w:r>
      <w:r>
        <w:rPr>
          <w:rFonts w:ascii="Times New Roman" w:hAnsi="Times New Roman" w:cs="Times New Roman"/>
          <w:sz w:val="24"/>
          <w:szCs w:val="24"/>
        </w:rPr>
        <w:t xml:space="preserve"> ____________ </w:t>
      </w:r>
      <w:r>
        <w:rPr>
          <w:rFonts w:ascii="Times New Roman" w:hAnsi="Times New Roman" w:cs="Times New Roman"/>
          <w:sz w:val="24"/>
          <w:szCs w:val="24"/>
        </w:rPr>
        <w:t xml:space="preserve">руб.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1000 рублей, если цена Контракта не превышает 3 млн. рублей.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Ответственность Заказчика: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</w:t>
      </w:r>
      <w:r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 w:cs="Times New Roman"/>
          <w:sz w:val="24"/>
          <w:szCs w:val="24"/>
        </w:rPr>
        <w:t xml:space="preserve">Такая пеня устанавливается Контрактом в размере одной трехсотой действующей на дату уплаты пеней </w:t>
      </w:r>
      <w:hyperlink r:id="rId10" w:tooltip="consultantplus://offline/ref=BEDDEDB8E80613988CD2DCD90BCF289085C3F5E9EA60F86EF622A6CBEF34AB6E27B56862AA2EB4C811F13B3175D857E9CDCA3CDB56AA1274q5C" w:history="1">
        <w:r>
          <w:rPr>
            <w:rFonts w:ascii="Times New Roman" w:hAnsi="Times New Roman" w:cs="Times New Roman"/>
            <w:sz w:val="24"/>
            <w:szCs w:val="24"/>
          </w:rPr>
          <w:t xml:space="preserve">ключевой ставки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следующем</w:t>
      </w:r>
      <w:r>
        <w:rPr>
          <w:rFonts w:ascii="Times New Roman" w:hAnsi="Times New Roman" w:cs="Times New Roman"/>
          <w:sz w:val="24"/>
          <w:szCs w:val="24"/>
        </w:rPr>
        <w:t xml:space="preserve">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1000 рублей, если цена контракта не превышает 3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Применение штрафных санкций не освобождает Стороны от исполнения обязательств по настоящему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Исключительные права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Обстоятельства непреодолимой силы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В случае если надлежащее исполнение Стороной предусмотренных Контрактом обязательств </w:t>
      </w:r>
      <w:r>
        <w:rPr>
          <w:rFonts w:ascii="Times New Roman" w:hAnsi="Times New Roman" w:cs="Times New Roman"/>
          <w:sz w:val="24"/>
          <w:szCs w:val="24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IX. Рассмотрение и разрешение споров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 xml:space="preserve">   Стороны принимают необходимые м</w:t>
      </w:r>
      <w:r>
        <w:rPr>
          <w:rFonts w:ascii="Times New Roman" w:hAnsi="Times New Roman" w:cs="Times New Roman"/>
          <w:sz w:val="24"/>
          <w:szCs w:val="24"/>
        </w:rPr>
        <w:t xml:space="preserve">еры к тому, чтобы любые спорные вопросы и разногласия, которые могут возникнуть из настоящего Контракта или в связи с ним, были урегулированы путем переговоров. Спорные вопросы, по которым Стороны не достигнут согласия, подлежат рассмотрению в Арбитражном </w:t>
      </w:r>
      <w:r>
        <w:rPr>
          <w:rFonts w:ascii="Times New Roman" w:hAnsi="Times New Roman" w:cs="Times New Roman"/>
          <w:sz w:val="24"/>
          <w:szCs w:val="24"/>
        </w:rPr>
        <w:t xml:space="preserve">суде</w:t>
      </w:r>
      <w:r>
        <w:rPr>
          <w:rFonts w:ascii="Times New Roman" w:hAnsi="Times New Roman" w:cs="Times New Roman"/>
          <w:sz w:val="24"/>
          <w:szCs w:val="24"/>
        </w:rPr>
        <w:t xml:space="preserve"> Алтайского края.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 xml:space="preserve"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10 (десяти) календарных дней. Переписка Сторон может осуществляться в </w:t>
      </w:r>
      <w:r>
        <w:rPr>
          <w:rFonts w:ascii="Times New Roman" w:hAnsi="Times New Roman" w:cs="Times New Roman"/>
          <w:sz w:val="24"/>
          <w:szCs w:val="24"/>
        </w:rPr>
        <w:t xml:space="preserve">виде</w:t>
      </w:r>
      <w:r>
        <w:rPr>
          <w:rFonts w:ascii="Times New Roman" w:hAnsi="Times New Roman" w:cs="Times New Roman"/>
          <w:sz w:val="24"/>
          <w:szCs w:val="24"/>
        </w:rPr>
        <w:t xml:space="preserve"> писем или телеграмм,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X. Срок действия и порядок расторжения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Контра</w:t>
      </w:r>
      <w:r>
        <w:rPr>
          <w:rFonts w:ascii="Times New Roman" w:hAnsi="Times New Roman" w:cs="Times New Roman"/>
          <w:sz w:val="24"/>
          <w:szCs w:val="24"/>
        </w:rPr>
        <w:t xml:space="preserve">кт вст</w:t>
      </w:r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подписания обеими Сторонами и действует до полного исполнения Сторонами всех обязательств по Контракту. Окончание срока действия Контракта не влечет прекращения неисполненных обязатель</w:t>
      </w:r>
      <w:r>
        <w:rPr>
          <w:rFonts w:ascii="Times New Roman" w:hAnsi="Times New Roman" w:cs="Times New Roman"/>
          <w:sz w:val="24"/>
          <w:szCs w:val="24"/>
        </w:rPr>
        <w:t xml:space="preserve">ств Ст</w:t>
      </w:r>
      <w:r>
        <w:rPr>
          <w:rFonts w:ascii="Times New Roman" w:hAnsi="Times New Roman" w:cs="Times New Roman"/>
          <w:sz w:val="24"/>
          <w:szCs w:val="24"/>
        </w:rPr>
        <w:t xml:space="preserve">орон по Контракту, в том числе гарантийных обязательств Поставщика.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 по соглашению Сторон, по решению суда или в связи с одн</w:t>
      </w:r>
      <w:r>
        <w:rPr>
          <w:rFonts w:ascii="Times New Roman" w:hAnsi="Times New Roman" w:cs="Times New Roman"/>
          <w:sz w:val="24"/>
          <w:szCs w:val="24"/>
        </w:rPr>
        <w:t xml:space="preserve">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XI. Прочие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r>
        <w:rPr>
          <w:rFonts w:ascii="Times New Roman" w:hAnsi="Times New Roman" w:cs="Times New Roman"/>
          <w:sz w:val="24"/>
          <w:szCs w:val="24"/>
        </w:rPr>
        <w:t xml:space="preserve">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</w:t>
      </w:r>
      <w:r>
        <w:rPr>
          <w:rFonts w:ascii="Times New Roman" w:hAnsi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sz w:val="24"/>
          <w:szCs w:val="24"/>
        </w:rPr>
        <w:t xml:space="preserve">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XII. </w:t>
      </w:r>
      <w:r>
        <w:rPr>
          <w:rFonts w:ascii="Times New Roman" w:hAnsi="Times New Roman" w:cs="Times New Roman"/>
          <w:b/>
          <w:sz w:val="24"/>
          <w:szCs w:val="24"/>
        </w:rPr>
        <w:t xml:space="preserve">Антикоррупционная оговорка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Стороны обязуются соблюдать законодательство Российской Федерации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 </w:t>
      </w:r>
      <w:r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</w:t>
      </w:r>
      <w:r>
        <w:rPr>
          <w:rFonts w:ascii="Times New Roman" w:hAnsi="Times New Roman" w:cs="Times New Roman"/>
          <w:sz w:val="24"/>
          <w:szCs w:val="24"/>
        </w:rPr>
        <w:t xml:space="preserve">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 При исполнении своих обязательств по нас</w:t>
      </w:r>
      <w:r>
        <w:rPr>
          <w:rFonts w:ascii="Times New Roman" w:hAnsi="Times New Roman" w:cs="Times New Roman"/>
          <w:sz w:val="24"/>
          <w:szCs w:val="24"/>
        </w:rPr>
        <w:t xml:space="preserve">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</w:t>
      </w:r>
      <w:r>
        <w:rPr>
          <w:rFonts w:ascii="Times New Roman" w:hAnsi="Times New Roman" w:cs="Times New Roman"/>
          <w:sz w:val="24"/>
          <w:szCs w:val="24"/>
        </w:rPr>
        <w:t xml:space="preserve">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приложений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Неотъемлемой частью Контракта является следующее приложение: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Спецификация (Приложение № 1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31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Реквизиты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spacing w:after="0" w:line="240" w:lineRule="auto"/>
        <w:tabs>
          <w:tab w:val="left" w:pos="231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ФГБОУ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ВО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«Алтайский государственный университет»</w:t>
      </w: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ФГБОУ </w:t>
      </w:r>
      <w:r>
        <w:rPr>
          <w:rFonts w:ascii="Times New Roman" w:hAnsi="Times New Roman" w:cs="Times New Roman"/>
          <w:sz w:val="24"/>
          <w:szCs w:val="24"/>
        </w:rPr>
        <w:t xml:space="preserve">ВО</w:t>
      </w:r>
      <w:r>
        <w:rPr>
          <w:rFonts w:ascii="Times New Roman" w:hAnsi="Times New Roman" w:cs="Times New Roman"/>
          <w:sz w:val="24"/>
          <w:szCs w:val="24"/>
        </w:rPr>
        <w:t xml:space="preserve"> «Алтайский государственный университет»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2225004738    КПП 222501001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656049 г. Барнаул пр. Ленина, д.61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8(3852) 291213, 296651, адрес эл. почты: rector@asu.ru, uoz@mail.asu.ru.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 получателя: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 1 </w:t>
      </w:r>
      <w:r>
        <w:rPr>
          <w:rFonts w:ascii="Times New Roman" w:hAnsi="Times New Roman" w:cs="Times New Roman"/>
          <w:sz w:val="24"/>
          <w:szCs w:val="24"/>
        </w:rPr>
        <w:t xml:space="preserve">СибГУ</w:t>
      </w:r>
      <w:r>
        <w:rPr>
          <w:rFonts w:ascii="Times New Roman" w:hAnsi="Times New Roman" w:cs="Times New Roman"/>
          <w:sz w:val="24"/>
          <w:szCs w:val="24"/>
        </w:rPr>
        <w:t xml:space="preserve"> Банка России // УФК по Новосибирской области, г Новосибирск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015004950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казначейского счета, открытого территориальному органу</w:t>
      </w:r>
      <w:r>
        <w:rPr>
          <w:rFonts w:ascii="Times New Roman" w:hAnsi="Times New Roman" w:cs="Times New Roman"/>
          <w:sz w:val="24"/>
          <w:szCs w:val="24"/>
        </w:rPr>
        <w:tab/>
        <w:t xml:space="preserve">Федерального казначейства (расчетного счета) 03214643000000015104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банковского</w:t>
      </w:r>
      <w:r>
        <w:rPr>
          <w:rFonts w:ascii="Times New Roman" w:hAnsi="Times New Roman" w:cs="Times New Roman"/>
          <w:sz w:val="24"/>
          <w:szCs w:val="24"/>
        </w:rPr>
        <w:tab/>
        <w:t xml:space="preserve">счета,</w:t>
      </w:r>
      <w:r>
        <w:rPr>
          <w:rFonts w:ascii="Times New Roman" w:hAnsi="Times New Roman" w:cs="Times New Roman"/>
          <w:sz w:val="24"/>
          <w:szCs w:val="24"/>
        </w:rPr>
        <w:tab/>
        <w:t xml:space="preserve">открытого территориальному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органу</w:t>
      </w:r>
      <w:r>
        <w:rPr>
          <w:rFonts w:ascii="Times New Roman" w:hAnsi="Times New Roman" w:cs="Times New Roman"/>
          <w:sz w:val="24"/>
          <w:szCs w:val="24"/>
        </w:rPr>
        <w:tab/>
        <w:t xml:space="preserve"> Федерального казначейства 40102810445370000043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ФЕДЕРАЛЬНОГО КАЗНАЧЕЙСТВА ПО НОВОСИБИРСКОЙ ОБЛАСТИ (ФГБОУ </w:t>
      </w:r>
      <w:r>
        <w:rPr>
          <w:rFonts w:ascii="Times New Roman" w:hAnsi="Times New Roman" w:cs="Times New Roman"/>
          <w:sz w:val="24"/>
          <w:szCs w:val="24"/>
        </w:rPr>
        <w:t xml:space="preserve">ВО</w:t>
      </w:r>
      <w:r>
        <w:rPr>
          <w:rFonts w:ascii="Times New Roman" w:hAnsi="Times New Roman" w:cs="Times New Roman"/>
          <w:sz w:val="24"/>
          <w:szCs w:val="24"/>
        </w:rPr>
        <w:t xml:space="preserve"> "Алтайский государственный университет" л/с 20176U88990)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Ректор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tabs>
          <w:tab w:val="left" w:pos="56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/С.Н. Бочаров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contextualSpacing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18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ПОСТАВЩИК: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  <w:sectPr>
          <w:footnotePr/>
          <w:endnotePr/>
          <w:type w:val="nextPage"/>
          <w:pgSz w:w="11906" w:h="16838" w:orient="portrait"/>
          <w:pgMar w:top="993" w:right="850" w:bottom="709" w:left="1701" w:header="708" w:footer="708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_______________/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>
          <w:footnotePr/>
          <w:endnotePr/>
          <w:type w:val="continuous"/>
          <w:pgSz w:w="11906" w:h="16838" w:orient="portrait"/>
          <w:pgMar w:top="993" w:right="850" w:bottom="709" w:left="1701" w:header="708" w:footer="708" w:gutter="0"/>
          <w:cols w:num="2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МП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1 к Контракту № _________________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от_________________202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hanging="142"/>
        <w:jc w:val="center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hanging="142"/>
        <w:jc w:val="center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853"/>
        <w:contextualSpacing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Предмет 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онтракта: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Поставка 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макетной платы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 для нужд ФГБОУ 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ВО</w:t>
      </w:r>
      <w:r>
        <w:rPr>
          <w:rFonts w:ascii="Times New Roman" w:hAnsi="Times New Roman" w:eastAsia="Lucida Sans Unicode" w:cs="Times New Roman"/>
          <w:sz w:val="24"/>
          <w:szCs w:val="24"/>
          <w:lang w:eastAsia="ru-RU"/>
        </w:rPr>
        <w:t xml:space="preserve"> «Алтайский государственный университет».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Таблица №1. Описание объекта закупки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40"/>
        <w:gridCol w:w="2316"/>
        <w:gridCol w:w="4677"/>
        <w:gridCol w:w="851"/>
        <w:gridCol w:w="992"/>
        <w:gridCol w:w="1134"/>
        <w:gridCol w:w="1701"/>
        <w:gridCol w:w="2552"/>
      </w:tblGrid>
      <w:tr>
        <w:tblPrEx/>
        <w:trPr>
          <w:trHeight w:val="421"/>
        </w:trPr>
        <w:tc>
          <w:tcP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31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Характеристики Товара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 том числе НДС/без НДС.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том числе НДС/без НДС.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03"/>
        </w:trPr>
        <w:tc>
          <w:tcPr>
            <w:tcW w:w="0" w:type="auto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ind w:left="0" w:firstLine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316" w:type="dxa"/>
            <w:textDirection w:val="lrTb"/>
            <w:noWrap w:val="false"/>
          </w:tcPr>
          <w:p>
            <w:pPr>
              <w:pStyle w:val="853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Макетная плата, 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pStyle w:val="853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 400 точек,</w:t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pStyle w:val="85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 55х82х8.5мм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Количество контактных отверстий: 400 шт.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Шаг отверстий: 2,54 мм (0,1 дюйма)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Распределение отверстий: 30 рядов по горизонтали (основные шины) и 10 рядов по вертикали (без учёта зон питания).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По бокам — 4 специальные линии (рельсы) для подключения питания (2 положительные и 2 отрицательные)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Материал корпуса: ABS-пластик. 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</w:rPr>
              <w:t xml:space="preserve">Материал контактов: фосфорная бронза с никелевым покрытием </w:t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r>
          </w:p>
          <w:p>
            <w:pPr>
              <w:pStyle w:val="85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ru-RU"/>
              </w:rPr>
              <w:t xml:space="preserve">Рабочий диапазон температур: от –20 °C до +80 °C.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53"/>
              <w:rPr>
                <w:rFonts w:ascii="Times New Roman" w:hAnsi="Times New Roman"/>
                <w:sz w:val="16"/>
                <w:szCs w:val="16"/>
              </w:rPr>
              <w:suppressLineNumbers/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5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Заказчик: ______________________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С.Н. Бочаров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Поставщик: 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/_____________________/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7920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МП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МП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hanging="142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sectPr>
      <w:footnotePr/>
      <w:endnotePr/>
      <w:type w:val="nextPage"/>
      <w:pgSz w:w="16838" w:h="11906" w:orient="landscape"/>
      <w:pgMar w:top="851" w:right="1134" w:bottom="170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405040202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4"/>
      <w:numFmt w:val="decimal"/>
      <w:isLgl w:val="false"/>
      <w:suff w:val="tab"/>
      <w:lvlText w:val="%1.%2"/>
      <w:lvlJc w:val="left"/>
      <w:pPr>
        <w:ind w:left="600" w:hanging="360"/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0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72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04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280" w:hanging="108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880" w:hanging="144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120" w:hanging="144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20" w:hanging="1800"/>
        <w:tabs>
          <w:tab w:val="num" w:pos="0" w:leader="none"/>
        </w:tabs>
      </w:pPr>
      <w:rPr>
        <w:color w:val="00000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600" w:hanging="360"/>
        <w:tabs>
          <w:tab w:val="num" w:pos="0" w:leader="none"/>
        </w:tabs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200" w:hanging="720"/>
        <w:tabs>
          <w:tab w:val="num" w:pos="0" w:leader="none"/>
        </w:tabs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40" w:hanging="720"/>
        <w:tabs>
          <w:tab w:val="num" w:pos="0" w:leader="none"/>
        </w:tabs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040" w:hanging="1080"/>
        <w:tabs>
          <w:tab w:val="num" w:pos="0" w:leader="none"/>
        </w:tabs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280" w:hanging="1080"/>
        <w:tabs>
          <w:tab w:val="num" w:pos="0" w:leader="none"/>
        </w:tabs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880" w:hanging="1440"/>
        <w:tabs>
          <w:tab w:val="num" w:pos="0" w:leader="none"/>
        </w:tabs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120" w:hanging="1440"/>
        <w:tabs>
          <w:tab w:val="num" w:pos="0" w:leader="none"/>
        </w:tabs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720" w:hanging="1800"/>
        <w:tabs>
          <w:tab w:val="num" w:pos="0" w:leader="none"/>
        </w:tabs>
      </w:pPr>
      <w:rPr>
        <w:rFonts w:hint="default"/>
        <w:color w:val="00000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64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9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75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0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15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35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80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94" w:hanging="885"/>
      </w:pPr>
      <w:rPr>
        <w:rFonts w:hint="default" w:eastAsia="Lucida Sans Unicode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suff w:val="tab"/>
      <w:lvlText w:val="%1.%2"/>
      <w:lvlJc w:val="left"/>
      <w:pPr>
        <w:ind w:left="600" w:hanging="360"/>
      </w:pPr>
      <w:rPr>
        <w:rFonts w:hint="default"/>
        <w:color w:val="000000"/>
      </w:rPr>
    </w:lvl>
    <w:lvl w:ilvl="2">
      <w:start w:val="1"/>
      <w:numFmt w:val="decimal"/>
      <w:isLgl/>
      <w:suff w:val="tab"/>
      <w:lvlText w:val="%1.%2.%3"/>
      <w:lvlJc w:val="left"/>
      <w:pPr>
        <w:ind w:left="1200" w:hanging="720"/>
      </w:pPr>
      <w:rPr>
        <w:rFonts w:hint="default"/>
        <w:color w:val="000000"/>
      </w:rPr>
    </w:lvl>
    <w:lvl w:ilvl="3">
      <w:start w:val="1"/>
      <w:numFmt w:val="decimal"/>
      <w:isLgl/>
      <w:suff w:val="tab"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suff w:val="tab"/>
      <w:lvlText w:val="%1.%2.%3.%4.%5"/>
      <w:lvlJc w:val="left"/>
      <w:pPr>
        <w:ind w:left="2040" w:hanging="1080"/>
      </w:pPr>
      <w:rPr>
        <w:rFonts w:hint="default"/>
        <w:color w:val="000000"/>
      </w:rPr>
    </w:lvl>
    <w:lvl w:ilvl="5">
      <w:start w:val="1"/>
      <w:numFmt w:val="decimal"/>
      <w:isLgl/>
      <w:suff w:val="tab"/>
      <w:lvlText w:val="%1.%2.%3.%4.%5.%6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isLgl/>
      <w:suff w:val="tab"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3120" w:hanging="1440"/>
      </w:pPr>
      <w:rPr>
        <w:rFonts w:hint="default"/>
        <w:color w:val="00000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720" w:hanging="1800"/>
      </w:pPr>
      <w:rPr>
        <w:rFonts w:hint="default"/>
        <w:color w:val="000000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7"/>
    <w:link w:val="845"/>
    <w:uiPriority w:val="9"/>
    <w:rPr>
      <w:rFonts w:ascii="Arial" w:hAnsi="Arial" w:eastAsia="Arial" w:cs="Arial"/>
      <w:sz w:val="40"/>
      <w:szCs w:val="40"/>
    </w:rPr>
  </w:style>
  <w:style w:type="paragraph" w:styleId="673">
    <w:name w:val="Heading 2"/>
    <w:basedOn w:val="844"/>
    <w:next w:val="844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4">
    <w:name w:val="Heading 2 Char"/>
    <w:basedOn w:val="847"/>
    <w:link w:val="673"/>
    <w:uiPriority w:val="9"/>
    <w:rPr>
      <w:rFonts w:ascii="Arial" w:hAnsi="Arial" w:eastAsia="Arial" w:cs="Arial"/>
      <w:sz w:val="34"/>
    </w:rPr>
  </w:style>
  <w:style w:type="paragraph" w:styleId="675">
    <w:name w:val="Heading 3"/>
    <w:basedOn w:val="844"/>
    <w:next w:val="844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6">
    <w:name w:val="Heading 3 Char"/>
    <w:basedOn w:val="847"/>
    <w:link w:val="675"/>
    <w:uiPriority w:val="9"/>
    <w:rPr>
      <w:rFonts w:ascii="Arial" w:hAnsi="Arial" w:eastAsia="Arial" w:cs="Arial"/>
      <w:sz w:val="30"/>
      <w:szCs w:val="30"/>
    </w:rPr>
  </w:style>
  <w:style w:type="character" w:styleId="677">
    <w:name w:val="Heading 4 Char"/>
    <w:basedOn w:val="847"/>
    <w:link w:val="84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7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7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7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7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4"/>
    <w:next w:val="844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Title"/>
    <w:basedOn w:val="844"/>
    <w:next w:val="844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7"/>
    <w:link w:val="688"/>
    <w:uiPriority w:val="10"/>
    <w:rPr>
      <w:sz w:val="48"/>
      <w:szCs w:val="48"/>
    </w:rPr>
  </w:style>
  <w:style w:type="paragraph" w:styleId="690">
    <w:name w:val="Subtitle"/>
    <w:basedOn w:val="844"/>
    <w:next w:val="844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7"/>
    <w:link w:val="690"/>
    <w:uiPriority w:val="11"/>
    <w:rPr>
      <w:sz w:val="24"/>
      <w:szCs w:val="24"/>
    </w:rPr>
  </w:style>
  <w:style w:type="paragraph" w:styleId="692">
    <w:name w:val="Quote"/>
    <w:basedOn w:val="844"/>
    <w:next w:val="844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4"/>
    <w:next w:val="844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4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847"/>
    <w:link w:val="696"/>
    <w:uiPriority w:val="99"/>
  </w:style>
  <w:style w:type="paragraph" w:styleId="698">
    <w:name w:val="Footer"/>
    <w:basedOn w:val="844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847"/>
    <w:link w:val="698"/>
    <w:uiPriority w:val="99"/>
  </w:style>
  <w:style w:type="paragraph" w:styleId="700">
    <w:name w:val="Caption"/>
    <w:basedOn w:val="844"/>
    <w:next w:val="8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 Light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1">
    <w:name w:val="List Table 7 Colorful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2">
    <w:name w:val="List Table 7 Colorful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3">
    <w:name w:val="List Table 7 Colorful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4">
    <w:name w:val="List Table 7 Colorful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5">
    <w:name w:val="List Table 7 Colorful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6">
    <w:name w:val="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 &amp; Lined - Accent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Bordered &amp; Lined - Accent 2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Bordered &amp; Lined - Accent 3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Bordered &amp; Lined - Accent 4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Bordered &amp; Lined - Accent 5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Bordered &amp; Lined - Accent 6"/>
    <w:basedOn w:val="8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7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7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  <w:pPr>
      <w:spacing w:after="160" w:line="256" w:lineRule="auto"/>
    </w:pPr>
  </w:style>
  <w:style w:type="paragraph" w:styleId="845">
    <w:name w:val="Heading 1"/>
    <w:basedOn w:val="844"/>
    <w:next w:val="844"/>
    <w:link w:val="850"/>
    <w:uiPriority w:val="9"/>
    <w:qFormat/>
    <w:pPr>
      <w:ind w:left="432"/>
      <w:keepNext/>
      <w:spacing w:before="240" w:after="60" w:line="240" w:lineRule="auto"/>
      <w:tabs>
        <w:tab w:val="num" w:pos="0" w:leader="none"/>
      </w:tabs>
      <w:outlineLvl w:val="0"/>
    </w:pPr>
    <w:rPr>
      <w:rFonts w:ascii="Times New Roman" w:hAnsi="Times New Roman" w:eastAsia="Times New Roman" w:cs="Calibri"/>
      <w:b/>
      <w:bCs/>
      <w:i/>
      <w:iCs/>
      <w:sz w:val="40"/>
      <w:szCs w:val="40"/>
      <w:lang w:eastAsia="ar-SA"/>
    </w:rPr>
  </w:style>
  <w:style w:type="paragraph" w:styleId="846">
    <w:name w:val="Heading 4"/>
    <w:basedOn w:val="844"/>
    <w:next w:val="844"/>
    <w:link w:val="861"/>
    <w:uiPriority w:val="9"/>
    <w:semiHidden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847" w:default="1">
    <w:name w:val="Default Paragraph Font"/>
    <w:uiPriority w:val="1"/>
    <w:semiHidden/>
    <w:unhideWhenUsed/>
  </w:style>
  <w:style w:type="table" w:styleId="8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9" w:default="1">
    <w:name w:val="No List"/>
    <w:uiPriority w:val="99"/>
    <w:semiHidden/>
    <w:unhideWhenUsed/>
  </w:style>
  <w:style w:type="character" w:styleId="850" w:customStyle="1">
    <w:name w:val="Заголовок 1 Знак"/>
    <w:basedOn w:val="847"/>
    <w:link w:val="845"/>
    <w:uiPriority w:val="9"/>
    <w:rPr>
      <w:rFonts w:ascii="Times New Roman" w:hAnsi="Times New Roman" w:eastAsia="Times New Roman" w:cs="Calibri"/>
      <w:b/>
      <w:bCs/>
      <w:i/>
      <w:iCs/>
      <w:sz w:val="40"/>
      <w:szCs w:val="40"/>
      <w:lang w:eastAsia="ar-SA"/>
    </w:rPr>
  </w:style>
  <w:style w:type="character" w:styleId="851">
    <w:name w:val="Hyperlink"/>
    <w:uiPriority w:val="99"/>
    <w:unhideWhenUsed/>
    <w:rPr>
      <w:color w:val="0000ff"/>
      <w:u w:val="single"/>
    </w:rPr>
  </w:style>
  <w:style w:type="character" w:styleId="852" w:customStyle="1">
    <w:name w:val="Без интервала Знак"/>
    <w:link w:val="853"/>
  </w:style>
  <w:style w:type="paragraph" w:styleId="853">
    <w:name w:val="No Spacing"/>
    <w:link w:val="852"/>
    <w:qFormat/>
    <w:pPr>
      <w:spacing w:after="0" w:line="240" w:lineRule="auto"/>
    </w:pPr>
  </w:style>
  <w:style w:type="character" w:styleId="854">
    <w:name w:val="Strong"/>
    <w:uiPriority w:val="22"/>
    <w:qFormat/>
    <w:rPr>
      <w:b/>
      <w:bCs/>
    </w:rPr>
  </w:style>
  <w:style w:type="character" w:styleId="855" w:customStyle="1">
    <w:name w:val="Абзац списка Знак"/>
    <w:link w:val="856"/>
    <w:qFormat/>
  </w:style>
  <w:style w:type="paragraph" w:styleId="856">
    <w:name w:val="List Paragraph"/>
    <w:basedOn w:val="844"/>
    <w:link w:val="855"/>
    <w:qFormat/>
    <w:pPr>
      <w:contextualSpacing/>
      <w:ind w:left="720"/>
      <w:spacing w:after="200" w:line="276" w:lineRule="auto"/>
    </w:pPr>
  </w:style>
  <w:style w:type="table" w:styleId="857">
    <w:name w:val="Table Grid"/>
    <w:basedOn w:val="84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58" w:customStyle="1">
    <w:name w:val="Таблицы (моноширинный)"/>
    <w:basedOn w:val="844"/>
    <w:pPr>
      <w:ind w:firstLine="720"/>
      <w:jc w:val="both"/>
      <w:spacing w:after="0" w:line="100" w:lineRule="atLeast"/>
      <w:widowControl w:val="off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859">
    <w:name w:val="Balloon Text"/>
    <w:basedOn w:val="844"/>
    <w:link w:val="86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0" w:customStyle="1">
    <w:name w:val="Текст выноски Знак"/>
    <w:basedOn w:val="847"/>
    <w:link w:val="859"/>
    <w:uiPriority w:val="99"/>
    <w:semiHidden/>
    <w:rPr>
      <w:rFonts w:ascii="Tahoma" w:hAnsi="Tahoma" w:cs="Tahoma"/>
      <w:sz w:val="16"/>
      <w:szCs w:val="16"/>
    </w:rPr>
  </w:style>
  <w:style w:type="character" w:styleId="861" w:customStyle="1">
    <w:name w:val="Заголовок 4 Знак"/>
    <w:basedOn w:val="847"/>
    <w:link w:val="846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BEDDEDB8E80613988CD2DCD90BCF289085C3F5E9EA60F86EF622A6CBEF34AB6E27B56862AA2EB4C811F13B3175D857E9CDCA3CDB56AA1274q5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47CE-6F24-4258-AFA6-95B143BB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Кристина Эдуардовна</dc:creator>
  <cp:lastModifiedBy>belousova</cp:lastModifiedBy>
  <cp:revision>6</cp:revision>
  <dcterms:created xsi:type="dcterms:W3CDTF">2026-06-17T04:11:00Z</dcterms:created>
  <dcterms:modified xsi:type="dcterms:W3CDTF">2026-08-19T04:00:39Z</dcterms:modified>
</cp:coreProperties>
</file>