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</w:pPr>
      <w:r/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ТЕХНИЧЕСКОЕ ЗАДАНИЕ</w:t>
      </w:r>
      <w:r>
        <w:rPr>
          <w:b/>
        </w:rPr>
      </w:r>
      <w:r>
        <w:rPr>
          <w:b/>
        </w:rPr>
      </w:r>
    </w:p>
    <w:p>
      <w:pPr>
        <w:jc w:val="center"/>
        <w:spacing w:after="0"/>
        <w:widowControl w:val="off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b/>
        </w:rPr>
      </w:pPr>
      <w:r/>
      <w:bookmarkStart w:id="0" w:name="_Hlk138087370"/>
      <w:r/>
      <w:bookmarkStart w:id="1" w:name="_Hlk138087397"/>
      <w:r>
        <w:rPr>
          <w:b/>
        </w:rPr>
        <w:t xml:space="preserve">на поставку </w:t>
      </w:r>
      <w:bookmarkStart w:id="2" w:name="_Hlk156379220"/>
      <w:r/>
      <w:bookmarkEnd w:id="0"/>
      <w:r>
        <w:rPr>
          <w:b/>
        </w:rPr>
        <w:t xml:space="preserve">аккумуляторной батареи </w:t>
      </w:r>
      <w:r>
        <w:rPr>
          <w:b/>
        </w:rPr>
      </w:r>
      <w:r>
        <w:rPr>
          <w:b/>
        </w:rPr>
      </w:r>
    </w:p>
    <w:p>
      <w:pPr>
        <w:jc w:val="center"/>
        <w:spacing w:after="0"/>
        <w:widowControl w:val="off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b/>
          <w:bCs/>
        </w:rPr>
      </w:pPr>
      <w:r>
        <w:rPr>
          <w:b/>
        </w:rPr>
        <w:t xml:space="preserve">для </w:t>
      </w:r>
      <w:bookmarkEnd w:id="1"/>
      <w:r/>
      <w:bookmarkEnd w:id="2"/>
      <w:r>
        <w:rPr>
          <w:b/>
        </w:rPr>
        <w:t xml:space="preserve">источника бесперебойного питания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  <w:shd w:val="clear" w:color="auto" w:fill="ffffff"/>
        <w:widowControl w:val="off"/>
        <w:tabs>
          <w:tab w:val="left" w:pos="0" w:leader="none"/>
          <w:tab w:val="left" w:pos="851" w:leader="none"/>
          <w:tab w:val="left" w:pos="993" w:leader="none"/>
        </w:tabs>
        <w:rPr>
          <w:b/>
          <w:sz w:val="12"/>
          <w:szCs w:val="12"/>
        </w:rPr>
      </w:pPr>
      <w:r>
        <w:rPr>
          <w:b/>
          <w:sz w:val="12"/>
          <w:szCs w:val="12"/>
        </w:rPr>
      </w:r>
      <w:r>
        <w:rPr>
          <w:b/>
          <w:sz w:val="12"/>
          <w:szCs w:val="12"/>
        </w:rPr>
      </w:r>
      <w:r>
        <w:rPr>
          <w:b/>
          <w:sz w:val="12"/>
          <w:szCs w:val="12"/>
        </w:rPr>
      </w:r>
    </w:p>
    <w:p>
      <w:pPr>
        <w:pStyle w:val="914"/>
        <w:numPr>
          <w:ilvl w:val="0"/>
          <w:numId w:val="1"/>
        </w:numPr>
        <w:ind w:left="0" w:firstLine="709"/>
        <w:shd w:val="clear" w:color="auto" w:fill="ffffff"/>
        <w:tabs>
          <w:tab w:val="left" w:pos="426" w:leader="none"/>
          <w:tab w:val="left" w:pos="993" w:leader="none"/>
          <w:tab w:val="left" w:pos="1276" w:leader="none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Заказчик: </w:t>
      </w:r>
      <w:r>
        <w:rPr>
          <w:sz w:val="24"/>
          <w:szCs w:val="24"/>
        </w:rPr>
        <w:t xml:space="preserve">Управление Роскомнадзора по Тверской области, 170100, Тверская обл.,</w:t>
      </w:r>
      <w:r>
        <w:rPr>
          <w:sz w:val="24"/>
          <w:szCs w:val="24"/>
        </w:rPr>
        <w:br/>
        <w:t xml:space="preserve">г. Тверь, ул. </w:t>
      </w:r>
      <w:r>
        <w:rPr>
          <w:sz w:val="24"/>
          <w:szCs w:val="24"/>
        </w:rPr>
        <w:t xml:space="preserve">Трёхсвятская</w:t>
      </w:r>
      <w:r>
        <w:rPr>
          <w:sz w:val="24"/>
          <w:szCs w:val="24"/>
        </w:rPr>
        <w:t xml:space="preserve">, д. 6, e-</w:t>
      </w:r>
      <w:r>
        <w:rPr>
          <w:sz w:val="24"/>
          <w:szCs w:val="24"/>
        </w:rPr>
        <w:t xml:space="preserve">mail</w:t>
      </w:r>
      <w:r>
        <w:rPr>
          <w:sz w:val="24"/>
          <w:szCs w:val="24"/>
        </w:rPr>
        <w:t xml:space="preserve">: rsockanc69@rkn.gov.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, тел. 8-(482)-245-20-40.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spacing w:after="0"/>
        <w:shd w:val="clear" w:color="auto" w:fill="ffffff"/>
        <w:tabs>
          <w:tab w:val="left" w:pos="426" w:leader="none"/>
          <w:tab w:val="left" w:pos="851" w:leader="none"/>
          <w:tab w:val="left" w:pos="993" w:leader="none"/>
        </w:tabs>
      </w:pPr>
      <w:r>
        <w:rPr>
          <w:bCs/>
        </w:rPr>
        <w:t xml:space="preserve">Контактное лицо:</w:t>
      </w:r>
      <w:r>
        <w:t xml:space="preserve"> ведущий спец</w:t>
      </w:r>
      <w:r>
        <w:t xml:space="preserve">иалист-эксперт Водопьянова Т.В.,                                      </w:t>
      </w:r>
      <w:r>
        <w:t xml:space="preserve">e-</w:t>
      </w:r>
      <w:r>
        <w:t xml:space="preserve">mail</w:t>
      </w:r>
      <w:r>
        <w:t xml:space="preserve">: </w:t>
      </w:r>
      <w:r>
        <w:rPr>
          <w:rStyle w:val="894"/>
          <w:color w:val="auto"/>
          <w:lang w:val="en-US"/>
        </w:rPr>
        <w:t xml:space="preserve">t</w:t>
      </w:r>
      <w:r>
        <w:rPr>
          <w:rStyle w:val="894"/>
          <w:color w:val="auto"/>
        </w:rPr>
        <w:t xml:space="preserve">.</w:t>
      </w:r>
      <w:r>
        <w:rPr>
          <w:rStyle w:val="894"/>
          <w:color w:val="auto"/>
          <w:lang w:val="en-US"/>
        </w:rPr>
        <w:t xml:space="preserve">vodopyanova</w:t>
      </w:r>
      <w:r>
        <w:rPr>
          <w:rStyle w:val="894"/>
          <w:color w:val="auto"/>
        </w:rPr>
        <w:t xml:space="preserve">@</w:t>
      </w:r>
      <w:r>
        <w:rPr>
          <w:rStyle w:val="894"/>
          <w:color w:val="auto"/>
          <w:lang w:val="en-US"/>
        </w:rPr>
        <w:t xml:space="preserve">rkn</w:t>
      </w:r>
      <w:r>
        <w:rPr>
          <w:rStyle w:val="894"/>
          <w:color w:val="auto"/>
        </w:rPr>
        <w:t xml:space="preserve">.</w:t>
      </w:r>
      <w:r>
        <w:rPr>
          <w:rStyle w:val="894"/>
          <w:color w:val="auto"/>
          <w:lang w:val="en-US"/>
        </w:rPr>
        <w:t xml:space="preserve">gov</w:t>
      </w:r>
      <w:r>
        <w:rPr>
          <w:rStyle w:val="894"/>
          <w:color w:val="auto"/>
        </w:rPr>
        <w:t xml:space="preserve">.</w:t>
      </w:r>
      <w:r>
        <w:rPr>
          <w:rStyle w:val="894"/>
          <w:color w:val="auto"/>
          <w:lang w:val="en-US"/>
        </w:rPr>
        <w:t xml:space="preserve">ru</w:t>
      </w:r>
      <w:r/>
    </w:p>
    <w:p>
      <w:pPr>
        <w:numPr>
          <w:ilvl w:val="0"/>
          <w:numId w:val="1"/>
        </w:numPr>
        <w:ind w:left="0" w:firstLine="709"/>
        <w:spacing w:after="0"/>
        <w:shd w:val="clear" w:color="auto" w:fill="ffffff"/>
        <w:tabs>
          <w:tab w:val="left" w:pos="426" w:leader="none"/>
          <w:tab w:val="left" w:pos="851" w:leader="none"/>
          <w:tab w:val="left" w:pos="993" w:leader="none"/>
        </w:tabs>
        <w:rPr>
          <w:bCs/>
        </w:rPr>
      </w:pPr>
      <w:r>
        <w:rPr>
          <w:b/>
        </w:rPr>
        <w:t xml:space="preserve">Наименование объекта закупки: </w:t>
      </w:r>
      <w:r>
        <w:rPr>
          <w:bCs/>
        </w:rPr>
        <w:t xml:space="preserve">аккумуляторная батарея для источника бесперебойного питания (далее - Товар)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spacing w:after="0"/>
        <w:shd w:val="clear" w:color="auto" w:fill="ffffff"/>
        <w:tabs>
          <w:tab w:val="left" w:pos="709" w:leader="none"/>
          <w:tab w:val="left" w:pos="851" w:leader="none"/>
          <w:tab w:val="left" w:pos="993" w:leader="none"/>
        </w:tabs>
      </w:pPr>
      <w:r>
        <w:t xml:space="preserve">ОКПД2 27.20.23.190 – </w:t>
      </w:r>
      <w:r>
        <w:t xml:space="preserve">б</w:t>
      </w:r>
      <w:r>
        <w:t xml:space="preserve">атареи аккумуляторные прочие</w:t>
      </w:r>
      <w:r>
        <w:t xml:space="preserve">.</w:t>
      </w:r>
      <w:r/>
    </w:p>
    <w:p>
      <w:pPr>
        <w:numPr>
          <w:ilvl w:val="0"/>
          <w:numId w:val="1"/>
        </w:numPr>
        <w:ind w:left="0" w:firstLine="709"/>
        <w:spacing w:after="0"/>
        <w:tabs>
          <w:tab w:val="left" w:pos="0" w:leader="none"/>
          <w:tab w:val="left" w:pos="567" w:leader="none"/>
        </w:tabs>
      </w:pPr>
      <w:r>
        <w:rPr>
          <w:b/>
        </w:rPr>
        <w:t xml:space="preserve">Количество поставляемого </w:t>
      </w:r>
      <w:r>
        <w:rPr>
          <w:b/>
        </w:rPr>
        <w:t xml:space="preserve">Товар</w:t>
      </w:r>
      <w:r>
        <w:rPr>
          <w:b/>
        </w:rPr>
        <w:t xml:space="preserve">а</w:t>
      </w:r>
      <w:r>
        <w:t xml:space="preserve">: </w:t>
      </w:r>
      <w:r>
        <w:t xml:space="preserve">7 шт.</w:t>
      </w:r>
      <w:r/>
    </w:p>
    <w:p>
      <w:pPr>
        <w:numPr>
          <w:ilvl w:val="0"/>
          <w:numId w:val="1"/>
        </w:numPr>
        <w:ind w:left="0" w:firstLine="709"/>
        <w:spacing w:after="0"/>
        <w:shd w:val="clear" w:color="auto" w:fill="ffffff"/>
        <w:widowControl w:val="off"/>
        <w:tabs>
          <w:tab w:val="left" w:pos="0" w:leader="none"/>
          <w:tab w:val="left" w:pos="851" w:leader="none"/>
          <w:tab w:val="left" w:pos="993" w:leader="none"/>
        </w:tabs>
      </w:pPr>
      <w:r>
        <w:rPr>
          <w:b/>
        </w:rPr>
        <w:t xml:space="preserve">Место поставки </w:t>
      </w:r>
      <w:r>
        <w:rPr>
          <w:b/>
        </w:rPr>
        <w:t xml:space="preserve">Товар</w:t>
      </w:r>
      <w:r>
        <w:rPr>
          <w:b/>
        </w:rPr>
        <w:t xml:space="preserve">а: </w:t>
      </w:r>
      <w:r>
        <w:t xml:space="preserve">170100, Тверская обл., г. Тверь, ул. </w:t>
      </w:r>
      <w:r>
        <w:t xml:space="preserve">Трёхсвятская</w:t>
      </w:r>
      <w:r>
        <w:t xml:space="preserve">, д. 6, </w:t>
      </w:r>
      <w:r>
        <w:t xml:space="preserve">6 этаж</w:t>
      </w:r>
      <w:r>
        <w:t xml:space="preserve">.</w:t>
      </w:r>
      <w:r/>
    </w:p>
    <w:p>
      <w:pPr>
        <w:pStyle w:val="916"/>
        <w:numPr>
          <w:ilvl w:val="0"/>
          <w:numId w:val="1"/>
        </w:numPr>
        <w:ind w:left="0" w:firstLine="709"/>
        <w:jc w:val="both"/>
        <w:tabs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Arial"/>
          <w:b/>
          <w:sz w:val="24"/>
          <w:szCs w:val="24"/>
        </w:rPr>
        <w:t xml:space="preserve">Условия поставки </w:t>
      </w:r>
      <w:r>
        <w:rPr>
          <w:rFonts w:ascii="Times New Roman" w:hAnsi="Times New Roman" w:eastAsia="Arial"/>
          <w:b/>
          <w:sz w:val="24"/>
          <w:szCs w:val="24"/>
        </w:rPr>
        <w:t xml:space="preserve">Товар</w:t>
      </w:r>
      <w:r>
        <w:rPr>
          <w:rFonts w:ascii="Times New Roman" w:hAnsi="Times New Roman" w:eastAsia="Arial"/>
          <w:b/>
          <w:sz w:val="24"/>
          <w:szCs w:val="24"/>
        </w:rPr>
        <w:t xml:space="preserve">а: </w:t>
      </w:r>
      <w:r>
        <w:rPr>
          <w:rFonts w:ascii="Times New Roman" w:hAnsi="Times New Roman"/>
          <w:sz w:val="24"/>
          <w:szCs w:val="24"/>
        </w:rPr>
        <w:t xml:space="preserve">поставка и разгрузка </w:t>
      </w:r>
      <w:r>
        <w:rPr>
          <w:rFonts w:ascii="Times New Roman" w:hAnsi="Times New Roman"/>
          <w:sz w:val="24"/>
          <w:szCs w:val="24"/>
        </w:rPr>
        <w:t xml:space="preserve">Товар</w:t>
      </w:r>
      <w:r>
        <w:rPr>
          <w:rFonts w:ascii="Times New Roman" w:hAnsi="Times New Roman"/>
          <w:sz w:val="24"/>
          <w:szCs w:val="24"/>
        </w:rPr>
        <w:t xml:space="preserve">а осуществляется силами и средствами Поставщика или с привлечением третьих лиц за счёт Поставщика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1"/>
        </w:numPr>
        <w:ind w:left="0" w:firstLine="567"/>
        <w:spacing w:after="0"/>
        <w:shd w:val="clear" w:color="auto" w:fill="ffffff"/>
        <w:widowControl w:val="off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</w:pPr>
      <w:r>
        <w:rPr>
          <w:rFonts w:eastAsia="Arial"/>
          <w:b/>
        </w:rPr>
        <w:t xml:space="preserve">Технические характеристики:</w:t>
      </w:r>
      <w:r/>
    </w:p>
    <w:tbl>
      <w:tblPr>
        <w:tblStyle w:val="922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993"/>
        <w:gridCol w:w="1275"/>
        <w:gridCol w:w="1701"/>
      </w:tblGrid>
      <w:tr>
        <w:tblPrEx/>
        <w:trPr>
          <w:trHeight w:val="554"/>
        </w:trPr>
        <w:tc>
          <w:tcPr>
            <w:tcW w:w="209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Товара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4252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Характеристики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Кол-во Товара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Цена за ед., ₽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Стоимость, ₽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419"/>
        </w:trPr>
        <w:tc>
          <w:tcP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Аккумуляторная батарея для источника бесперебойного питания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шт.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2697,91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18885,37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9"/>
        </w:trPr>
        <w:tc>
          <w:tcP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Емкость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А*ч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9"/>
        </w:trPr>
        <w:tc>
          <w:tcP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T2/F2 (под клемму 250)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9"/>
        </w:trPr>
        <w:tc>
          <w:tcP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элементов в блоке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9"/>
        </w:trPr>
        <w:tc>
          <w:tcP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/>
            <w:bookmarkStart w:id="3" w:name="_Hlk156288067"/>
            <w:r/>
            <w:bookmarkEnd w:id="3"/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ток заряда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1.62 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1"/>
        </w:trPr>
        <w:tc>
          <w:tcP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ток разряда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127.5 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7"/>
        </w:trPr>
        <w:tc>
          <w:tcPr>
            <w:tcW w:w="20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 корпуса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ABS-пластик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417"/>
        </w:trPr>
        <w:tc>
          <w:tcPr>
            <w:gridSpan w:val="5"/>
            <w:tcW w:w="8613" w:type="dxa"/>
            <w:vAlign w:val="center"/>
            <w:textDirection w:val="lrTb"/>
            <w:noWrap w:val="false"/>
          </w:tcPr>
          <w:p>
            <w:pPr>
              <w:jc w:val="left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tabs>
                <w:tab w:val="left" w:pos="0" w:leader="none"/>
                <w:tab w:val="left" w:pos="709" w:leader="none"/>
                <w:tab w:val="left" w:pos="851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14"/>
        <w:ind w:left="709" w:right="6" w:firstLine="0"/>
        <w:shd w:val="clear" w:color="auto" w:fill="ffffff"/>
        <w:widowControl w:val="off"/>
        <w:tabs>
          <w:tab w:val="left" w:pos="426" w:leader="none"/>
          <w:tab w:val="left" w:pos="567" w:leader="none"/>
          <w:tab w:val="left" w:pos="709" w:leader="none"/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24"/>
        <w:numPr>
          <w:ilvl w:val="0"/>
          <w:numId w:val="1"/>
        </w:numPr>
        <w:ind w:left="0" w:firstLine="709"/>
        <w:jc w:val="both"/>
        <w:spacing w:before="0" w:beforeAutospacing="0" w:after="0"/>
        <w:rPr>
          <w:rFonts w:eastAsia="SimSun" w:cs="Arial"/>
          <w:b/>
          <w:bCs/>
          <w:lang w:eastAsia="zh-CN" w:bidi="hi-IN"/>
        </w:rPr>
      </w:pPr>
      <w:r>
        <w:rPr>
          <w:rFonts w:eastAsia="SimSun" w:cs="Arial"/>
          <w:b/>
          <w:bCs/>
          <w:lang w:eastAsia="zh-CN" w:bidi="hi-IN"/>
        </w:rPr>
        <w:t xml:space="preserve">Требования к качеству </w:t>
      </w:r>
      <w:r>
        <w:rPr>
          <w:rFonts w:eastAsia="SimSun" w:cs="Arial"/>
          <w:b/>
          <w:bCs/>
          <w:lang w:eastAsia="zh-CN" w:bidi="hi-IN"/>
        </w:rPr>
        <w:t xml:space="preserve">Товар</w:t>
      </w:r>
      <w:r>
        <w:rPr>
          <w:rFonts w:eastAsia="SimSun" w:cs="Arial"/>
          <w:b/>
          <w:bCs/>
          <w:lang w:eastAsia="zh-CN" w:bidi="hi-IN"/>
        </w:rPr>
        <w:t xml:space="preserve">а</w:t>
      </w:r>
      <w:r>
        <w:rPr>
          <w:rFonts w:eastAsia="SimSun" w:cs="Arial"/>
          <w:b/>
          <w:bCs/>
          <w:lang w:eastAsia="zh-CN" w:bidi="hi-IN"/>
        </w:rPr>
      </w:r>
      <w:r>
        <w:rPr>
          <w:rFonts w:eastAsia="SimSun" w:cs="Arial"/>
          <w:b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Cs/>
          <w:lang w:eastAsia="zh-CN" w:bidi="hi-IN"/>
        </w:rPr>
      </w:pPr>
      <w:r>
        <w:rPr>
          <w:rFonts w:eastAsia="SimSun" w:cs="Arial"/>
          <w:bCs/>
          <w:lang w:eastAsia="zh-CN" w:bidi="hi-IN"/>
        </w:rPr>
        <w:t xml:space="preserve">Качество поставляемого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 должно соответствовать государственным стандартам, санитарным нормам, действующим на территории Российской Федерации для данного вида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а.</w:t>
      </w:r>
      <w:r>
        <w:rPr>
          <w:rFonts w:eastAsia="SimSun" w:cs="Arial"/>
          <w:bCs/>
          <w:lang w:eastAsia="zh-CN" w:bidi="hi-IN"/>
        </w:rPr>
      </w:r>
      <w:r>
        <w:rPr>
          <w:rFonts w:eastAsia="SimSun" w:cs="Arial"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Cs/>
          <w:lang w:eastAsia="zh-CN" w:bidi="hi-IN"/>
        </w:rPr>
      </w:pPr>
      <w:r>
        <w:rPr>
          <w:rFonts w:eastAsia="SimSun" w:cs="Arial"/>
          <w:bCs/>
          <w:lang w:eastAsia="zh-CN" w:bidi="hi-IN"/>
        </w:rPr>
        <w:t xml:space="preserve">Поставляемый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 должен быть новым (не бывшим в употребле</w:t>
      </w:r>
      <w:r>
        <w:rPr>
          <w:rFonts w:eastAsia="SimSun" w:cs="Arial"/>
          <w:bCs/>
          <w:lang w:eastAsia="zh-CN" w:bidi="hi-IN"/>
        </w:rPr>
        <w:t xml:space="preserve">нии), не должен иметь дефектов, связанных с конструкцией, материалами или работой по его изготовлению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поставляемых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ов.</w:t>
      </w:r>
      <w:r>
        <w:rPr>
          <w:rFonts w:eastAsia="SimSun" w:cs="Arial"/>
          <w:bCs/>
          <w:lang w:eastAsia="zh-CN" w:bidi="hi-IN"/>
        </w:rPr>
      </w:r>
      <w:r>
        <w:rPr>
          <w:rFonts w:eastAsia="SimSun" w:cs="Arial"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Cs/>
          <w:lang w:eastAsia="zh-CN" w:bidi="hi-IN"/>
        </w:rPr>
      </w:pPr>
      <w:r>
        <w:rPr>
          <w:rFonts w:eastAsia="SimSun" w:cs="Arial"/>
          <w:bCs/>
          <w:lang w:eastAsia="zh-CN" w:bidi="hi-IN"/>
        </w:rPr>
        <w:t xml:space="preserve">Указанный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 не должен иметь трещин, царапин, вмятин, следов вскрытий и других дефектов, ухудшающих их внешний вид и препятствующих использованию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 по назначению. </w:t>
      </w:r>
      <w:r>
        <w:rPr>
          <w:rFonts w:eastAsia="SimSun" w:cs="Arial"/>
          <w:bCs/>
          <w:lang w:eastAsia="zh-CN" w:bidi="hi-IN"/>
        </w:rPr>
      </w:r>
      <w:r>
        <w:rPr>
          <w:rFonts w:eastAsia="SimSun" w:cs="Arial"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/>
          <w:bCs/>
          <w:lang w:eastAsia="zh-CN" w:bidi="hi-IN"/>
        </w:rPr>
      </w:pPr>
      <w:r>
        <w:rPr>
          <w:rFonts w:eastAsia="SimSun" w:cs="Arial"/>
          <w:b/>
          <w:bCs/>
          <w:lang w:eastAsia="zh-CN" w:bidi="hi-IN"/>
        </w:rPr>
      </w:r>
      <w:r>
        <w:rPr>
          <w:rFonts w:eastAsia="SimSun" w:cs="Arial"/>
          <w:b/>
          <w:bCs/>
          <w:lang w:eastAsia="zh-CN" w:bidi="hi-IN"/>
        </w:rPr>
      </w:r>
      <w:r>
        <w:rPr>
          <w:rFonts w:eastAsia="SimSun" w:cs="Arial"/>
          <w:b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/>
          <w:bCs/>
          <w:lang w:eastAsia="zh-CN" w:bidi="hi-IN"/>
        </w:rPr>
      </w:pPr>
      <w:r>
        <w:rPr>
          <w:rFonts w:eastAsia="SimSun" w:cs="Arial"/>
          <w:b/>
          <w:bCs/>
          <w:lang w:eastAsia="zh-CN" w:bidi="hi-IN"/>
        </w:rPr>
        <w:t xml:space="preserve">8. </w:t>
      </w:r>
      <w:r>
        <w:rPr>
          <w:rFonts w:eastAsia="SimSun" w:cs="Arial"/>
          <w:b/>
          <w:bCs/>
          <w:lang w:eastAsia="zh-CN" w:bidi="hi-IN"/>
        </w:rPr>
        <w:t xml:space="preserve">Требования к упаковке </w:t>
      </w:r>
      <w:r>
        <w:rPr>
          <w:rFonts w:eastAsia="SimSun" w:cs="Arial"/>
          <w:b/>
          <w:bCs/>
          <w:lang w:eastAsia="zh-CN" w:bidi="hi-IN"/>
        </w:rPr>
        <w:t xml:space="preserve">Товар</w:t>
      </w:r>
      <w:r>
        <w:rPr>
          <w:rFonts w:eastAsia="SimSun" w:cs="Arial"/>
          <w:b/>
          <w:bCs/>
          <w:lang w:eastAsia="zh-CN" w:bidi="hi-IN"/>
        </w:rPr>
        <w:t xml:space="preserve">а</w:t>
      </w:r>
      <w:r>
        <w:rPr>
          <w:rFonts w:eastAsia="SimSun" w:cs="Arial"/>
          <w:b/>
          <w:bCs/>
          <w:lang w:eastAsia="zh-CN" w:bidi="hi-IN"/>
        </w:rPr>
      </w:r>
      <w:r>
        <w:rPr>
          <w:rFonts w:eastAsia="SimSun" w:cs="Arial"/>
          <w:b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Cs/>
          <w:lang w:eastAsia="zh-CN" w:bidi="hi-IN"/>
        </w:rPr>
      </w:pPr>
      <w:r>
        <w:rPr>
          <w:rFonts w:eastAsia="SimSun" w:cs="Arial"/>
          <w:bCs/>
          <w:lang w:eastAsia="zh-CN" w:bidi="hi-IN"/>
        </w:rPr>
        <w:t xml:space="preserve">Поставляемый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 должен быть упакован и промаркирован в соответствии с государственными стандартами, техническими условиями, другой нормативно-технической документацией.</w:t>
      </w:r>
      <w:r>
        <w:rPr>
          <w:rFonts w:eastAsia="SimSun" w:cs="Arial"/>
          <w:bCs/>
          <w:lang w:eastAsia="zh-CN" w:bidi="hi-IN"/>
        </w:rPr>
      </w:r>
      <w:r>
        <w:rPr>
          <w:rFonts w:eastAsia="SimSun" w:cs="Arial"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Cs/>
          <w:lang w:eastAsia="zh-CN" w:bidi="hi-IN"/>
        </w:rPr>
      </w:pPr>
      <w:r>
        <w:rPr>
          <w:rFonts w:eastAsia="SimSun" w:cs="Arial"/>
          <w:bCs/>
          <w:lang w:eastAsia="zh-CN" w:bidi="hi-IN"/>
        </w:rPr>
        <w:t xml:space="preserve">Поставщик поставляет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ного вида и коррозии при его перевозке с учетом возможных перегрузок в пути и длительного хранения.</w:t>
      </w:r>
      <w:r>
        <w:rPr>
          <w:rFonts w:eastAsia="SimSun" w:cs="Arial"/>
          <w:bCs/>
          <w:lang w:eastAsia="zh-CN" w:bidi="hi-IN"/>
        </w:rPr>
      </w:r>
      <w:r>
        <w:rPr>
          <w:rFonts w:eastAsia="SimSun" w:cs="Arial"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Cs/>
          <w:lang w:eastAsia="zh-CN" w:bidi="hi-IN"/>
        </w:rPr>
      </w:pPr>
      <w:r>
        <w:rPr>
          <w:rFonts w:eastAsia="SimSun" w:cs="Arial"/>
          <w:bCs/>
          <w:lang w:eastAsia="zh-CN" w:bidi="hi-IN"/>
        </w:rPr>
        <w:t xml:space="preserve">Срок гарантийного периода должен составлять не менее 12 месяцев со дня подписания Заказчиком документа о приемке. В течение гарантийного периода Поставщик гарантирует качество и безопасность поставляемого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 в соответствии с действующими стандартами, утверждёнными в отношении данного вида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а, и наличием сертификатов, обязательных для данного вида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а, оформленных в соответствии с действующим российским законодательством. В течение гарантийного срока Поставщик обязан за свой счет устранить недостатки, выявленные в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е или заменить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, если не докажет, что недостатки возникли в результате нарушения Заказчиком правил эксплуатации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а. </w:t>
      </w:r>
      <w:r>
        <w:rPr>
          <w:rFonts w:eastAsia="SimSun" w:cs="Arial"/>
          <w:bCs/>
          <w:lang w:eastAsia="zh-CN" w:bidi="hi-IN"/>
        </w:rPr>
      </w:r>
      <w:r>
        <w:rPr>
          <w:rFonts w:eastAsia="SimSun" w:cs="Arial"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Cs/>
          <w:lang w:eastAsia="zh-CN" w:bidi="hi-IN"/>
        </w:rPr>
      </w:pPr>
      <w:r>
        <w:rPr>
          <w:rFonts w:eastAsia="SimSun" w:cs="Arial"/>
          <w:bCs/>
          <w:lang w:eastAsia="zh-CN" w:bidi="hi-IN"/>
        </w:rPr>
        <w:t xml:space="preserve">Устранение недостатков </w:t>
      </w:r>
      <w:r>
        <w:rPr>
          <w:rFonts w:eastAsia="SimSun" w:cs="Arial"/>
          <w:bCs/>
          <w:lang w:eastAsia="zh-CN" w:bidi="hi-IN"/>
        </w:rPr>
        <w:t xml:space="preserve">Товар</w:t>
      </w:r>
      <w:r>
        <w:rPr>
          <w:rFonts w:eastAsia="SimSun" w:cs="Arial"/>
          <w:bCs/>
          <w:lang w:eastAsia="zh-CN" w:bidi="hi-IN"/>
        </w:rPr>
        <w:t xml:space="preserve">а производится в срок не более 5 календарных дней с даты письменного уведомления Поставщика о выявлении таких недостатков.</w:t>
      </w:r>
      <w:r>
        <w:rPr>
          <w:rFonts w:eastAsia="SimSun" w:cs="Arial"/>
          <w:bCs/>
          <w:lang w:eastAsia="zh-CN" w:bidi="hi-IN"/>
        </w:rPr>
      </w:r>
      <w:r>
        <w:rPr>
          <w:rFonts w:eastAsia="SimSun" w:cs="Arial"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/>
          <w:bCs/>
          <w:lang w:eastAsia="zh-CN" w:bidi="hi-IN"/>
        </w:rPr>
      </w:pPr>
      <w:r>
        <w:rPr>
          <w:rFonts w:eastAsia="SimSun" w:cs="Arial"/>
          <w:b/>
          <w:bCs/>
          <w:lang w:eastAsia="zh-CN" w:bidi="hi-IN"/>
        </w:rPr>
      </w:r>
      <w:r>
        <w:rPr>
          <w:rFonts w:eastAsia="SimSun" w:cs="Arial"/>
          <w:b/>
          <w:bCs/>
          <w:lang w:eastAsia="zh-CN" w:bidi="hi-IN"/>
        </w:rPr>
      </w:r>
      <w:r>
        <w:rPr>
          <w:rFonts w:eastAsia="SimSun" w:cs="Arial"/>
          <w:b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  <w:rPr>
          <w:rFonts w:eastAsia="SimSun" w:cs="Arial"/>
          <w:b/>
          <w:bCs/>
          <w:lang w:eastAsia="zh-CN" w:bidi="hi-IN"/>
        </w:rPr>
      </w:pPr>
      <w:r>
        <w:rPr>
          <w:rFonts w:eastAsia="SimSun" w:cs="Arial"/>
          <w:b/>
          <w:bCs/>
          <w:lang w:eastAsia="zh-CN" w:bidi="hi-IN"/>
        </w:rPr>
        <w:t xml:space="preserve">9. </w:t>
      </w:r>
      <w:r>
        <w:rPr>
          <w:rFonts w:eastAsia="SimSun" w:cs="Arial"/>
          <w:b/>
          <w:bCs/>
          <w:lang w:eastAsia="zh-CN" w:bidi="hi-IN"/>
        </w:rPr>
        <w:t xml:space="preserve">Место поставки </w:t>
      </w:r>
      <w:r>
        <w:rPr>
          <w:rFonts w:eastAsia="SimSun" w:cs="Arial"/>
          <w:b/>
          <w:bCs/>
          <w:lang w:eastAsia="zh-CN" w:bidi="hi-IN"/>
        </w:rPr>
        <w:t xml:space="preserve">Товар</w:t>
      </w:r>
      <w:r>
        <w:rPr>
          <w:rFonts w:eastAsia="SimSun" w:cs="Arial"/>
          <w:b/>
          <w:bCs/>
          <w:lang w:eastAsia="zh-CN" w:bidi="hi-IN"/>
        </w:rPr>
        <w:t xml:space="preserve">а</w:t>
      </w:r>
      <w:r>
        <w:rPr>
          <w:rFonts w:eastAsia="SimSun" w:cs="Arial"/>
          <w:b/>
          <w:bCs/>
          <w:lang w:eastAsia="zh-CN" w:bidi="hi-IN"/>
        </w:rPr>
      </w:r>
      <w:r>
        <w:rPr>
          <w:rFonts w:eastAsia="SimSun" w:cs="Arial"/>
          <w:b/>
          <w:bCs/>
          <w:lang w:eastAsia="zh-CN" w:bidi="hi-IN"/>
        </w:rPr>
      </w:r>
    </w:p>
    <w:p>
      <w:pPr>
        <w:pStyle w:val="924"/>
        <w:ind w:firstLine="709"/>
        <w:jc w:val="both"/>
        <w:spacing w:before="0" w:beforeAutospacing="0" w:after="0"/>
      </w:pPr>
      <w:r>
        <w:t xml:space="preserve">Поставка </w:t>
      </w:r>
      <w:r>
        <w:t xml:space="preserve">Товар</w:t>
      </w:r>
      <w:r>
        <w:t xml:space="preserve">а осуществляется с участием уполномоченного представителя Заказчика. Поставщик должен своими силами доставить </w:t>
      </w:r>
      <w:r>
        <w:t xml:space="preserve">Товар</w:t>
      </w:r>
      <w:r>
        <w:t xml:space="preserve">, погрузка, разгрузка и подъем </w:t>
      </w:r>
      <w:r>
        <w:t xml:space="preserve">Товар</w:t>
      </w:r>
      <w:r>
        <w:t xml:space="preserve">а осуществляется Поставщиком собственными силами и за свой счет по адресу: 170100, г. Тверь, ул. </w:t>
      </w:r>
      <w:r>
        <w:t xml:space="preserve">Т</w:t>
      </w:r>
      <w:bookmarkStart w:id="4" w:name="_GoBack"/>
      <w:r/>
      <w:bookmarkEnd w:id="4"/>
      <w:r>
        <w:t xml:space="preserve">рёхсвятская</w:t>
      </w:r>
      <w:r>
        <w:t xml:space="preserve">, д. 6, 6 этаж, в рабочее время Заказчика: с понедельника по четверг - с 08 часов 30 минут до 17 часов 30 минут, пятница - с 08 часов 30 минут до 16 часов 00 минут, обеденный перерыв - с 12 часов 30 минут до 13 часов 15 минут. </w:t>
      </w:r>
      <w:r/>
    </w:p>
    <w:p>
      <w:pPr>
        <w:pStyle w:val="914"/>
        <w:contextualSpacing/>
        <w:ind w:left="0"/>
        <w:widowControl w:val="off"/>
        <w:rPr>
          <w:rFonts w:eastAsia="SimSun" w:cs="Arial"/>
          <w:bCs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Конкретные дата и время предварительно согласовываются с Заказчиком</w:t>
      </w:r>
      <w:r>
        <w:rPr>
          <w:rFonts w:eastAsia="SimSun" w:cs="Arial"/>
          <w:bCs/>
          <w:sz w:val="24"/>
          <w:szCs w:val="24"/>
          <w:lang w:eastAsia="zh-CN" w:bidi="hi-IN"/>
        </w:rPr>
        <w:t xml:space="preserve">.</w:t>
      </w:r>
      <w:r>
        <w:rPr>
          <w:rFonts w:eastAsia="SimSun" w:cs="Arial"/>
          <w:bCs/>
          <w:sz w:val="24"/>
          <w:szCs w:val="24"/>
          <w:lang w:eastAsia="zh-CN" w:bidi="hi-IN"/>
        </w:rPr>
      </w:r>
      <w:r>
        <w:rPr>
          <w:rFonts w:eastAsia="SimSun" w:cs="Arial"/>
          <w:bCs/>
          <w:sz w:val="24"/>
          <w:szCs w:val="24"/>
          <w:lang w:eastAsia="zh-CN" w:bidi="hi-IN"/>
        </w:rPr>
      </w:r>
    </w:p>
    <w:p>
      <w:pPr>
        <w:pStyle w:val="914"/>
        <w:contextualSpacing/>
        <w:ind w:left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4"/>
        <w:numPr>
          <w:ilvl w:val="0"/>
          <w:numId w:val="4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709" w:leader="none"/>
          <w:tab w:val="left" w:pos="99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Поставщику: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Отсутствие сведений об Поставщике в реестре недобросовестных поставщиков (подрядчиков, исполнителей), предусмотренном Федеральным законом 05.04.2013 № 44-ФЗ «О контрактной системе в сфере закупок, </w:t>
      </w:r>
      <w:r>
        <w:rPr>
          <w:sz w:val="24"/>
          <w:szCs w:val="24"/>
        </w:rPr>
        <w:t xml:space="preserve">Товар</w:t>
      </w:r>
      <w:r>
        <w:rPr>
          <w:sz w:val="24"/>
          <w:szCs w:val="24"/>
        </w:rPr>
        <w:t xml:space="preserve">ов, работ, услуг для обеспечения государственных и муниципальных нужд».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Отсутствие недостоверной информации, представленной Поставщиков, или запрета на заключение Заказчиком договора по результатам закупки в соответствии с требованиями законодательства Российской Федерации.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Отсутствие у Поставщика недоимки по н</w:t>
      </w:r>
      <w:r>
        <w:rPr>
          <w:sz w:val="24"/>
          <w:szCs w:val="24"/>
        </w:rPr>
        <w:t xml:space="preserve">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</w:t>
      </w:r>
      <w:r>
        <w:rPr>
          <w:sz w:val="24"/>
          <w:szCs w:val="24"/>
        </w:rPr>
        <w:t xml:space="preserve">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</w:t>
      </w:r>
      <w:r>
        <w:rPr>
          <w:sz w:val="24"/>
          <w:szCs w:val="24"/>
        </w:rPr>
        <w:t xml:space="preserve">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Поставщика по данным бухгалтерской отчетности за последн</w:t>
      </w:r>
      <w:r>
        <w:rPr>
          <w:sz w:val="24"/>
          <w:szCs w:val="24"/>
        </w:rPr>
        <w:t xml:space="preserve">ий отчетный период. Поставщик считается соответствующим установленному требованию в случае, если им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Отсутствие у Поставщика - физического лица либо у руководителя, членов колле</w:t>
      </w:r>
      <w:r>
        <w:rPr>
          <w:sz w:val="24"/>
          <w:szCs w:val="24"/>
          <w:shd w:val="clear" w:color="auto" w:fill="ffffff"/>
        </w:rPr>
        <w:t xml:space="preserve">гиального исполнительного органа, лица, исполняющего функции единоличного исполнительного органа, или главного бухгалтера юридического лица - Поставщика непогашенной или неснятой судимости за преступления в сфере экономики и (или) преступления, предусмотре</w:t>
      </w:r>
      <w:r>
        <w:rPr>
          <w:sz w:val="24"/>
          <w:szCs w:val="24"/>
          <w:shd w:val="clear" w:color="auto" w:fill="ffffff"/>
        </w:rPr>
        <w:t xml:space="preserve">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>
        <w:rPr>
          <w:sz w:val="24"/>
          <w:szCs w:val="24"/>
          <w:shd w:val="clear" w:color="auto" w:fill="ffffff"/>
        </w:rPr>
        <w:t xml:space="preserve">с поставкой </w:t>
      </w:r>
      <w:r>
        <w:rPr>
          <w:sz w:val="24"/>
          <w:szCs w:val="24"/>
          <w:shd w:val="clear" w:color="auto" w:fill="ffffff"/>
        </w:rPr>
        <w:t xml:space="preserve">Товар</w:t>
      </w:r>
      <w:r>
        <w:rPr>
          <w:sz w:val="24"/>
          <w:szCs w:val="24"/>
          <w:shd w:val="clear" w:color="auto" w:fill="ffffff"/>
        </w:rPr>
        <w:t xml:space="preserve">а, выполнением работы, оказанием услуги, являющихся предметом осуществляемой закупки, и административного наказания в виде дисквалификации.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Отсутствие между Поставщиком и Заказчиком конфликта интересов, под которым понимаются случаи,</w:t>
      </w:r>
      <w:r>
        <w:rPr>
          <w:sz w:val="24"/>
          <w:szCs w:val="24"/>
        </w:rPr>
        <w:t xml:space="preserve"> при которых руководитель Заказчика, член Комиссии по осуществлению конкурентной закупки состоят в браке с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</w:t>
      </w:r>
      <w:r>
        <w:rPr>
          <w:sz w:val="24"/>
          <w:szCs w:val="24"/>
        </w:rPr>
        <w:t xml:space="preserve">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Поставщиков, с лицам</w:t>
      </w:r>
      <w:r>
        <w:rPr>
          <w:sz w:val="24"/>
          <w:szCs w:val="24"/>
        </w:rPr>
        <w:t xml:space="preserve">и, в том числе зарегистрированными в качестве индивидуального предпринимателя, - Поставщиками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r>
        <w:rPr>
          <w:sz w:val="24"/>
          <w:szCs w:val="24"/>
        </w:rPr>
        <w:t xml:space="preserve">неполнородными</w:t>
      </w:r>
      <w:r>
        <w:rPr>
          <w:sz w:val="24"/>
          <w:szCs w:val="24"/>
        </w:rPr>
        <w:t xml:space="preserve"> (имеющими общих отца или мать) братьями и сестрами), усыновителями или усыновленными указанных лиц. Под выгодоприобретателями </w:t>
      </w:r>
      <w:r>
        <w:rPr>
          <w:sz w:val="24"/>
          <w:szCs w:val="24"/>
        </w:rPr>
        <w:t xml:space="preserve">понимаются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либо долей, превышающей 10 процентов в уставном капитале хозяйственного общества.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Поставщик не должен является офшорной компанией.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Отсутствие у Поставщика ограничений для участия в закупках, установленных законодательством Российской Федерации.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Отсутствие у Поставщика фактов привлечения в течение двух лет до момента по</w:t>
      </w:r>
      <w:r>
        <w:rPr>
          <w:sz w:val="24"/>
          <w:szCs w:val="24"/>
        </w:rPr>
        <w:t xml:space="preserve">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4"/>
        <w:numPr>
          <w:ilvl w:val="1"/>
          <w:numId w:val="2"/>
        </w:numPr>
        <w:ind w:left="0" w:firstLine="709"/>
        <w:shd w:val="clear" w:color="auto" w:fill="ffffff"/>
        <w:widowControl w:val="off"/>
        <w:tabs>
          <w:tab w:val="left" w:pos="426" w:leader="none"/>
          <w:tab w:val="left" w:pos="567" w:leader="none"/>
          <w:tab w:val="left" w:pos="993" w:leader="none"/>
        </w:tabs>
        <w:rPr>
          <w:b/>
          <w:sz w:val="24"/>
          <w:szCs w:val="24"/>
        </w:rPr>
      </w:pPr>
      <w:r>
        <w:rPr>
          <w:rStyle w:val="903"/>
          <w:i w:val="0"/>
          <w:iCs w:val="0"/>
          <w:sz w:val="24"/>
          <w:szCs w:val="24"/>
        </w:rPr>
        <w:t xml:space="preserve">Непредоставление</w:t>
      </w:r>
      <w:r>
        <w:rPr>
          <w:rStyle w:val="903"/>
          <w:i w:val="0"/>
          <w:iCs w:val="0"/>
          <w:sz w:val="24"/>
          <w:szCs w:val="24"/>
        </w:rPr>
        <w:t xml:space="preserve"> документов, подтверждающих соответствие Поставщика вышеуказанным требованиям, а равно не предоставление в установленные сроки дополнительно запрашиваемых Заказчиком </w:t>
      </w:r>
      <w:r>
        <w:rPr>
          <w:rStyle w:val="903"/>
          <w:i w:val="0"/>
          <w:iCs w:val="0"/>
          <w:sz w:val="24"/>
          <w:szCs w:val="24"/>
        </w:rPr>
        <w:t xml:space="preserve">документов и сведений, касающихся предмета закупки и Поставщика, будет является основанием для отказа в допуске к заключению договора по основанию невыполнения условий закупки Поставщиком (несоответствие требованиям к Поставщику предусмотренных закупкой). </w:t>
      </w:r>
      <w:r>
        <w:rPr>
          <w:sz w:val="24"/>
          <w:szCs w:val="24"/>
        </w:rPr>
        <w:t xml:space="preserve">При этом представленные документы должны быть в виде неповторяющихся, полно читаемых копий, на которых видны необходимые подписи и печати.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851" w:right="850" w:bottom="765" w:left="1276" w:header="0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oto Sans Devanagari">
    <w:panose1 w:val="020B0502040504020204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76890569"/>
      <w:docPartObj>
        <w:docPartGallery w:val="Page Numbers (Bottom of Page)"/>
        <w:docPartUnique w:val="true"/>
      </w:docPartObj>
      <w:rPr/>
    </w:sdtPr>
    <w:sdtContent>
      <w:p>
        <w:pPr>
          <w:pStyle w:val="913"/>
          <w:jc w:val="center"/>
        </w:pPr>
        <w:r/>
        <w:r/>
      </w:p>
      <w:p>
        <w:pPr>
          <w:pStyle w:val="91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80374190"/>
      <w:docPartObj>
        <w:docPartGallery w:val="Page Numbers (Bottom of Page)"/>
        <w:docPartUnique w:val="true"/>
      </w:docPartObj>
      <w:rPr/>
    </w:sdtPr>
    <w:sdtContent>
      <w:p>
        <w:pPr>
          <w:pStyle w:val="913"/>
          <w:jc w:val="center"/>
        </w:pPr>
        <w:r/>
        <w:r/>
      </w:p>
      <w:p>
        <w:pPr>
          <w:pStyle w:val="91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  <w:tabs>
          <w:tab w:val="num" w:pos="0" w:leader="none"/>
        </w:tabs>
      </w:pPr>
      <w:rPr>
        <w:rFonts w:hint="default"/>
        <w:b w:val="0"/>
        <w:color w:val="2c2d2e"/>
      </w:rPr>
    </w:lvl>
    <w:lvl w:ilvl="1">
      <w:start w:val="1"/>
      <w:numFmt w:val="decimal"/>
      <w:isLgl w:val="false"/>
      <w:suff w:val="tab"/>
      <w:lvlText w:val="10.%2"/>
      <w:lvlJc w:val="left"/>
      <w:pPr>
        <w:ind w:left="906" w:hanging="480"/>
        <w:tabs>
          <w:tab w:val="num" w:pos="0" w:leader="none"/>
        </w:tabs>
      </w:pPr>
      <w:rPr>
        <w:rFonts w:hint="default"/>
        <w:b/>
        <w:bCs/>
        <w:color w:val="2c2d2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  <w:tabs>
          <w:tab w:val="num" w:pos="0" w:leader="none"/>
        </w:tabs>
      </w:pPr>
      <w:rPr>
        <w:rFonts w:hint="default"/>
        <w:b w:val="0"/>
        <w:color w:val="2c2d2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  <w:tabs>
          <w:tab w:val="num" w:pos="0" w:leader="none"/>
        </w:tabs>
      </w:pPr>
      <w:rPr>
        <w:rFonts w:hint="default"/>
        <w:b w:val="0"/>
        <w:color w:val="2c2d2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  <w:tabs>
          <w:tab w:val="num" w:pos="0" w:leader="none"/>
        </w:tabs>
      </w:pPr>
      <w:rPr>
        <w:rFonts w:hint="default"/>
        <w:b w:val="0"/>
        <w:color w:val="2c2d2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  <w:tabs>
          <w:tab w:val="num" w:pos="0" w:leader="none"/>
        </w:tabs>
      </w:pPr>
      <w:rPr>
        <w:rFonts w:hint="default"/>
        <w:b w:val="0"/>
        <w:color w:val="2c2d2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  <w:tabs>
          <w:tab w:val="num" w:pos="0" w:leader="none"/>
        </w:tabs>
      </w:pPr>
      <w:rPr>
        <w:rFonts w:hint="default"/>
        <w:b w:val="0"/>
        <w:color w:val="2c2d2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  <w:tabs>
          <w:tab w:val="num" w:pos="0" w:leader="none"/>
        </w:tabs>
      </w:pPr>
      <w:rPr>
        <w:rFonts w:hint="default"/>
        <w:b w:val="0"/>
        <w:color w:val="2c2d2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  <w:tabs>
          <w:tab w:val="num" w:pos="0" w:leader="none"/>
        </w:tabs>
      </w:pPr>
      <w:rPr>
        <w:rFonts w:hint="default"/>
        <w:b w:val="0"/>
        <w:color w:val="2c2d2e"/>
      </w:rPr>
    </w:lvl>
  </w:abstractNum>
  <w:abstractNum w:abstractNumId="3">
    <w:multiLevelType w:val="hybridMultilevel"/>
    <w:lvl w:ilvl="0">
      <w:start w:val="10"/>
      <w:numFmt w:val="decimal"/>
      <w:isLgl w:val="false"/>
      <w:suff w:val="space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0" w:leader="none"/>
        </w:tabs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88"/>
    <w:next w:val="888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1"/>
    <w:link w:val="721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891"/>
    <w:link w:val="890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1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88"/>
    <w:next w:val="888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1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88"/>
    <w:next w:val="888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1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88"/>
    <w:next w:val="88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1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88"/>
    <w:next w:val="888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1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36">
    <w:name w:val="Title Char"/>
    <w:basedOn w:val="891"/>
    <w:link w:val="925"/>
    <w:uiPriority w:val="10"/>
    <w:rPr>
      <w:sz w:val="48"/>
      <w:szCs w:val="48"/>
    </w:rPr>
  </w:style>
  <w:style w:type="paragraph" w:styleId="737">
    <w:name w:val="Subtitle"/>
    <w:basedOn w:val="888"/>
    <w:next w:val="888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1"/>
    <w:link w:val="737"/>
    <w:uiPriority w:val="11"/>
    <w:rPr>
      <w:sz w:val="24"/>
      <w:szCs w:val="24"/>
    </w:rPr>
  </w:style>
  <w:style w:type="paragraph" w:styleId="739">
    <w:name w:val="Quote"/>
    <w:basedOn w:val="888"/>
    <w:next w:val="888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88"/>
    <w:next w:val="888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1"/>
    <w:link w:val="918"/>
    <w:uiPriority w:val="99"/>
  </w:style>
  <w:style w:type="character" w:styleId="744">
    <w:name w:val="Footer Char"/>
    <w:basedOn w:val="891"/>
    <w:link w:val="913"/>
    <w:uiPriority w:val="99"/>
  </w:style>
  <w:style w:type="character" w:styleId="745">
    <w:name w:val="Caption Char"/>
    <w:basedOn w:val="908"/>
    <w:link w:val="913"/>
    <w:uiPriority w:val="99"/>
  </w:style>
  <w:style w:type="table" w:styleId="746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5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6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7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8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9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0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  <w:pPr>
      <w:jc w:val="both"/>
      <w:spacing w:after="60"/>
    </w:pPr>
    <w:rPr>
      <w:rFonts w:eastAsia="Times New Roman"/>
      <w:sz w:val="24"/>
      <w:szCs w:val="24"/>
      <w:lang w:eastAsia="ar-SA"/>
    </w:rPr>
  </w:style>
  <w:style w:type="paragraph" w:styleId="889">
    <w:name w:val="Heading 1"/>
    <w:basedOn w:val="888"/>
    <w:next w:val="888"/>
    <w:link w:val="89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90">
    <w:name w:val="Heading 3"/>
    <w:next w:val="888"/>
    <w:uiPriority w:val="9"/>
    <w:semiHidden/>
    <w:unhideWhenUsed/>
    <w:qFormat/>
    <w:pPr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character" w:styleId="894">
    <w:name w:val="Hyperlink"/>
    <w:basedOn w:val="891"/>
    <w:uiPriority w:val="99"/>
    <w:semiHidden/>
    <w:unhideWhenUsed/>
    <w:rPr>
      <w:color w:val="0000ff"/>
      <w:u w:val="single"/>
    </w:rPr>
  </w:style>
  <w:style w:type="character" w:styleId="895" w:customStyle="1">
    <w:name w:val="Абзац списка Знак"/>
    <w:link w:val="914"/>
    <w:uiPriority w:val="34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6" w:customStyle="1">
    <w:name w:val="Текст выноски Знак"/>
    <w:basedOn w:val="891"/>
    <w:link w:val="910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897" w:customStyle="1">
    <w:name w:val="4. Текст Знак"/>
    <w:link w:val="915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Текст примечания Знак"/>
    <w:basedOn w:val="891"/>
    <w:link w:val="911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9" w:customStyle="1">
    <w:name w:val="Заголовок 1 Знак"/>
    <w:basedOn w:val="891"/>
    <w:link w:val="88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900" w:customStyle="1">
    <w:name w:val="ConsPlusNormal Знак"/>
    <w:link w:val="917"/>
    <w:qFormat/>
    <w:rPr>
      <w:rFonts w:ascii="Arial" w:hAnsi="Arial" w:eastAsia="Times New Roman" w:cs="Arial"/>
      <w:lang w:eastAsia="ar-SA"/>
    </w:rPr>
  </w:style>
  <w:style w:type="character" w:styleId="901" w:customStyle="1">
    <w:name w:val="Верхний колонтитул Знак"/>
    <w:basedOn w:val="891"/>
    <w:link w:val="918"/>
    <w:uiPriority w:val="99"/>
    <w:qFormat/>
    <w:rPr>
      <w:rFonts w:eastAsia="Times New Roman"/>
      <w:sz w:val="24"/>
      <w:szCs w:val="24"/>
      <w:lang w:eastAsia="ar-SA"/>
    </w:rPr>
  </w:style>
  <w:style w:type="character" w:styleId="902" w:customStyle="1">
    <w:name w:val="Нижний колонтитул Знак"/>
    <w:basedOn w:val="891"/>
    <w:link w:val="913"/>
    <w:uiPriority w:val="99"/>
    <w:qFormat/>
    <w:rPr>
      <w:rFonts w:eastAsia="Times New Roman"/>
      <w:sz w:val="24"/>
      <w:szCs w:val="24"/>
      <w:lang w:eastAsia="ar-SA"/>
    </w:rPr>
  </w:style>
  <w:style w:type="character" w:styleId="903">
    <w:name w:val="Emphasis"/>
    <w:qFormat/>
    <w:rPr>
      <w:i/>
      <w:iCs/>
    </w:rPr>
  </w:style>
  <w:style w:type="character" w:styleId="904" w:customStyle="1">
    <w:name w:val="product-spec__param"/>
    <w:basedOn w:val="891"/>
    <w:qFormat/>
  </w:style>
  <w:style w:type="paragraph" w:styleId="905" w:customStyle="1">
    <w:name w:val="Заголовок"/>
    <w:basedOn w:val="888"/>
    <w:next w:val="906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06">
    <w:name w:val="Body Text"/>
    <w:basedOn w:val="888"/>
    <w:pPr>
      <w:spacing w:after="140" w:line="276" w:lineRule="auto"/>
    </w:pPr>
  </w:style>
  <w:style w:type="paragraph" w:styleId="907">
    <w:name w:val="List"/>
    <w:basedOn w:val="906"/>
    <w:rPr>
      <w:rFonts w:cs="Noto Sans Devanagari"/>
    </w:rPr>
  </w:style>
  <w:style w:type="paragraph" w:styleId="908">
    <w:name w:val="Caption"/>
    <w:basedOn w:val="888"/>
    <w:qFormat/>
    <w:pPr>
      <w:spacing w:before="120" w:after="120"/>
      <w:suppressLineNumbers/>
    </w:pPr>
    <w:rPr>
      <w:rFonts w:cs="Noto Sans Devanagari"/>
      <w:i/>
      <w:iCs/>
    </w:rPr>
  </w:style>
  <w:style w:type="paragraph" w:styleId="909">
    <w:name w:val="index heading"/>
    <w:basedOn w:val="888"/>
    <w:qFormat/>
    <w:pPr>
      <w:suppressLineNumbers/>
    </w:pPr>
    <w:rPr>
      <w:rFonts w:cs="Noto Sans Devanagari"/>
    </w:rPr>
  </w:style>
  <w:style w:type="paragraph" w:styleId="910">
    <w:name w:val="Balloon Text"/>
    <w:basedOn w:val="888"/>
    <w:link w:val="896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911">
    <w:name w:val="annotation text"/>
    <w:basedOn w:val="888"/>
    <w:link w:val="898"/>
    <w:uiPriority w:val="99"/>
    <w:semiHidden/>
    <w:unhideWhenUsed/>
    <w:qFormat/>
    <w:rPr>
      <w:sz w:val="20"/>
      <w:szCs w:val="20"/>
    </w:rPr>
  </w:style>
  <w:style w:type="paragraph" w:styleId="912" w:customStyle="1">
    <w:name w:val="Header and Footer"/>
    <w:basedOn w:val="888"/>
    <w:qFormat/>
  </w:style>
  <w:style w:type="paragraph" w:styleId="913">
    <w:name w:val="Footer"/>
    <w:basedOn w:val="888"/>
    <w:link w:val="902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914">
    <w:name w:val="List Paragraph"/>
    <w:basedOn w:val="888"/>
    <w:link w:val="895"/>
    <w:uiPriority w:val="34"/>
    <w:qFormat/>
    <w:pPr>
      <w:ind w:left="720" w:firstLine="709"/>
      <w:spacing w:after="0"/>
    </w:pPr>
    <w:rPr>
      <w:sz w:val="20"/>
      <w:szCs w:val="20"/>
      <w:lang w:eastAsia="ru-RU"/>
    </w:rPr>
  </w:style>
  <w:style w:type="paragraph" w:styleId="915" w:customStyle="1">
    <w:name w:val="4. Текст"/>
    <w:basedOn w:val="911"/>
    <w:link w:val="897"/>
    <w:uiPriority w:val="99"/>
    <w:qFormat/>
    <w:pPr>
      <w:ind w:firstLine="709"/>
      <w:spacing w:after="0" w:line="360" w:lineRule="auto"/>
      <w:widowControl w:val="off"/>
    </w:pPr>
    <w:rPr>
      <w:sz w:val="24"/>
      <w:szCs w:val="24"/>
      <w:lang w:eastAsia="ru-RU"/>
    </w:rPr>
  </w:style>
  <w:style w:type="paragraph" w:styleId="916">
    <w:name w:val="No Spacing"/>
    <w:uiPriority w:val="1"/>
    <w:qFormat/>
    <w:rPr>
      <w:rFonts w:ascii="Calibri" w:hAnsi="Calibri" w:eastAsia="Times New Roman"/>
      <w:sz w:val="22"/>
      <w:szCs w:val="22"/>
    </w:rPr>
  </w:style>
  <w:style w:type="paragraph" w:styleId="917" w:customStyle="1">
    <w:name w:val="ConsPlusNormal"/>
    <w:link w:val="900"/>
    <w:qFormat/>
    <w:pPr>
      <w:ind w:firstLine="720"/>
      <w:widowControl w:val="off"/>
    </w:pPr>
    <w:rPr>
      <w:rFonts w:ascii="Arial" w:hAnsi="Arial" w:eastAsia="Times New Roman" w:cs="Arial"/>
      <w:lang w:eastAsia="ar-SA"/>
    </w:rPr>
  </w:style>
  <w:style w:type="paragraph" w:styleId="918">
    <w:name w:val="Header"/>
    <w:basedOn w:val="888"/>
    <w:link w:val="901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paragraph" w:styleId="919" w:customStyle="1">
    <w:name w:val="Содержимое таблицы"/>
    <w:basedOn w:val="888"/>
    <w:qFormat/>
    <w:pPr>
      <w:widowControl w:val="off"/>
      <w:suppressLineNumbers/>
    </w:pPr>
  </w:style>
  <w:style w:type="paragraph" w:styleId="920" w:customStyle="1">
    <w:name w:val="Заголовок таблицы"/>
    <w:basedOn w:val="919"/>
    <w:qFormat/>
    <w:pPr>
      <w:jc w:val="center"/>
    </w:pPr>
    <w:rPr>
      <w:b/>
      <w:bCs/>
    </w:rPr>
  </w:style>
  <w:style w:type="numbering" w:styleId="921" w:customStyle="1">
    <w:name w:val="Без списка"/>
    <w:uiPriority w:val="99"/>
    <w:semiHidden/>
    <w:unhideWhenUsed/>
    <w:qFormat/>
  </w:style>
  <w:style w:type="table" w:styleId="922">
    <w:name w:val="Table Grid"/>
    <w:basedOn w:val="892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 w:customStyle="1">
    <w:name w:val="Table Paragraph"/>
    <w:basedOn w:val="888"/>
    <w:pPr>
      <w:ind w:left="110"/>
      <w:jc w:val="left"/>
      <w:spacing w:after="0" w:line="100" w:lineRule="atLeast"/>
    </w:pPr>
    <w:rPr>
      <w:sz w:val="22"/>
      <w:szCs w:val="22"/>
    </w:rPr>
  </w:style>
  <w:style w:type="paragraph" w:styleId="924" w:customStyle="1">
    <w:name w:val="Обычный (веб)1"/>
    <w:basedOn w:val="925"/>
    <w:uiPriority w:val="99"/>
    <w:unhideWhenUsed/>
    <w:pPr>
      <w:contextualSpacing w:val="0"/>
      <w:jc w:val="left"/>
      <w:spacing w:before="100" w:beforeAutospacing="1" w:after="119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pacing w:val="0"/>
      <w:sz w:val="24"/>
      <w:szCs w:val="24"/>
      <w:lang w:eastAsia="ru-RU"/>
    </w:rPr>
  </w:style>
  <w:style w:type="paragraph" w:styleId="925">
    <w:name w:val="Title"/>
    <w:basedOn w:val="888"/>
    <w:next w:val="888"/>
    <w:link w:val="926"/>
    <w:uiPriority w:val="10"/>
    <w:qFormat/>
    <w:pPr>
      <w:contextualSpacing/>
      <w:spacing w:after="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6" w:customStyle="1">
    <w:name w:val="Название Знак"/>
    <w:basedOn w:val="891"/>
    <w:link w:val="925"/>
    <w:uiPriority w:val="10"/>
    <w:rPr>
      <w:rFonts w:asciiTheme="majorHAnsi" w:hAnsiTheme="majorHAnsi" w:eastAsiaTheme="majorEastAsia" w:cstheme="majorBidi"/>
      <w:spacing w:val="-10"/>
      <w:sz w:val="56"/>
      <w:szCs w:val="5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MLykshin</dc:creator>
  <dc:description/>
  <dc:language>ru-RU</dc:language>
  <cp:lastModifiedBy>konovalchik</cp:lastModifiedBy>
  <cp:revision>6</cp:revision>
  <dcterms:created xsi:type="dcterms:W3CDTF">2024-03-05T09:09:00Z</dcterms:created>
  <dcterms:modified xsi:type="dcterms:W3CDTF">2026-05-26T11:49:47Z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C81CBE37DC2949BFBA8650B144E9B303</vt:lpwstr>
  </property>
  <property fmtid="{D5CDD505-2E9C-101B-9397-08002B2CF9AE}" pid="3" name="KSOProductBuildVer">
    <vt:lpwstr>1049-11.2.0.11537</vt:lpwstr>
  </property>
</Properties>
</file>