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25" w:after="60"/>
        <w:jc w:val="center"/>
        <w:rPr>
          <w:rFonts w:ascii="Times New Roman" w:hAnsi="Times New Roman" w:eastAsia="Times New Roman" w:cs="Times New Roman"/>
          <w:b/>
          <w:b/>
          <w:lang w:eastAsia="ru-RU"/>
        </w:rPr>
      </w:pPr>
      <w:r>
        <w:rPr>
          <w:rFonts w:eastAsia="Times New Roman" w:cs="Times New Roman" w:ascii="Times New Roman" w:hAnsi="Times New Roman"/>
          <w:b/>
          <w:lang w:eastAsia="ru-RU"/>
        </w:rPr>
      </w:r>
    </w:p>
    <w:p>
      <w:pPr>
        <w:pStyle w:val="Normal"/>
        <w:widowControl w:val="false"/>
        <w:spacing w:lineRule="auto" w:line="240" w:before="25" w:after="60"/>
        <w:jc w:val="center"/>
        <w:rPr>
          <w:rFonts w:ascii="Times New Roman" w:hAnsi="Times New Roman" w:eastAsia="Times New Roman" w:cs="Times New Roman"/>
          <w:b/>
          <w:b/>
          <w:lang w:eastAsia="ru-RU"/>
        </w:rPr>
      </w:pPr>
      <w:r>
        <w:rPr>
          <w:rFonts w:eastAsia="Times New Roman" w:cs="Times New Roman" w:ascii="Times New Roman" w:hAnsi="Times New Roman"/>
          <w:b/>
          <w:lang w:eastAsia="ru-RU"/>
        </w:rPr>
        <w:t xml:space="preserve">СУБЛИЦЕНЗИОННЫЙ ДОГОВОР № </w:t>
      </w:r>
    </w:p>
    <w:p>
      <w:pPr>
        <w:pStyle w:val="Normal"/>
        <w:widowControl w:val="false"/>
        <w:spacing w:lineRule="auto" w:line="240" w:before="25" w:after="60"/>
        <w:jc w:val="center"/>
        <w:rPr>
          <w:rFonts w:ascii="Times New Roman" w:hAnsi="Times New Roman" w:eastAsia="Times New Roman" w:cs="Times New Roman"/>
          <w:b/>
          <w:b/>
          <w:lang w:eastAsia="ru-RU"/>
        </w:rPr>
      </w:pPr>
      <w:r>
        <w:rPr>
          <w:rFonts w:eastAsia="Times New Roman" w:cs="Times New Roman" w:ascii="Times New Roman" w:hAnsi="Times New Roman"/>
          <w:b/>
          <w:lang w:eastAsia="ru-RU"/>
        </w:rPr>
        <w:t>на передачу программного обеспечения</w:t>
      </w:r>
    </w:p>
    <w:p>
      <w:pPr>
        <w:pStyle w:val="Style27"/>
        <w:widowControl w:val="false"/>
        <w:suppressAutoHyphens w:val="true"/>
        <w:spacing w:lineRule="auto" w:before="0" w:after="0"/>
        <w:ind w:left="0" w:right="-1" w:hanging="0"/>
        <w:contextualSpacing/>
        <w:jc w:val="center"/>
        <w:rPr>
          <w:rFonts w:ascii="Times New Roman" w:hAnsi="Times New Roman" w:eastAsia="Times New Roman" w:cs="Times New Roman"/>
          <w:b/>
          <w:b/>
          <w:lang w:eastAsia="ru-RU"/>
        </w:rPr>
      </w:pPr>
      <w:r>
        <w:rPr>
          <w:rFonts w:eastAsia="Times New Roman" w:cs="Times New Roman" w:ascii="Times New Roman" w:hAnsi="Times New Roman"/>
          <w:b/>
          <w:bCs/>
          <w:w w:val="105"/>
          <w:sz w:val="22"/>
          <w:szCs w:val="22"/>
          <w:lang w:eastAsia="ru-RU"/>
        </w:rPr>
        <w:t xml:space="preserve"> </w:t>
      </w:r>
      <w:r>
        <w:rPr>
          <w:rFonts w:eastAsia="Times New Roman" w:cs="Times New Roman" w:ascii="Times New Roman" w:hAnsi="Times New Roman"/>
          <w:b/>
          <w:bCs/>
          <w:w w:val="105"/>
          <w:sz w:val="22"/>
          <w:szCs w:val="22"/>
          <w:lang w:eastAsia="ru-RU"/>
        </w:rPr>
        <w:t xml:space="preserve">ИКЗ: </w:t>
      </w:r>
      <w:r>
        <w:rPr>
          <w:rFonts w:eastAsia="Times New Roman" w:cs="Times New Roman" w:ascii="Times New Roman" w:hAnsi="Times New Roman"/>
          <w:b/>
          <w:bCs/>
          <w:i w:val="false"/>
          <w:caps w:val="false"/>
          <w:smallCaps w:val="false"/>
          <w:color w:val="000000"/>
          <w:spacing w:val="0"/>
          <w:w w:val="105"/>
          <w:sz w:val="22"/>
          <w:szCs w:val="22"/>
          <w:lang w:eastAsia="ru-RU"/>
        </w:rPr>
        <w:t>26 1 4205077474 420501001 0039 000 0000 244</w:t>
      </w:r>
      <w:r>
        <w:rPr>
          <w:rFonts w:eastAsia="Times New Roman" w:cs="Times New Roman" w:ascii="Times New Roman" w:hAnsi="Times New Roman"/>
          <w:b/>
          <w:bCs/>
          <w:spacing w:val="0"/>
          <w:w w:val="105"/>
          <w:sz w:val="22"/>
          <w:szCs w:val="22"/>
          <w:lang w:eastAsia="ru-RU"/>
        </w:rPr>
        <w:t xml:space="preserve"> </w:t>
      </w:r>
    </w:p>
    <w:p>
      <w:pPr>
        <w:pStyle w:val="Normal"/>
        <w:widowControl w:val="false"/>
        <w:spacing w:lineRule="auto" w:line="240" w:before="25" w:after="60"/>
        <w:jc w:val="both"/>
        <w:rPr>
          <w:rFonts w:ascii="Times New Roman" w:hAnsi="Times New Roman" w:eastAsia="Times New Roman" w:cs="Times New Roman"/>
          <w:b/>
          <w:b/>
          <w:lang w:eastAsia="ru-RU"/>
        </w:rPr>
      </w:pPr>
      <w:r>
        <w:rPr>
          <w:rFonts w:eastAsia="Times New Roman" w:cs="Times New Roman" w:ascii="Times New Roman" w:hAnsi="Times New Roman"/>
          <w:b/>
          <w:lang w:eastAsia="ru-RU"/>
        </w:rPr>
        <w:tab/>
        <w:tab/>
        <w:tab/>
        <w:tab/>
        <w:tab/>
        <w:tab/>
        <w:t xml:space="preserve">                                 «___»_____________2026г.</w:t>
      </w:r>
    </w:p>
    <w:p>
      <w:pPr>
        <w:pStyle w:val="Normal"/>
        <w:widowControl w:val="false"/>
        <w:spacing w:lineRule="auto" w:line="240" w:before="25" w:after="60"/>
        <w:ind w:firstLine="709"/>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25" w:after="60"/>
        <w:ind w:firstLine="709"/>
        <w:jc w:val="both"/>
        <w:rPr>
          <w:rFonts w:ascii="Times New Roman" w:hAnsi="Times New Roman" w:eastAsia="Times New Roman" w:cs="Times New Roman"/>
          <w:lang w:eastAsia="ru-RU"/>
        </w:rPr>
      </w:pPr>
      <w:r>
        <w:rPr>
          <w:rFonts w:eastAsia="Times New Roman" w:cs="Times New Roman" w:ascii="Times New Roman" w:hAnsi="Times New Roman"/>
          <w:u w:val="single"/>
          <w:lang w:eastAsia="ru-RU"/>
        </w:rPr>
        <w:t xml:space="preserve">                                                                                                                                                                              </w:t>
      </w:r>
      <w:r>
        <w:rPr>
          <w:rFonts w:eastAsia="Times New Roman" w:cs="Times New Roman" w:ascii="Times New Roman" w:hAnsi="Times New Roman"/>
          <w:lang w:eastAsia="ru-RU"/>
        </w:rPr>
        <w:t xml:space="preserve">, в лице </w:t>
      </w:r>
      <w:r>
        <w:rPr>
          <w:rFonts w:eastAsia="Times New Roman" w:cs="Times New Roman" w:ascii="Times New Roman" w:hAnsi="Times New Roman"/>
          <w:u w:val="single"/>
          <w:lang w:eastAsia="ru-RU"/>
        </w:rPr>
        <w:t xml:space="preserve">                                                                                                                                                         </w:t>
      </w:r>
      <w:r>
        <w:rPr>
          <w:rFonts w:eastAsia="Times New Roman" w:cs="Times New Roman" w:ascii="Times New Roman" w:hAnsi="Times New Roman"/>
          <w:lang w:eastAsia="ru-RU"/>
        </w:rPr>
        <w:t>, с одной стороны, и</w:t>
      </w:r>
      <w:r>
        <w:rPr>
          <w:rFonts w:cs="Times New Roman" w:ascii="Times New Roman" w:hAnsi="Times New Roman"/>
          <w:b/>
          <w:lang w:eastAsia="ru-RU"/>
        </w:rPr>
        <w:t xml:space="preserve"> </w:t>
      </w:r>
      <w:r>
        <w:rPr>
          <w:rFonts w:cs="Times New Roman" w:ascii="Times New Roman" w:hAnsi="Times New Roman"/>
          <w:lang w:bidi="ru-RU"/>
        </w:rPr>
        <w:t>Главное управление Фед</w:t>
      </w:r>
      <w:r>
        <w:rPr>
          <w:rFonts w:cs="Times New Roman" w:ascii="Times New Roman" w:hAnsi="Times New Roman"/>
          <w:shd w:fill="FFFFFF" w:val="clear"/>
          <w:lang w:bidi="ru-RU"/>
        </w:rPr>
        <w:t xml:space="preserve">еральной службы судебных приставов по Кемеровской  области - Кузбассу, в лице </w:t>
      </w:r>
      <w:r>
        <w:rPr>
          <w:rFonts w:cs="Times New Roman" w:ascii="Times New Roman" w:hAnsi="Times New Roman"/>
          <w:bCs/>
          <w:shd w:fill="FFFFFF" w:val="clear"/>
          <w:lang w:bidi="ru-RU"/>
        </w:rPr>
        <w:t>заместителя руководителя Главного управления Федеральной службы судебных приставов по Кемеровской области – Кузбассу – заместителя главного судебного пристава Кемеровской области – Кузбасса Щербаковой Екатерины Алексеевны</w:t>
      </w:r>
      <w:r>
        <w:rPr>
          <w:rFonts w:cs="Times New Roman" w:ascii="Times New Roman" w:hAnsi="Times New Roman"/>
          <w:shd w:fill="FFFFFF" w:val="clear"/>
          <w:lang w:bidi="ru-RU"/>
        </w:rPr>
        <w:t xml:space="preserve">, действующего на основании </w:t>
      </w:r>
      <w:r>
        <w:rPr>
          <w:rFonts w:cs="Times New Roman" w:ascii="Times New Roman" w:hAnsi="Times New Roman"/>
          <w:bCs/>
          <w:shd w:fill="FFFFFF" w:val="clear"/>
          <w:lang w:bidi="ru-RU"/>
        </w:rPr>
        <w:t>доверенности от 02.04.2026 № Д-42907/26/46</w:t>
      </w:r>
      <w:r>
        <w:rPr>
          <w:rFonts w:eastAsia="Times New Roman" w:cs="Times New Roman" w:ascii="Times New Roman" w:hAnsi="Times New Roman"/>
          <w:shd w:fill="FFFFFF" w:val="clear"/>
          <w:lang w:eastAsia="ru-RU"/>
        </w:rPr>
        <w:t>, именуемое в дальнейшем "Сублицензиат", с другой ст</w:t>
      </w:r>
      <w:r>
        <w:rPr>
          <w:rFonts w:eastAsia="Times New Roman" w:cs="Times New Roman" w:ascii="Times New Roman" w:hAnsi="Times New Roman"/>
          <w:sz w:val="22"/>
          <w:szCs w:val="22"/>
          <w:shd w:fill="FFFFFF" w:val="clear"/>
          <w:lang w:eastAsia="ru-RU"/>
        </w:rPr>
        <w:t>ороны, в соответствии с п.4 п.1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cs="Times New Roman" w:ascii="Times New Roman" w:hAnsi="Times New Roman"/>
          <w:b/>
          <w:bCs/>
          <w:sz w:val="22"/>
          <w:szCs w:val="22"/>
          <w:shd w:fill="FFFFFF" w:val="clear"/>
          <w:lang w:eastAsia="ru-RU"/>
        </w:rPr>
        <w:t xml:space="preserve"> </w:t>
      </w:r>
      <w:r>
        <w:rPr>
          <w:rFonts w:eastAsia="Times New Roman" w:cs="Times New Roman" w:ascii="Times New Roman" w:hAnsi="Times New Roman"/>
          <w:sz w:val="22"/>
          <w:szCs w:val="22"/>
          <w:shd w:fill="FFFFFF" w:val="clear"/>
          <w:lang w:eastAsia="ru-RU"/>
        </w:rPr>
        <w:t>заключили настоящий Договор о нижеследующем:</w:t>
      </w:r>
    </w:p>
    <w:p>
      <w:pPr>
        <w:pStyle w:val="Normal"/>
        <w:widowControl w:val="false"/>
        <w:spacing w:lineRule="auto" w:line="240" w:before="25" w:after="60"/>
        <w:ind w:firstLine="709"/>
        <w:jc w:val="both"/>
        <w:rPr>
          <w:rFonts w:ascii="Times New Roman" w:hAnsi="Times New Roman" w:cs="Times New Roman"/>
        </w:rPr>
      </w:pPr>
      <w:r>
        <w:rPr>
          <w:rFonts w:cs="Times New Roman" w:ascii="Times New Roman" w:hAnsi="Times New Roman"/>
        </w:rPr>
      </w:r>
    </w:p>
    <w:p>
      <w:pPr>
        <w:pStyle w:val="Normal"/>
        <w:widowControl w:val="false"/>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14:ligatures w14:val="standardContextual"/>
        </w:rPr>
      </w:pPr>
      <w:r>
        <w:rPr>
          <w:rFonts w:eastAsia="Times New Roman" w:cs="Times New Roman" w:ascii="Times New Roman" w:hAnsi="Times New Roman"/>
          <w:b/>
          <w14:ligatures w14:val="standardContextual"/>
        </w:rPr>
        <w:t>ТЕРМИНЫ И ОПРЕДЕЛЕНИЯ</w:t>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«Программный продукт» – программы для электронных вычислительных машин (ЭВМ), включая документацию в электронном виде, которые являются объектом гражданских прав и охраняются законом.</w:t>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«Правообладатель» – обладатель исключительного права на Программный продукт в значении, установленном ч.1 ст. 1229 Гражданского кодекса РФ.</w:t>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«Лицензионное соглашение правообладателя с конечным пользователем» – соглашение, декларируемое каждым отдельным Правообладателем программы для ЭВМ в одностороннем порядке и принимаемое конечным пользователем (Сублицензиатом по настоящему договору) в момент начала использования Программного продукта способом, предусмотренным таким Правообладателем. «Лицензионное соглашение с конечным пользователем» включено в Программный продукт (появляется при инсталляции) и/или опубликовано на официальном сайте соответствующего Правообладателя.</w:t>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«Простая (неисключительная) лицензия» – </w:t>
      </w:r>
      <w:r>
        <w:rPr>
          <w:rFonts w:eastAsia="Times New Roman" w:cs="Times New Roman" w:ascii="Times New Roman" w:hAnsi="Times New Roman"/>
          <w:lang w:eastAsia="ru-RU"/>
        </w:rPr>
        <w:t xml:space="preserve">неисключительные права на использование Программных продуктов </w:t>
      </w:r>
      <w:r>
        <w:rPr>
          <w:rFonts w:eastAsia="Calibri" w:cs="Times New Roman" w:ascii="Times New Roman" w:hAnsi="Times New Roman"/>
        </w:rPr>
        <w:t>Сублицензиатом, перечисленные в настоящем договоре и приложениях к нему, способами, предусмотренными настоящим договором, «Лицензионным соглашением правообладателя с конечным пользователем».</w:t>
      </w:r>
    </w:p>
    <w:p>
      <w:pPr>
        <w:pStyle w:val="Normal"/>
        <w:widowControl w:val="false"/>
        <w:numPr>
          <w:ilvl w:val="0"/>
          <w:numId w:val="1"/>
        </w:numPr>
        <w:tabs>
          <w:tab w:val="left" w:pos="0" w:leader="none"/>
          <w:tab w:val="left" w:pos="284" w:leader="none"/>
        </w:tabs>
        <w:spacing w:lineRule="auto" w:line="240" w:before="0" w:after="0"/>
        <w:jc w:val="center"/>
        <w:outlineLvl w:val="2"/>
        <w:rPr>
          <w:rFonts w:ascii="Times New Roman" w:hAnsi="Times New Roman" w:eastAsia="Times New Roman" w:cs="Times New Roman"/>
          <w:b/>
          <w:b/>
          <w:lang w:eastAsia="ru-RU"/>
        </w:rPr>
      </w:pPr>
      <w:r>
        <w:rPr>
          <w:rFonts w:eastAsia="Times New Roman" w:cs="Times New Roman" w:ascii="Times New Roman" w:hAnsi="Times New Roman"/>
          <w:b/>
          <w:lang w:eastAsia="ru-RU"/>
        </w:rPr>
        <w:t>ПРЕДМЕТ ДОГОВОРА</w:t>
      </w:r>
    </w:p>
    <w:p>
      <w:pPr>
        <w:pStyle w:val="Normal"/>
        <w:widowControl w:val="false"/>
        <w:numPr>
          <w:ilvl w:val="1"/>
          <w:numId w:val="1"/>
        </w:numPr>
        <w:tabs>
          <w:tab w:val="left" w:pos="0" w:leader="none"/>
          <w:tab w:val="left" w:pos="284" w:leader="none"/>
        </w:tabs>
        <w:spacing w:lineRule="auto" w:line="240" w:before="0" w:after="0"/>
        <w:ind w:left="357" w:hanging="357"/>
        <w:jc w:val="both"/>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Лицензиат, </w:t>
      </w:r>
      <w:r>
        <w:rPr>
          <w:rFonts w:eastAsia="Calibri" w:cs="Times New Roman" w:ascii="Times New Roman" w:hAnsi="Times New Roman"/>
          <w:lang w:eastAsia="ru-RU"/>
        </w:rPr>
        <w:t>имея соответствующие полномочия от правообладателя,</w:t>
      </w:r>
      <w:r>
        <w:rPr>
          <w:rFonts w:eastAsia="Times New Roman" w:cs="Times New Roman" w:ascii="Times New Roman" w:hAnsi="Times New Roman"/>
          <w:lang w:eastAsia="ru-RU"/>
        </w:rPr>
        <w:t xml:space="preserve"> обязуется предоставить Сублицензиату за вознаграждение неисключительные права на использование Программных продуктов (простые (неисключительные) лицензии), </w:t>
      </w:r>
      <w:r>
        <w:rPr>
          <w:rFonts w:eastAsia="Calibri" w:cs="Times New Roman" w:ascii="Times New Roman" w:hAnsi="Times New Roman"/>
          <w:lang w:eastAsia="ru-RU"/>
        </w:rPr>
        <w:t>а Сублицензиат обязуется принять такие права и оплатить вознаграждение на условиях настоящего договора</w:t>
      </w:r>
      <w:r>
        <w:rPr>
          <w:rFonts w:eastAsia="Times New Roman" w:cs="Times New Roman" w:ascii="Times New Roman" w:hAnsi="Times New Roman"/>
          <w:lang w:eastAsia="ru-RU"/>
        </w:rPr>
        <w:t xml:space="preserve">. </w:t>
      </w:r>
    </w:p>
    <w:p>
      <w:pPr>
        <w:pStyle w:val="Normal"/>
        <w:widowControl w:val="false"/>
        <w:numPr>
          <w:ilvl w:val="1"/>
          <w:numId w:val="1"/>
        </w:numPr>
        <w:tabs>
          <w:tab w:val="left" w:pos="0" w:leader="none"/>
          <w:tab w:val="left" w:pos="284" w:leader="none"/>
        </w:tabs>
        <w:spacing w:lineRule="auto" w:line="240" w:before="0" w:after="0"/>
        <w:ind w:left="357" w:hanging="357"/>
        <w:jc w:val="both"/>
        <w:rPr>
          <w:rFonts w:ascii="Times New Roman" w:hAnsi="Times New Roman" w:eastAsia="Calibri" w:cs="Times New Roman"/>
        </w:rPr>
      </w:pPr>
      <w:r>
        <w:rPr>
          <w:rFonts w:eastAsia="Calibri" w:cs="Times New Roman" w:ascii="Times New Roman" w:hAnsi="Times New Roman"/>
        </w:rPr>
        <w:t>Наименование, количество Программных продуктов, размер вознаграждения за передачу неисключительных прав на Программные продукты, срок действия таких прав стороны согласуют в Спецификации (Приложение №1), которая является неотъемлемой частью настоящего договора.</w:t>
      </w:r>
    </w:p>
    <w:p>
      <w:pPr>
        <w:pStyle w:val="Normal"/>
        <w:widowControl w:val="false"/>
        <w:numPr>
          <w:ilvl w:val="0"/>
          <w:numId w:val="0"/>
        </w:numPr>
        <w:tabs>
          <w:tab w:val="left" w:pos="0" w:leader="none"/>
          <w:tab w:val="left" w:pos="284" w:leader="none"/>
        </w:tabs>
        <w:spacing w:lineRule="auto" w:line="240" w:before="0" w:after="0"/>
        <w:ind w:left="357" w:hanging="0"/>
        <w:jc w:val="both"/>
        <w:rPr>
          <w:rFonts w:ascii="Times New Roman" w:hAnsi="Times New Roman" w:eastAsia="Calibri" w:cs="Times New Roman"/>
        </w:rPr>
      </w:pPr>
      <w:r>
        <w:rPr>
          <w:rFonts w:eastAsia="Calibri" w:cs="Times New Roman" w:ascii="Times New Roman" w:hAnsi="Times New Roman"/>
        </w:rPr>
      </w:r>
    </w:p>
    <w:p>
      <w:pPr>
        <w:pStyle w:val="Normal"/>
        <w:widowControl w:val="false"/>
        <w:numPr>
          <w:ilvl w:val="0"/>
          <w:numId w:val="1"/>
        </w:numPr>
        <w:tabs>
          <w:tab w:val="left" w:pos="0" w:leader="none"/>
          <w:tab w:val="left" w:pos="284" w:leader="none"/>
        </w:tabs>
        <w:spacing w:lineRule="auto" w:line="240" w:before="0" w:after="0"/>
        <w:jc w:val="center"/>
        <w:outlineLvl w:val="2"/>
        <w:rPr>
          <w:rFonts w:ascii="Times New Roman" w:hAnsi="Times New Roman" w:eastAsia="Times New Roman" w:cs="Times New Roman"/>
          <w:b/>
          <w:b/>
          <w:lang w:eastAsia="ru-RU"/>
        </w:rPr>
      </w:pPr>
      <w:r>
        <w:rPr>
          <w:rFonts w:eastAsia="Times New Roman" w:cs="Times New Roman" w:ascii="Times New Roman" w:hAnsi="Times New Roman"/>
          <w:b/>
          <w:lang w:eastAsia="ru-RU"/>
        </w:rPr>
        <w:t>ЦЕНА ДОГОВОРА И ПОРЯДОК ОПЛАТЫ</w:t>
      </w:r>
    </w:p>
    <w:p>
      <w:pPr>
        <w:pStyle w:val="Normal"/>
        <w:widowControl w:val="false"/>
        <w:numPr>
          <w:ilvl w:val="1"/>
          <w:numId w:val="1"/>
        </w:numPr>
        <w:tabs>
          <w:tab w:val="left" w:pos="0" w:leader="none"/>
          <w:tab w:val="left" w:pos="284" w:leader="none"/>
        </w:tabs>
        <w:spacing w:lineRule="auto" w:line="240" w:before="0" w:after="0"/>
        <w:ind w:left="357" w:hanging="357"/>
        <w:jc w:val="both"/>
        <w:rPr>
          <w:rFonts w:ascii="Times New Roman" w:hAnsi="Times New Roman" w:eastAsia="Calibri" w:cs="Times New Roman"/>
        </w:rPr>
      </w:pPr>
      <w:r>
        <w:rPr>
          <w:rFonts w:eastAsia="Times New Roman" w:cs="Times New Roman" w:ascii="Times New Roman" w:hAnsi="Times New Roman"/>
          <w:lang w:eastAsia="ru-RU"/>
        </w:rPr>
        <w:t xml:space="preserve">Цена за простые (неисключительные) лицензии по настоящему договору согласована сторонами в Спецификации (Приложение № 1) и составляет 5 609 (Пять тысяч шестьсот девять) руб. 36 коп., НДС не облагается на основании п.п. 26 пункта 2 статьи 149 главы 21 Налогового кодекса Российской Федерации. Цена договора является твердой и определяется на весь срок исполнения договора, за исключение случаев, предусмотренных </w:t>
      </w:r>
      <w:r>
        <w:rPr>
          <w:rFonts w:eastAsia="Times New Roman" w:cs="Times New Roman" w:ascii="Times New Roman" w:hAnsi="Times New Roman"/>
          <w:b w:val="false"/>
          <w:bCs w:val="false"/>
          <w:color w:val="000000"/>
          <w:kern w:val="0"/>
          <w:sz w:val="22"/>
          <w:szCs w:val="22"/>
          <w:highlight w:val="white"/>
          <w:lang w:val="ru-RU" w:eastAsia="ar-SA" w:bidi="ar-SA"/>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настоящим договором. </w:t>
      </w:r>
      <w:r>
        <w:rPr>
          <w:rFonts w:eastAsia="Times New Roman" w:cs="Times New Roman" w:ascii="Times New Roman" w:hAnsi="Times New Roman"/>
          <w:b w:val="false"/>
          <w:bCs w:val="false"/>
          <w:color w:val="000000"/>
          <w:kern w:val="0"/>
          <w:sz w:val="22"/>
          <w:szCs w:val="22"/>
          <w:highlight w:val="white"/>
          <w:lang w:val="ru-RU" w:eastAsia="ru-RU" w:bidi="ar-SA"/>
        </w:rPr>
        <w:t>Цена Договора включает в себя стоимость программных продуктов, расходы, связанные с доставкой, стоимость упаковки, маркировки, страхование, таможенные платежи (пошлины), НДС, другие установленные налоги, сборы и иные расходы, связанные с исполнением Договора.</w:t>
      </w:r>
    </w:p>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2.2. Оплата по настоящему договору производится Сублицензиатом, в течение 10 (десяти) рабочих дней с даты передачи прав на основании подписанного сторонами универсального передаточного документа (УПД) и счета Лицензиата</w:t>
      </w:r>
      <w:r>
        <w:rPr>
          <w:rFonts w:eastAsia="Times New Roman" w:cs="Times New Roman" w:ascii="Times New Roman" w:hAnsi="Times New Roman"/>
          <w:bCs/>
          <w:lang w:eastAsia="ru-RU"/>
        </w:rPr>
        <w:t xml:space="preserve"> </w:t>
      </w:r>
      <w:r>
        <w:rPr>
          <w:rFonts w:eastAsia="Times New Roman" w:cs="Times New Roman" w:ascii="Times New Roman" w:hAnsi="Times New Roman"/>
          <w:b w:val="false"/>
          <w:bCs w:val="false"/>
          <w:color w:val="000000"/>
          <w:sz w:val="22"/>
          <w:szCs w:val="22"/>
          <w:lang w:eastAsia="ru-RU"/>
        </w:rPr>
        <w:t>за счет средств федерального бюджета в пределах лимитов бюджетных обязательств на 2026 год</w:t>
      </w:r>
      <w:r>
        <w:rPr>
          <w:rFonts w:eastAsia="Times New Roman" w:cs="Times New Roman" w:ascii="Times New Roman" w:hAnsi="Times New Roman"/>
          <w:b w:val="false"/>
          <w:bCs w:val="false"/>
          <w:sz w:val="22"/>
          <w:szCs w:val="22"/>
          <w:lang w:eastAsia="ru-RU"/>
        </w:rPr>
        <w:t>.</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bCs/>
          <w:iCs/>
          <w:lang w:eastAsia="ru-RU"/>
          <w14:ligatures w14:val="standardContextual"/>
        </w:rPr>
      </w:pPr>
      <w:r>
        <w:rPr>
          <w:rFonts w:eastAsia="Times New Roman" w:cs="Times New Roman" w:ascii="Times New Roman" w:hAnsi="Times New Roman"/>
          <w14:ligatures w14:val="standardContextual"/>
        </w:rPr>
        <w:t xml:space="preserve">2.3. Оплата по договору производится Сублицензиатом в форме безналичного расчета путем перечисления денежных средств на расчетный счет Лицензиата, указанный в настоящем договоре. </w:t>
      </w:r>
      <w:r>
        <w:rPr>
          <w:rFonts w:eastAsia="Times New Roman" w:cs="Times New Roman" w:ascii="Times New Roman" w:hAnsi="Times New Roman"/>
          <w:bCs/>
          <w:iCs/>
          <w:lang w:eastAsia="ru-RU"/>
          <w14:ligatures w14:val="standardContextual"/>
        </w:rPr>
        <w:t>Моментом исполнения обязательства по оплате считается дата поступления денежных средств на расчетный счет Лицензиата.</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bCs/>
          <w:iCs/>
          <w:lang w:eastAsia="ru-RU"/>
          <w14:ligatures w14:val="standardContextual"/>
        </w:rPr>
      </w:pPr>
      <w:r>
        <w:rPr>
          <w:rFonts w:eastAsia="Times New Roman" w:cs="Times New Roman" w:ascii="Times New Roman" w:hAnsi="Times New Roman"/>
          <w:bCs/>
          <w:iCs/>
          <w:lang w:eastAsia="ru-RU"/>
          <w14:ligatures w14:val="standardContextual"/>
        </w:rPr>
        <w:t>2.4. Сублицензиат</w:t>
      </w:r>
      <w:r>
        <w:rPr>
          <w:rFonts w:eastAsia="Times New Roman" w:cs="Times New Roman" w:ascii="Times New Roman" w:hAnsi="Times New Roman"/>
          <w:bCs/>
          <w:iCs/>
          <w:sz w:val="22"/>
          <w:szCs w:val="22"/>
          <w:lang w:eastAsia="ru-RU"/>
          <w14:ligatures w14:val="standardContextual"/>
        </w:rPr>
        <w:t xml:space="preserve">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Сублицензиатом.</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bCs/>
          <w:iCs/>
          <w:lang w:eastAsia="ru-RU"/>
          <w14:ligatures w14:val="standardContextual"/>
        </w:rPr>
      </w:pPr>
      <w:r>
        <w:rPr>
          <w:rFonts w:eastAsia="Times New Roman" w:cs="Times New Roman" w:ascii="Times New Roman" w:hAnsi="Times New Roman"/>
          <w:bCs/>
          <w:iCs/>
          <w:lang w:eastAsia="ru-RU"/>
          <w14:ligatures w14:val="standardContextual"/>
        </w:rPr>
      </w:r>
    </w:p>
    <w:p>
      <w:pPr>
        <w:pStyle w:val="Normal"/>
        <w:widowControl w:val="false"/>
        <w:numPr>
          <w:ilvl w:val="0"/>
          <w:numId w:val="1"/>
        </w:numPr>
        <w:shd w:val="clear" w:color="auto" w:fill="FFFFFF"/>
        <w:tabs>
          <w:tab w:val="left" w:pos="0" w:leader="none"/>
          <w:tab w:val="left" w:pos="284"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ascii="Times New Roman" w:hAnsi="Times New Roman"/>
          <w:b/>
          <w:lang w:eastAsia="ru-RU"/>
        </w:rPr>
        <w:t>ПОРЯДОК ПЕРЕДАЧИ И ИСПОЛЬЗОВАНИЯ НЕИСКЛЮЧИТЕЛЬНЫХ ПРАВ</w:t>
      </w:r>
    </w:p>
    <w:p>
      <w:pPr>
        <w:pStyle w:val="Normal"/>
        <w:widowControl w:val="false"/>
        <w:numPr>
          <w:ilvl w:val="1"/>
          <w:numId w:val="1"/>
        </w:numPr>
        <w:shd w:val="clear" w:color="auto" w:fill="FFFFFF"/>
        <w:tabs>
          <w:tab w:val="left" w:pos="0" w:leader="none"/>
          <w:tab w:val="left" w:pos="284" w:leader="none"/>
          <w:tab w:val="left" w:pos="426" w:leader="none"/>
        </w:tabs>
        <w:spacing w:lineRule="auto" w:line="240" w:before="0" w:after="0"/>
        <w:ind w:left="357" w:hanging="357"/>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Сублицензиату неисключительных прав на использование Программных продуктов (простые (неисключительные) лицензии) осуществляется Лицензиатом в течение 20 (Двадцати) рабочих с даты заключения настоящего договора.</w:t>
      </w:r>
    </w:p>
    <w:p>
      <w:pPr>
        <w:pStyle w:val="Normal"/>
        <w:widowControl w:val="false"/>
        <w:numPr>
          <w:ilvl w:val="1"/>
          <w:numId w:val="1"/>
        </w:numPr>
        <w:shd w:val="clear" w:color="auto" w:fill="FFFFFF"/>
        <w:tabs>
          <w:tab w:val="left" w:pos="0" w:leader="none"/>
          <w:tab w:val="left" w:pos="284" w:leader="none"/>
          <w:tab w:val="left" w:pos="426" w:leader="none"/>
        </w:tabs>
        <w:spacing w:lineRule="auto" w:line="240" w:before="0" w:after="0"/>
        <w:ind w:left="357" w:hanging="357"/>
        <w:jc w:val="both"/>
        <w:rPr>
          <w:rFonts w:ascii="Times New Roman" w:hAnsi="Times New Roman" w:eastAsia="Times New Roman" w:cs="Times New Roman"/>
          <w:lang w:eastAsia="ru-RU"/>
        </w:rPr>
      </w:pPr>
      <w:r>
        <w:rPr>
          <w:rFonts w:eastAsia="Times New Roman" w:cs="Times New Roman" w:ascii="Times New Roman" w:hAnsi="Times New Roman"/>
          <w:lang w:eastAsia="ru-RU"/>
        </w:rPr>
        <w:t>Передача Сублицензиату простых неисключительных лицензий Лицензиатом осуществляется одним из следующих способов:</w:t>
      </w:r>
    </w:p>
    <w:p>
      <w:pPr>
        <w:pStyle w:val="Normal"/>
        <w:widowControl w:val="false"/>
        <w:shd w:val="clear" w:color="auto" w:fill="FFFFFF"/>
        <w:tabs>
          <w:tab w:val="left" w:pos="0" w:leader="none"/>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в электронной форме по каналам электронной связи (по электронной почте, указанной в настоящем договоре) и/или путем предоставления информации, необходимой для загрузки экземпляра Программного продукта и/или Сертификата с официального интернет-сайта Правообладателя (или уполномоченного им лица);</w:t>
      </w:r>
    </w:p>
    <w:p>
      <w:pPr>
        <w:pStyle w:val="Normal"/>
        <w:widowControl w:val="false"/>
        <w:shd w:val="clear" w:color="auto" w:fill="FFFFFF"/>
        <w:tabs>
          <w:tab w:val="left" w:pos="0" w:leader="none"/>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путем передачи материального носителя Сублицензиату по месту нахождения Сублицензиата.</w:t>
      </w:r>
    </w:p>
    <w:p>
      <w:pPr>
        <w:pStyle w:val="Normal"/>
        <w:widowControl w:val="false"/>
        <w:shd w:val="clear" w:color="auto" w:fill="FFFFFF"/>
        <w:tabs>
          <w:tab w:val="left" w:pos="0" w:leader="none"/>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3.3.</w:t>
        <w:tab/>
        <w:t xml:space="preserve">Передача неисключительных прав на использование Программных продуктов (простые (неисключительные) лицензии) осуществляется сторонами договора на основании универсального передаточного документа (УПД), который составляется Лицензиатом и передается Сублицензиату на бумажном носителе. Сублицензиат обязан принять неисключительные права, подписать и вернуть УПД на бумажном носителе Лицензиату в течение 2 (двух) рабочих дней с момента их передачи либо в тот же срок направить Лицензиату письменный мотивированный отказ от приемки неисключительных прав. </w:t>
      </w:r>
    </w:p>
    <w:p>
      <w:pPr>
        <w:pStyle w:val="Normal"/>
        <w:widowControl w:val="false"/>
        <w:shd w:val="clear" w:color="auto" w:fill="FFFFFF"/>
        <w:tabs>
          <w:tab w:val="left" w:pos="0" w:leader="none"/>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3.4.</w:t>
        <w:tab/>
        <w:t xml:space="preserve">В случае неполучения Лицензиатом подписанного со стороны Сублицензиата УПД, не предоставления мотивированного отказа от приемки в срок, установленный п.3.3. договора, простая неисключительная лицензия считается переданной Лицензиатом и принятой Сублицензиатом должным образом, вознаграждение за передачу прав по договору подлежит оплате в полном объеме. </w:t>
      </w:r>
    </w:p>
    <w:p>
      <w:pPr>
        <w:pStyle w:val="Normal"/>
        <w:widowControl w:val="false"/>
        <w:shd w:val="clear" w:color="auto" w:fill="FFFFFF"/>
        <w:tabs>
          <w:tab w:val="left" w:pos="0" w:leader="none"/>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3.5. Датой исполнения Лицензиатом обязанности по передаче неисключительных прав на использование программных продуктов (простых неисключительных лицензий) считается дата подписания сторонами УПД.</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3.6.</w:t>
        <w:tab/>
        <w:t xml:space="preserve">Установка Программных продуктов на ЭВМ, права на которые ему переданы по настоящему договору на условиях простой (неисключительной) лицензии, осуществляется самостоятельно Сублицензиатом, если иное не согласовано сторонами. </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3.7.</w:t>
        <w:tab/>
        <w:t xml:space="preserve">Передача неисключительных прав на использование программных продуктов (простые неисключительные лицензии) не предполагает передачу Сублицензиату исходного текста и объектного кода программного обеспечения. Лицензиат сохраняет право выдачи простой неисключительной лицензий третьим лицам по своему усмотрению. </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3.8.</w:t>
        <w:tab/>
        <w:t>Если иное не предусмотрено Спецификацией (Приложение № 1), «Лицензионным соглашением правообладателя с конечным пользователем», Сублицензиат вправе использовать права на Программные продукты:</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в объеме и на условиях, установленных ст. 1280 Гражданского кодекса РФ,</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на территории РФ,</w:t>
      </w:r>
    </w:p>
    <w:p>
      <w:pPr>
        <w:pStyle w:val="Normal"/>
        <w:widowControl w:val="false"/>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 в течение срока действия, установленного Правообладателем.</w:t>
      </w:r>
    </w:p>
    <w:p>
      <w:pPr>
        <w:pStyle w:val="Normal"/>
        <w:numPr>
          <w:ilvl w:val="1"/>
          <w:numId w:val="3"/>
        </w:numPr>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Если применимо к конкретному Программному продукту, то Сублицензиат обязан заполнить и предоставить Лицензиату определенные формы или анкеты; в таком случае предоставление этих форм или анкет является необходимым условием передачи прав на Программный продукт.</w:t>
      </w:r>
    </w:p>
    <w:p>
      <w:pPr>
        <w:pStyle w:val="Normal"/>
        <w:numPr>
          <w:ilvl w:val="1"/>
          <w:numId w:val="3"/>
        </w:numPr>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Если применимо к конкретному Программному продукту, то одновременно с передачей прав использования такого Программного продукта Сублицензиату предоставляются (передаются) ключи доступа (активации), пароли, лицензионные сертификаты, дистрибутивы (ссылки на скачивание дистрибутивов), иная необходимая регистрационная информация.</w:t>
      </w:r>
    </w:p>
    <w:p>
      <w:pPr>
        <w:pStyle w:val="Normal"/>
        <w:widowControl w:val="false"/>
        <w:numPr>
          <w:ilvl w:val="1"/>
          <w:numId w:val="3"/>
        </w:numPr>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Сублицензиат вправе не представлять Лицензиату отчеты об использовании простой неисключительной лицензии, если иное не предусмотрено «Лицензионным соглашением правообладателя с конечным пользователем».</w:t>
      </w:r>
    </w:p>
    <w:p>
      <w:pPr>
        <w:pStyle w:val="Normal"/>
        <w:widowControl w:val="false"/>
        <w:numPr>
          <w:ilvl w:val="1"/>
          <w:numId w:val="3"/>
        </w:numPr>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Заключая договор, Сублицензиат подтверждает, что ему предоставлена полная и достоверная информация, необходимая для правильного выбора, установки, настройки Программных продуктов, неисключительные права на использование которых (простые неисключительные лицензии) передаются Сублицензиату по настоящему договору.</w:t>
      </w:r>
    </w:p>
    <w:p>
      <w:pPr>
        <w:pStyle w:val="Normal"/>
        <w:widowControl w:val="false"/>
        <w:numPr>
          <w:ilvl w:val="1"/>
          <w:numId w:val="3"/>
        </w:numPr>
        <w:shd w:val="clear" w:color="auto" w:fill="FFFFFF"/>
        <w:tabs>
          <w:tab w:val="left" w:pos="284" w:leader="none"/>
          <w:tab w:val="left" w:pos="426"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Сублицензиат обязуется соблюдать сам, а также обяжет третьих лиц, которым предоставит право использования Программных продуктов (если допустимо), приобретенных у Лицензиата по договору, соблюдать и требования соблюдения следующих условий:</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предоставлять Лицензиату, Правообладателю обязательные данные, сведения и документы, необходимые для реализации Программных продуктов (в т.ч. анкеты, заявления, списки, руководства и т.д., далее – регистрационные данные) в течение 3 (трех) рабочих дней с получения запроса Лицензиата, Правообладателя; в случае нарушения Сублицензиатом установленного настоящим пунктом порядка Лицензиат и/или Правообладатель вправе отказать в предоставлении права использования Программного продукта или изменить срок предоставления такого права в одностороннем порядке на период допущенной со стороны Сублицензиата просрочки;</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не нарушать условий лицензионной политики каждого отдельного Правообладателя, их исключительное право на соответствующие Программные продукты, в том числе и указания каждого конкретного Правообладателя в отношении запрета на распространение права использования Программных продуктов;</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незамедлительно предоставлять по запросу Лицензиата, Правообладателя информацию и документы, а также доступа к системам, на которых запускаются/используются Программные продукты, которые Лицензиат, Правообладатель обоснованно запросит в связи с проверкой;</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соблюдать санкционные и экспортные ограничения при использования Программных продуктов;</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при публикации любых рекламных или иных материалов, а также при проведении каких-либо акций или мероприятий, имеющих отношение к экземплярам и/или праву использования Программных продуктов, полученных Сублицензиатом от Лицензиата, письменно согласовывать их содержание через Лицензиата с конкретным Правообладателем;</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при обнаружении недостатков в работе Программных продуктов и/или выявлении конфликтов с какими-либо иными программами для ЭВМ предоставить такую информацию Лицензиату, а также не предоставлять доступ к такой информации никаким третьим лицам;</w:t>
      </w:r>
    </w:p>
    <w:p>
      <w:pPr>
        <w:pStyle w:val="Normal"/>
        <w:tabs>
          <w:tab w:val="left" w:pos="284" w:leader="none"/>
          <w:tab w:val="left" w:pos="426"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не комплектовать Программные продукты одних Правообладателем с Программными продуктами других Правообладателей, если только это не будет разрешено соответствующими Правообладателями в письменном виде;</w:t>
      </w:r>
    </w:p>
    <w:p>
      <w:pPr>
        <w:pStyle w:val="Normal"/>
        <w:tabs>
          <w:tab w:val="left" w:pos="284" w:leader="none"/>
          <w:tab w:val="left" w:pos="426"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не копировать, не раскрывать или иным способом не делать Программный продукт доступным третьим лицам, не переносить на какие-либо носители Программные продукты или соответствующую документацию к ним (полностью или частично), за исключением целей инсталляции (если иное не разрешено Правообладателем); при создании разрешенных копий (если разрешено Правообладателем) Сублицензиат обязан переносить на копию/копии все сведения об авторских правах или иную маркировку, имеющуюся на Программном продукте или соответствующей документации к нему;</w:t>
      </w:r>
    </w:p>
    <w:p>
      <w:pPr>
        <w:pStyle w:val="Normal"/>
        <w:tabs>
          <w:tab w:val="left" w:pos="284" w:leader="none"/>
          <w:tab w:val="left" w:pos="426"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xml:space="preserve">- не изменять, не скрывать, не удалять или не вносить какие-либо изменения в торговые марки, торговые наименования, маркировку или уведомления, нанесенные на Программные продукты, являющиеся его частью или приведенные в соответствующей документации к нему; </w:t>
      </w:r>
    </w:p>
    <w:p>
      <w:pPr>
        <w:pStyle w:val="Normal"/>
        <w:tabs>
          <w:tab w:val="left" w:pos="284" w:leader="none"/>
          <w:tab w:val="left" w:pos="426"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xml:space="preserve">- не модифицировать, не дополнять, не декомпилировать, не перекомпилировать, не дизассемблировать, не перестраивать, не подвергать инженерному анализу, не разбирать, не переводить, не адаптировать, не реорганизовывать, не исправлять ошибки или не производить какие-либо иные изменения в Программном продукте (включая в объектный и исходный текст, код) или соответствующей документации к нему; </w:t>
      </w:r>
    </w:p>
    <w:p>
      <w:pPr>
        <w:pStyle w:val="Normal"/>
        <w:tabs>
          <w:tab w:val="left" w:pos="284" w:leader="none"/>
          <w:tab w:val="left" w:pos="426"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не использовать Программный продукт или соответствующую документацию к нему в каких-либо иных целях, кроме тех, что разрешены Договором или Правообладателем;</w:t>
      </w:r>
    </w:p>
    <w:p>
      <w:pPr>
        <w:pStyle w:val="Normal"/>
        <w:tabs>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xml:space="preserve">- не комплектовать Программный продукт одного Правообладателя с Программным продуктом других Правообладателей, если только это не будет разрешено соответствующими Правообладателями в письменном виде; </w:t>
      </w:r>
    </w:p>
    <w:p>
      <w:pPr>
        <w:pStyle w:val="Normal"/>
        <w:tabs>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xml:space="preserve">-  не передавать полученные права использования Программным продуктом, включая носители и документацию, юридическим или физическим лицами, путем продажи, проката, сдачи внаем, предоставления взаймы или иными другими способами отчуждения; </w:t>
      </w:r>
    </w:p>
    <w:p>
      <w:pPr>
        <w:pStyle w:val="Normal"/>
        <w:tabs>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xml:space="preserve">- не совершать в отношении Программных продуктов какие-либо действия, нарушающие законы и иные правовые акты, действующие на территории Российской Федерации, а также нормы международного права, принятые в области правовой охраны программ для ЭВМ и баз данных. </w:t>
      </w:r>
    </w:p>
    <w:p>
      <w:pPr>
        <w:pStyle w:val="Normal"/>
        <w:numPr>
          <w:ilvl w:val="1"/>
          <w:numId w:val="3"/>
        </w:numPr>
        <w:tabs>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В случае нарушения Сублицензиатом условий п.3.13. настоящего договора, а также в случае ненадлежащего исполнения/неисполнения обязанности по оплате вознаграждения за предоставленные права, которая является встречной обязанностью Сублицензиата по настоящему договору, Лицензиат вправе в одностороннем порядке отменить предоставление прав (отозвать уже предоставленные права), направив Сублицензиату письменное извещение. </w:t>
      </w:r>
    </w:p>
    <w:p>
      <w:pPr>
        <w:pStyle w:val="Normal"/>
        <w:numPr>
          <w:ilvl w:val="1"/>
          <w:numId w:val="3"/>
        </w:numPr>
        <w:tabs>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Права на использование Программных продуктов предоставляются Сублицензиату на условиях «КАК ЕСТЬ» («AS IS»), Лицензиат не предоставляет каких-либо иных гарантий в отношении Программных продуктов и права на их использование, в том числе Лицензиат не гарантирует ненарушение прав третьих лиц такими Программными продуктами, пригодность Программных продуктов для использования в каких-либо конкретных целях, отсутствие ошибок в Программных продуктах. Дополнительные гарантии могут быть представлены в лицензионных условиях непосредственно Правообладателем. </w:t>
      </w:r>
    </w:p>
    <w:p>
      <w:pPr>
        <w:pStyle w:val="Normal"/>
        <w:numPr>
          <w:ilvl w:val="1"/>
          <w:numId w:val="3"/>
        </w:numPr>
        <w:tabs>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Сублицензиат гарантирует, что будет прилагать все необходимые усилия для защиты прав Правообладателя, Лицензиата. Сублицензиат обязуется немедленно уведомить Лицензиата обо всех известных ему случаях нарушения интеллектуальных прав Правообладателя и/или Лицензиата в отношении ПО и по требованию Правообладателя и/или Лицензиата предпринять необходимые меры для устранения допущенного нарушения и предотвращения подобных нарушений в дальнейшем. </w:t>
      </w:r>
    </w:p>
    <w:p>
      <w:pPr>
        <w:pStyle w:val="Normal"/>
        <w:numPr>
          <w:ilvl w:val="1"/>
          <w:numId w:val="3"/>
        </w:numPr>
        <w:tabs>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При наличии включенной в Программный продукт поддержки, последняя оказываться Правообладателем на условиях им определенных, при этом, Лицензиат не является лицом, оказывающим такую поддержку, и не несет какой-либо ответственности за действия (бездействия) Правообладателя и/или иного лица, оказывающего поддержку Программных продуктов. </w:t>
      </w:r>
    </w:p>
    <w:p>
      <w:pPr>
        <w:pStyle w:val="Normal"/>
        <w:numPr>
          <w:ilvl w:val="1"/>
          <w:numId w:val="3"/>
        </w:numPr>
        <w:tabs>
          <w:tab w:val="left" w:pos="284" w:leader="none"/>
        </w:tabs>
        <w:spacing w:lineRule="auto" w:line="240" w:before="0" w:after="0"/>
        <w:contextualSpacing/>
        <w:jc w:val="both"/>
        <w:rPr>
          <w:rFonts w:ascii="Times New Roman" w:hAnsi="Times New Roman" w:eastAsia="Calibri" w:cs="Times New Roman"/>
        </w:rPr>
      </w:pPr>
      <w:r>
        <w:rPr>
          <w:rFonts w:eastAsia="Calibri" w:cs="Times New Roman" w:ascii="Times New Roman" w:hAnsi="Times New Roman"/>
        </w:rPr>
        <w:t xml:space="preserve">При наличии сомнений в правомерности использования Программных продуктов или их частей Лицензиат, Правообладатель имеет право в течение срока предоставления права использования Программных продуктов проводить аудит их использования с целью проверки соблюдения условий договора, лицензионных условий, установленных Правообладателем, не ограничивая хозяйственную деятельность Сублицензиата. Сублицензиат не должен препятствовать Лицензиату, Правообладателю в проведении аудита, должен обеспечивать необходимое содействие, в частности, предоставить договоры, акты приёма-передачи прав, УПД, книги журналы, содержащие сведения об использовании предоставленных прав на использование Программных продуктов по сделкам, связанным с настоящим договором, а также доступ к техническим средствам, на которых установлены Программные продукты.  Для осуществления мер контроля надлежащего исполнения условий договора, лицензионных условий, установленных Правообладателем, Лицензиат, Правообладатель имеет право привлекать третьих лиц. </w:t>
      </w:r>
    </w:p>
    <w:p>
      <w:pPr>
        <w:pStyle w:val="Normal"/>
        <w:numPr>
          <w:ilvl w:val="1"/>
          <w:numId w:val="3"/>
        </w:numPr>
        <w:tabs>
          <w:tab w:val="left" w:pos="567" w:leader="none"/>
        </w:tabs>
        <w:spacing w:lineRule="auto" w:line="240" w:before="0" w:after="0"/>
        <w:contextualSpacing/>
        <w:jc w:val="both"/>
        <w:rPr>
          <w:rFonts w:ascii="Times New Roman" w:hAnsi="Times New Roman" w:eastAsia="Calibri" w:cs="Times New Roman"/>
          <w:color w:val="FF0000"/>
        </w:rPr>
      </w:pPr>
      <w:r>
        <w:rPr>
          <w:rFonts w:eastAsia="Calibri" w:cs="Times New Roman" w:ascii="Times New Roman" w:hAnsi="Times New Roman"/>
          <w14:ligatures w14:val="standardContextual"/>
        </w:rPr>
        <w:t>В случае уклонения от проведения аудита со стороны Сублицензиата Лицензиат оставляет за собой право в одностороннем порядке в любое время прекратить действие прав, переданных по договору.</w:t>
      </w:r>
    </w:p>
    <w:p>
      <w:pPr>
        <w:pStyle w:val="Normal"/>
        <w:widowControl w:val="false"/>
        <w:numPr>
          <w:ilvl w:val="0"/>
          <w:numId w:val="3"/>
        </w:numPr>
        <w:tabs>
          <w:tab w:val="left" w:pos="0" w:leader="none"/>
          <w:tab w:val="left" w:pos="284" w:leader="none"/>
        </w:tabs>
        <w:spacing w:lineRule="auto" w:line="240" w:before="0" w:after="0"/>
        <w:jc w:val="center"/>
        <w:outlineLvl w:val="2"/>
        <w:rPr>
          <w:rFonts w:ascii="Times New Roman" w:hAnsi="Times New Roman" w:eastAsia="Times New Roman" w:cs="Times New Roman"/>
          <w:b/>
          <w:b/>
          <w:lang w:eastAsia="ru-RU"/>
        </w:rPr>
      </w:pPr>
      <w:r>
        <w:rPr>
          <w:rFonts w:eastAsia="Times New Roman" w:cs="Times New Roman" w:ascii="Times New Roman" w:hAnsi="Times New Roman"/>
          <w:b/>
          <w:lang w:eastAsia="ru-RU"/>
        </w:rPr>
        <w:t>ГАРАНТИЯ</w:t>
      </w:r>
    </w:p>
    <w:p>
      <w:pPr>
        <w:pStyle w:val="Normal"/>
        <w:widowControl w:val="false"/>
        <w:numPr>
          <w:ilvl w:val="1"/>
          <w:numId w:val="4"/>
        </w:numPr>
        <w:shd w:val="clear" w:color="auto" w:fill="FFFFFF"/>
        <w:tabs>
          <w:tab w:val="left" w:pos="0" w:leader="none"/>
          <w:tab w:val="left" w:pos="284" w:leader="none"/>
        </w:tabs>
        <w:spacing w:lineRule="auto" w:line="240" w:before="0" w:after="0"/>
        <w:contextualSpacing/>
        <w:jc w:val="both"/>
        <w:rPr>
          <w:rFonts w:ascii="Times New Roman" w:hAnsi="Times New Roman" w:eastAsia="Calibri" w:cs="Times New Roman"/>
        </w:rPr>
      </w:pPr>
      <w:r>
        <w:rPr>
          <w:rFonts w:eastAsia="Times New Roman" w:cs="Times New Roman" w:ascii="Times New Roman" w:hAnsi="Times New Roman"/>
          <w:lang w:eastAsia="ru-RU"/>
        </w:rPr>
        <w:t xml:space="preserve">Условия гарантии неисключительных прав на использование Программных продуктов устанавливаются Правообладателем в соответствующем </w:t>
      </w:r>
      <w:r>
        <w:rPr>
          <w:rFonts w:eastAsia="Calibri" w:cs="Times New Roman" w:ascii="Times New Roman" w:hAnsi="Times New Roman"/>
        </w:rPr>
        <w:t>«Лицензионном соглашении правообладателя с конечным пользователем».</w:t>
      </w:r>
    </w:p>
    <w:p>
      <w:pPr>
        <w:pStyle w:val="Normal"/>
        <w:widowControl w:val="false"/>
        <w:numPr>
          <w:ilvl w:val="1"/>
          <w:numId w:val="4"/>
        </w:numPr>
        <w:shd w:val="clear" w:color="auto" w:fill="FFFFFF"/>
        <w:tabs>
          <w:tab w:val="left" w:pos="0" w:leader="none"/>
          <w:tab w:val="left" w:pos="284"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color w:val="000000"/>
        </w:rPr>
        <w:t xml:space="preserve">Сублицензиат при первичной установке простой неисключительной лицензии обязуется ознакомиться со всеми положениями </w:t>
      </w:r>
      <w:r>
        <w:rPr>
          <w:rFonts w:eastAsia="Calibri" w:cs="Times New Roman" w:ascii="Times New Roman" w:hAnsi="Times New Roman"/>
        </w:rPr>
        <w:t>«Л</w:t>
      </w:r>
      <w:r>
        <w:rPr>
          <w:rFonts w:eastAsia="Calibri" w:cs="Times New Roman" w:ascii="Times New Roman" w:hAnsi="Times New Roman"/>
          <w:color w:val="000000"/>
        </w:rPr>
        <w:t>ицензионного соглашения правообладателя с конечным пользователем» и выполнять его условия в полном объеме.</w:t>
      </w:r>
    </w:p>
    <w:p>
      <w:pPr>
        <w:pStyle w:val="Normal"/>
        <w:widowControl w:val="false"/>
        <w:numPr>
          <w:ilvl w:val="1"/>
          <w:numId w:val="4"/>
        </w:numPr>
        <w:shd w:val="clear" w:color="auto" w:fill="FFFFFF"/>
        <w:tabs>
          <w:tab w:val="left" w:pos="0" w:leader="none"/>
          <w:tab w:val="left" w:pos="284"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rPr>
        <w:t>Лицензиат гарантирует Сублицензиату работоспособность материального носителя, содержащего Программный продукт, если по настоящему договору передача прав на его использование осуществляется на материальном носителе, в течение 12 (двенадцати) месяцев с даты исполнения Лицензиатом обязанности по передаче неисключительных прав на использование программных продуктов согласно условиям договора (п.3.5. договора). Такая гарантия действует при условии эксплуатации материального носителя на оборудовании, соответствующем техническим требованиям, изложенным в эксплуатационной документации, «Лицензионным соглашением правообладателя с конечным пользователем», при условии отсутствия несанкционированного Правообладателем и (или) Лицензиатом вмешательства в работу Программного продукта. Устранение неисправности материального носителя производится Лицензиатом путем его замены в срок до 30 (тридцати) рабочих дней с момента получения от Сублицензиата неисправного материального носителя, письменной мотивированной претензии и подтверждения факта наличия гарантийного случая Лицензиатом и (или) правообладателем.</w:t>
      </w:r>
    </w:p>
    <w:p>
      <w:pPr>
        <w:pStyle w:val="Normal"/>
        <w:widowControl w:val="false"/>
        <w:numPr>
          <w:ilvl w:val="0"/>
          <w:numId w:val="4"/>
        </w:numPr>
        <w:tabs>
          <w:tab w:val="left" w:pos="0" w:leader="none"/>
          <w:tab w:val="left" w:pos="284" w:leader="none"/>
        </w:tabs>
        <w:spacing w:lineRule="auto" w:line="240" w:before="0" w:after="0"/>
        <w:jc w:val="center"/>
        <w:outlineLvl w:val="2"/>
        <w:rPr>
          <w:rFonts w:ascii="Times New Roman" w:hAnsi="Times New Roman" w:eastAsia="Times New Roman" w:cs="Times New Roman"/>
          <w:b/>
          <w:b/>
          <w:lang w:eastAsia="ru-RU"/>
        </w:rPr>
      </w:pPr>
      <w:r>
        <w:rPr>
          <w:rFonts w:eastAsia="Times New Roman" w:cs="Times New Roman" w:ascii="Times New Roman" w:hAnsi="Times New Roman"/>
          <w:b/>
          <w:lang w:eastAsia="ru-RU"/>
        </w:rPr>
        <w:t>ОСОБЫЕ УСЛОВИЯ. ОТВЕТСТВЕННОСТЬ СТОРОН</w:t>
      </w:r>
    </w:p>
    <w:p>
      <w:pPr>
        <w:pStyle w:val="Normal"/>
        <w:widowControl w:val="false"/>
        <w:numPr>
          <w:ilvl w:val="1"/>
          <w:numId w:val="4"/>
        </w:numPr>
        <w:tabs>
          <w:tab w:val="left" w:pos="0" w:leader="none"/>
          <w:tab w:val="left" w:pos="284" w:leader="none"/>
        </w:tabs>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t>При существенном нарушении свыше 10 (десяти) рабочих дней Сублицензиатом обязанности уплатить Лицензиату в установленный срок вознаграждение за простую неисключительную лицензию Лицензиат вправе в одностороннем порядке отказаться от договора и потребовать возмещения убытков, причиненных расторжением такого договора.</w:t>
      </w:r>
    </w:p>
    <w:p>
      <w:pPr>
        <w:pStyle w:val="Normal"/>
        <w:widowControl w:val="false"/>
        <w:numPr>
          <w:ilvl w:val="1"/>
          <w:numId w:val="4"/>
        </w:numPr>
        <w:tabs>
          <w:tab w:val="left" w:pos="0" w:leader="none"/>
          <w:tab w:val="left" w:pos="284"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За нарушение сроков уплаты вознаграждения Лицензиат вправе потребовать от Сублицензиата уплаты неустойки (пени) в размере </w:t>
      </w:r>
      <w:r>
        <w:rPr>
          <w:rFonts w:eastAsia="Calibri" w:cs="Times New Roman" w:ascii="Times New Roman" w:hAnsi="Times New Roman"/>
          <w:sz w:val="22"/>
          <w:szCs w:val="22"/>
        </w:rPr>
        <w:t xml:space="preserve">одной трехсотой действующей на дату уплаты пени ключевой ставки Центрального банка Российской Федерации </w:t>
      </w:r>
      <w:r>
        <w:rPr>
          <w:rFonts w:eastAsia="Calibri" w:cs="Times New Roman" w:ascii="Times New Roman" w:hAnsi="Times New Roman"/>
        </w:rPr>
        <w:t>от стоимости цены Договора.</w:t>
      </w:r>
    </w:p>
    <w:p>
      <w:pPr>
        <w:pStyle w:val="Normal"/>
        <w:widowControl w:val="false"/>
        <w:numPr>
          <w:ilvl w:val="1"/>
          <w:numId w:val="4"/>
        </w:numPr>
        <w:tabs>
          <w:tab w:val="left" w:pos="0" w:leader="none"/>
          <w:tab w:val="left" w:pos="284"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rPr>
        <w:t xml:space="preserve">За нарушение сроков передачи прав Сублицензиат вправе потребовать от Лицензиата уплаты неустойки (пени) в размере </w:t>
      </w:r>
      <w:r>
        <w:rPr>
          <w:rFonts w:eastAsia="Calibri" w:cs="Times New Roman" w:ascii="Times New Roman" w:hAnsi="Times New Roman"/>
          <w:sz w:val="22"/>
          <w:szCs w:val="22"/>
        </w:rPr>
        <w:t xml:space="preserve">одной трехсотой действующей на дату уплаты пени ключевой ставки Центрального банка Российской Федерации </w:t>
      </w:r>
      <w:r>
        <w:rPr>
          <w:rFonts w:eastAsia="Calibri" w:cs="Times New Roman" w:ascii="Times New Roman" w:hAnsi="Times New Roman"/>
        </w:rPr>
        <w:t>от стоимости цены Договора.</w:t>
      </w:r>
    </w:p>
    <w:p>
      <w:pPr>
        <w:pStyle w:val="Normal"/>
        <w:widowControl w:val="false"/>
        <w:numPr>
          <w:ilvl w:val="1"/>
          <w:numId w:val="4"/>
        </w:numPr>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Arial" w:cs="Times New Roman" w:ascii="Times New Roman" w:hAnsi="Times New Roman"/>
          <w14:ligatures w14:val="standardContextual"/>
        </w:rPr>
        <w:t>В случае неисполнения или ненадлежащего исполнения сторонами своих обязательств по настоящему договору, если такое нарушение не носит умышленный характер, стороны несут ответственность в соответствии с действующим законодательством и условиями настоящего договора только в части возмещения прямого (реального) ущерба, но в любом случае не более 100% вознаграждения по договору. Стороны не несут ответственности в части возмещения косвенных убытков, включая, но не ограничиваясь, таких как простой, упущенная выгода, претензии третьих лиц, связанные с исполнением настоящего договора, и прочие.</w:t>
      </w:r>
    </w:p>
    <w:p>
      <w:pPr>
        <w:pStyle w:val="Normal"/>
        <w:widowControl w:val="false"/>
        <w:numPr>
          <w:ilvl w:val="1"/>
          <w:numId w:val="4"/>
        </w:numPr>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Неустойка выплачивается только при наличии письменной претензии, предъявленной к виновной стороне.</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Уплата пени не освобождает стороны от выполнения взаимных обязательств по настоящему Договору.</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Calibri" w:cs="Times New Roman" w:ascii="Times New Roman" w:hAnsi="Times New Roman"/>
        </w:rPr>
        <w:t>Лицензиат не несет ответственности за убытки, которые могут возникнуть у Сублицензиата в результате использования Программного обеспечения.</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Calibri" w:cs="Times New Roman" w:ascii="Times New Roman" w:hAnsi="Times New Roman"/>
        </w:rPr>
        <w:t>Лицензиат не несет ответственности за неисполнение и/или ненадлежащее исполнение своих обязательств по договору, допущенное ввиду приостановления, ограничения и/или прекращения распространения Программных продуктов любого Правообладателя, связанного, в том числе, с решением самого Правообладателя по любому основанию, в т.ч. в связи со снятием с производства, завершением выпуска, модификацией, модернизацией и т.п., либо с установлением законодательством любой соответствующей юрисдикции экспортных запретов и ограничений, полностью или частично препятствующих исполнению договора. В таких случаях Лицензиат по согласованию с Сублицензиатом, имеет право в части исполнить применимую Спецификацию в отношении аналогичных Программных продуктов, либо по своему усмотрению не исполнять в соответствующей части применимую Спецификацию и осуществить возврат соответствующей суммы денежных средств Сублицензиату.</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Calibri" w:cs="Times New Roman" w:ascii="Times New Roman" w:hAnsi="Times New Roman"/>
        </w:rPr>
        <w:t>Сублицензиат несет ответственность за неисполнение или ненадлежащее исполнение санкционных и экспортных ограничений и запретов при использовании Программных продуктов перед государственными и иными уполномоченными органами. Сублицензиат обязуется возместить штрафные санкции, наложенные на Лицензиата и/или Правообладателя государственными и иными уполномоченными органами, в связи с нарушением Сублицензиатом установленных ограничений и запретов.</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Calibri" w:cs="Times New Roman" w:ascii="Times New Roman" w:hAnsi="Times New Roman"/>
        </w:rPr>
        <w:t xml:space="preserve">Подписанием договора Сублицензиат подтверждает, что он в полной мере ознакомлен и обязуется соблюдать политику лицензирования Правообладателей Программных продуктов, указанных в Спецификации к договору. </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Calibri" w:cs="Times New Roman" w:ascii="Times New Roman" w:hAnsi="Times New Roman"/>
        </w:rPr>
        <w:t xml:space="preserve">В случае нарушения Сублицензиатом авторских, исключительных и иных охраняемых законом прав правообладателя, Сублицензиат несет гражданско-правовую ответственность в соответствии с законодательством РФ. </w:t>
      </w:r>
    </w:p>
    <w:p>
      <w:pPr>
        <w:pStyle w:val="Normal"/>
        <w:widowControl w:val="false"/>
        <w:numPr>
          <w:ilvl w:val="1"/>
          <w:numId w:val="4"/>
        </w:numPr>
        <w:tabs>
          <w:tab w:val="left" w:pos="0" w:leader="none"/>
          <w:tab w:val="left" w:pos="284" w:leader="none"/>
          <w:tab w:val="left" w:pos="567" w:leader="none"/>
        </w:tabs>
        <w:spacing w:lineRule="auto" w:line="240" w:before="0" w:after="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t>Ответственность сторон в иных случаях определяется в соответствии с законодательством Российской Федерации.</w:t>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14:ligatures w14:val="standardContextual"/>
        </w:rPr>
      </w:pPr>
      <w:r>
        <w:rPr>
          <w:rFonts w:eastAsia="Times New Roman" w:cs="Times New Roman" w:ascii="Times New Roman" w:hAnsi="Times New Roman"/>
          <w:b/>
          <w14:ligatures w14:val="standardContextual"/>
        </w:rPr>
        <w:t>6.  ОБСТОЯТЕЛЬСТВА НЕПРЕОДОЛИМОЙ СИЛЫ</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6.1.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его подписания в результате событий чрезвычайного характера, прямо или косвенно препятствующих исполнению договора, то есть таких обстоятельств, которые не зависят от воли сторон и которые не исполнившая сторона не могла предвидеть в момент заключения договора и предотвратить разумными средствами при их наступлении.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6.2.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6.3. Сторона, подвергшаяся действию обстоятельств непреодолимой силы,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с приложением подтверждающих документов. Если эта сторона не сообщит о наступлении обстоятельств непреодолимой силы, она лишается права ссылаться на них, разве что само такое обстоятельство препятствовало отправлению такого сообщения.</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6.4. Если обстоятельства непреодолимой силы продолжают непрерывно действовать более 30 (тридцати) календарных дней, то каждая сторона имеет право расторгнуть настоящий договор с предварительным уведомлением другой стороны в одностороннем порядке.</w:t>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14:ligatures w14:val="standardContextual"/>
        </w:rPr>
      </w:pPr>
      <w:r>
        <w:rPr>
          <w:rFonts w:eastAsia="Times New Roman" w:cs="Times New Roman" w:ascii="Times New Roman" w:hAnsi="Times New Roman"/>
          <w:b/>
          <w14:ligatures w14:val="standardContextual"/>
        </w:rPr>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14:ligatures w14:val="standardContextual"/>
        </w:rPr>
      </w:pPr>
      <w:r>
        <w:rPr>
          <w:rFonts w:eastAsia="Times New Roman" w:cs="Times New Roman" w:ascii="Times New Roman" w:hAnsi="Times New Roman"/>
          <w:b/>
          <w14:ligatures w14:val="standardContextual"/>
        </w:rPr>
        <w:t>7. ПОРЯДОК РАССМОТРЕНИЯ СПОРОВ</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7.1. Стороны принимают меры к тому, чтобы любые спорные вопросы, разногласия либо претензии, касающиеся исполнения договора, были урегулированы путем переговоров.</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7.2. Претензионный (досудебный) порядок рассмотрения спора обязателен.</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 xml:space="preserve">7.3. В случае возникновения претензий относительно исполнения одной стороной своих обязательств по договору другая сторона направляет претензию в письменной форме по электронной почте с последующим направлением оригинала на бумажном носителе по юридическому адресу другой стороны договора (адресу места нахождения юридического лица). Исчисление сроков в этом случае начинается с момента отправки претензии по электронной почте, зафиксированного почтовым сервером отправителя. В случае направления претензии только на бумажном носителе по адресу места нахождения юридического лица исчисление сроков начинается с момента доставки заказного письма в отделение почтовой связи по месту нахождения юридического лица. </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7.4. В отношении всех претензий, направляемых по договору, сторона, которой адресована такая претензия, должна дать письменный ответ по существу претензии в срок не позднее 10 (десяти) рабочих дней с момента ее направления. Оставление претензии без ответа в установленный срок означает признание требований, указанных в претензии.</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7.5. К претензии должны прилагаться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14:ligatures w14:val="standardContextual"/>
        </w:rPr>
      </w:pPr>
      <w:r>
        <w:rPr>
          <w:rFonts w:eastAsia="Times New Roman" w:cs="Times New Roman" w:ascii="Times New Roman" w:hAnsi="Times New Roman"/>
          <w14:ligatures w14:val="standardContextual"/>
        </w:rPr>
        <w:t>7.6. При невозможности урегулирования споров путем переговоров споры разрешаются в соответствии с действующим законодательством Российской Федерации в Арбитражном суде Алтайского края.</w:t>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lang w:eastAsia="zh-CN"/>
          <w14:ligatures w14:val="standardContextual"/>
        </w:rPr>
      </w:pPr>
      <w:r>
        <w:rPr>
          <w:rFonts w:eastAsia="Times New Roman" w:cs="Times New Roman" w:ascii="Times New Roman" w:hAnsi="Times New Roman"/>
          <w:b/>
          <w:lang w:eastAsia="zh-CN"/>
          <w14:ligatures w14:val="standardContextual"/>
        </w:rPr>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lang w:eastAsia="zh-CN"/>
          <w14:ligatures w14:val="standardContextual"/>
        </w:rPr>
      </w:pPr>
      <w:r>
        <w:rPr>
          <w:rFonts w:eastAsia="Times New Roman" w:cs="Times New Roman" w:ascii="Times New Roman" w:hAnsi="Times New Roman"/>
          <w:b/>
          <w:lang w:eastAsia="zh-CN"/>
          <w14:ligatures w14:val="standardContextual"/>
        </w:rPr>
        <w:t>8. АНТИКОРРУПЦИОННАЯ ОГОВОРКА</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8.1.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и легализации (отмыванию) доходов, полученных преступным путем.</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8.2.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такая сторона обязуется уведомить об этом другую сторону в письменной форме в порядке, предусмотренном п 7.3. договора.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8.3. Сторона, получившая уведомление о нарушении каких-либо положений настоящего раздела договора, обязана рассмотреть уведомление и сообщить другой стороне об итогах его рассмотрения в течение 10 (десяти) рабочих дней с момента получения письменного уведомления.</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8.4.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 xml:space="preserve">8.5.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8.6. В случае нарушения одной стороной обязательств воздерживаться от запрещенных действий и (или) неполучения другой стороной в установленный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lang w:eastAsia="zh-CN"/>
          <w14:ligatures w14:val="standardContextual"/>
        </w:rPr>
      </w:pPr>
      <w:r>
        <w:rPr>
          <w:rFonts w:eastAsia="Times New Roman" w:cs="Times New Roman" w:ascii="Times New Roman" w:hAnsi="Times New Roman"/>
          <w:b/>
          <w:lang w:eastAsia="zh-CN"/>
          <w14:ligatures w14:val="standardContextual"/>
        </w:rPr>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lang w:eastAsia="zh-CN"/>
          <w14:ligatures w14:val="standardContextual"/>
        </w:rPr>
      </w:pPr>
      <w:r>
        <w:rPr>
          <w:rFonts w:eastAsia="Times New Roman" w:cs="Times New Roman" w:ascii="Times New Roman" w:hAnsi="Times New Roman"/>
          <w:b/>
          <w:lang w:eastAsia="zh-CN"/>
          <w14:ligatures w14:val="standardContextual"/>
        </w:rPr>
        <w:t>9. ЗАКЛЮЧИТЕЛЬНЫЕ ПОЛОЖЕНИЯ</w:t>
      </w:r>
    </w:p>
    <w:p>
      <w:pPr>
        <w:pStyle w:val="Normal"/>
        <w:widowControl w:val="false"/>
        <w:shd w:val="clear" w:color="FFFFFF" w:fill="FFFFFF"/>
        <w:tabs>
          <w:tab w:val="left" w:pos="0" w:leader="none"/>
          <w:tab w:val="left" w:pos="284" w:leader="none"/>
          <w:tab w:val="left" w:pos="567" w:leader="none"/>
          <w:tab w:val="left" w:pos="720" w:leader="none"/>
          <w:tab w:val="left" w:pos="993" w:leader="none"/>
          <w:tab w:val="left" w:pos="2410" w:leader="none"/>
        </w:tabs>
        <w:spacing w:lineRule="auto" w:line="240" w:before="0" w:after="0"/>
        <w:jc w:val="both"/>
        <w:rPr>
          <w:rFonts w:ascii="Times New Roman" w:hAnsi="Times New Roman" w:eastAsia="Times New Roman" w:cs="Times New Roman"/>
          <w:bCs/>
          <w:lang w:eastAsia="ru-RU"/>
          <w14:ligatures w14:val="standardContextual"/>
        </w:rPr>
      </w:pPr>
      <w:r>
        <w:rPr>
          <w:rFonts w:eastAsia="Times New Roman" w:cs="Times New Roman" w:ascii="Times New Roman" w:hAnsi="Times New Roman"/>
          <w:lang w:eastAsia="zh-CN"/>
          <w14:ligatures w14:val="standardContextual"/>
        </w:rPr>
        <w:t xml:space="preserve">9.1.  </w:t>
      </w:r>
      <w:r>
        <w:rPr>
          <w:rFonts w:eastAsia="Times New Roman" w:cs="Times New Roman" w:ascii="Times New Roman" w:hAnsi="Times New Roman"/>
          <w:lang w:eastAsia="ru-RU"/>
          <w14:ligatures w14:val="standardContextual"/>
        </w:rPr>
        <w:t xml:space="preserve">При изменении банковских реквизитов, адресов в период действия договора стороны обязаны не позднее 3 (трех) рабочих дней с момента таких изменений сообщить об этом другой стороне договора. </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9.2. Настоящий договор составлен в двух идентичных экземплярах, имеющих равную обязательную силу для каждой из сторон.</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9.3. Внесение изменений в договор допускается лишь по соглашению сторон. Все изменения должны быть изложены в письменной форме и подписаны уполномоченными на то представителями сторон. В случае признания не действительным одного из пункта настоящего договора остальные положения продолжают действовать.</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9.4. Договор вступает в силу с момента его подписания сторонами и действует до 31.12.2026, а в части взаиморасчетов до полного исполнения сторонами обязательств по договору.</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 xml:space="preserve">9.5. Документы за подписью уполномоченных лиц и печатью организации (при наличии), направленные в рамках настоящего договора по факсу, с помощью электронных средств связи, посредством ЭДО, электронной почте по адресам, указанным в настоящем договоре, имеют полную юридическую силу. </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9.6. Каждая из сторон настоящего договора предоставляет другой стороне заверения, изложенные ниже. Стороны признают, что заключили настоящий договор, полагаясь на эти заверения, и данные заверения признаются сторонами имеющими существенное значение для заключения и исполнения настоящего договора (ст. 431.2 ГК РФ):</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 xml:space="preserve">Сублицензиат осознает специфику неисключительных прав </w:t>
      </w:r>
      <w:r>
        <w:rPr>
          <w:rFonts w:eastAsia="Times New Roman" w:cs="Times New Roman" w:ascii="Times New Roman" w:hAnsi="Times New Roman"/>
          <w:lang w:eastAsia="ru-RU"/>
        </w:rPr>
        <w:t>на использование программных продуктов (простые неисключительные лицензии), получаемых по настоящему договору</w:t>
      </w:r>
      <w:r>
        <w:rPr>
          <w:rFonts w:eastAsia="Times New Roman" w:cs="Times New Roman" w:ascii="Times New Roman" w:hAnsi="Times New Roman"/>
          <w:lang w:eastAsia="zh-CN"/>
        </w:rPr>
        <w:t xml:space="preserve">; </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при заключении настоящего договора сторонами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не было утаено таких сведений, которые могли бы сделать представленную информацию неверной или вводящей в заблуждение в каких-либо существенных аспектах другую сторону договора;</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стороны признают достоверно изложенным содержание настоящего договора и его соответствие действительным намерениям сторон;</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сторонами уплачиваются все налоги и сборы в соответствии с действующим законодательством РФ, ими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на момент подписания настоящего договора в отношении сторон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в отношении любой из сторон не возбуждена процедура банкротства, они не находятся в предбанкротном состоянии, не прекратили расчетов с кредиторами, не перестали исполнять денежные обязательства, срок исполнения которых наступил, в суде не имеется заявлений о признании их банкротами;</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стороны не вовлечены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pPr>
        <w:pStyle w:val="Normal"/>
        <w:numPr>
          <w:ilvl w:val="0"/>
          <w:numId w:val="2"/>
        </w:numPr>
        <w:tabs>
          <w:tab w:val="left" w:pos="0" w:leader="none"/>
          <w:tab w:val="left" w:pos="284" w:leader="none"/>
        </w:tabs>
        <w:spacing w:lineRule="auto" w:line="240" w:before="0" w:after="0"/>
        <w:contextualSpacing/>
        <w:jc w:val="both"/>
        <w:rPr>
          <w:rFonts w:ascii="Times New Roman" w:hAnsi="Times New Roman" w:eastAsia="Times New Roman" w:cs="Times New Roman"/>
          <w:lang w:eastAsia="zh-CN"/>
        </w:rPr>
      </w:pPr>
      <w:r>
        <w:rPr>
          <w:rFonts w:eastAsia="Times New Roman" w:cs="Times New Roman" w:ascii="Times New Roman" w:hAnsi="Times New Roman"/>
          <w:lang w:eastAsia="zh-CN"/>
        </w:rPr>
        <w:t>стороны не являются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9.7. Любая из Сторон может формировать и направлять акт сверки по реквизитам, указанным в настоящем договоре. Стороны обязаны в срок не позднее 5 (пяти) дней с даты получения акта сверки подписать его и направить первоначальному отправителю по почте или иным способом. В случае предоставления акта сверки одной стороной и его не подписания другой стороной в установленный срок или не направления мотивированных возражений, акт сверки считается принятым без разногласий.</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9.8.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ее представителю. Сообщение считается доставленным в момент, установленный в соответствии с п.7.3. договора,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9.9. Ни одна из сторон не вправе передать свои права и обязанности по настоящему договору без письменного согласия другой стороны.</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9.10.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Лицензиат вправе в одностороннем порядке расторгнуть настоящий договор, направив Сублицензиату соответствующее уведомление не позднее, чем за 5 (пять) рабочих дней до предполагаемой даты расторжения.</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 xml:space="preserve">9.11. Все приложения к настоящему договору являются его неотъемлемой частью. </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9.12. Стороны могут осуществлять документооборот в электронном виде с использованием усиленной квалифицированной электронной подписи (КЭП) через выбранного оператора электронного документооборота (Оператор ЭДО) в системе электронного документооборота (Система ЭДО) и признают юридическую силу переданных документов.</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9.13. В случае невозможности оформления и выставления документов в электронном виде, оформление и выставление первичных документов осуществляется на бумажном носителе.</w:t>
      </w:r>
    </w:p>
    <w:p>
      <w:pPr>
        <w:pStyle w:val="Normal"/>
        <w:tabs>
          <w:tab w:val="left" w:pos="0" w:leader="none"/>
          <w:tab w:val="left" w:pos="284" w:leader="none"/>
          <w:tab w:val="left" w:pos="567" w:leader="none"/>
        </w:tabs>
        <w:spacing w:lineRule="auto" w:line="240" w:before="0" w:after="0"/>
        <w:jc w:val="both"/>
        <w:rPr>
          <w:rFonts w:ascii="Times New Roman" w:hAnsi="Times New Roman" w:eastAsia="Times New Roman" w:cs="Times New Roman"/>
          <w:lang w:eastAsia="zh-CN"/>
          <w14:ligatures w14:val="standardContextual"/>
        </w:rPr>
      </w:pPr>
      <w:r>
        <w:rPr>
          <w:rFonts w:eastAsia="Times New Roman" w:cs="Times New Roman" w:ascii="Times New Roman" w:hAnsi="Times New Roman"/>
          <w:lang w:eastAsia="zh-CN"/>
          <w14:ligatures w14:val="standardContextual"/>
        </w:rPr>
        <w:t>9.14. К настоящему договору прилагаются:</w:t>
      </w:r>
    </w:p>
    <w:p>
      <w:pPr>
        <w:pStyle w:val="Normal"/>
        <w:widowControl w:val="false"/>
        <w:tabs>
          <w:tab w:val="left" w:pos="0" w:leader="none"/>
          <w:tab w:val="left" w:pos="284" w:leader="none"/>
          <w:tab w:val="left" w:pos="567"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 Спецификация на передачу неисключительных прав на использование программных продуктов (простые неисключительные лицензии) (Приложение №1);</w:t>
      </w:r>
    </w:p>
    <w:p>
      <w:pPr>
        <w:pStyle w:val="Normal"/>
        <w:widowControl w:val="false"/>
        <w:tabs>
          <w:tab w:val="left" w:pos="0" w:leader="none"/>
          <w:tab w:val="left" w:pos="284" w:leader="none"/>
          <w:tab w:val="left" w:pos="567"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r>
    </w:p>
    <w:p>
      <w:pPr>
        <w:pStyle w:val="Normal"/>
        <w:tabs>
          <w:tab w:val="left" w:pos="0" w:leader="none"/>
          <w:tab w:val="left" w:pos="284" w:leader="none"/>
          <w:tab w:val="left" w:pos="567" w:leader="none"/>
        </w:tabs>
        <w:spacing w:lineRule="auto" w:line="240" w:before="0" w:after="0"/>
        <w:jc w:val="center"/>
        <w:rPr>
          <w:rFonts w:ascii="Times New Roman" w:hAnsi="Times New Roman" w:eastAsia="Times New Roman" w:cs="Times New Roman"/>
          <w:b/>
          <w:b/>
          <w:lang w:eastAsia="zh-CN"/>
          <w14:ligatures w14:val="standardContextual"/>
        </w:rPr>
      </w:pPr>
      <w:r>
        <w:rPr>
          <w:rFonts w:eastAsia="Times New Roman" w:cs="Times New Roman" w:ascii="Times New Roman" w:hAnsi="Times New Roman"/>
          <w:b/>
          <w:lang w:eastAsia="zh-CN"/>
          <w14:ligatures w14:val="standardContextual"/>
        </w:rPr>
        <w:t>10. ЮРИДИЧЕСКИЕ АДРЕСА И РЕКВИЗИТЫ СТОРОН</w:t>
      </w:r>
    </w:p>
    <w:tbl>
      <w:tblPr>
        <w:tblStyle w:val="ab"/>
        <w:tblW w:w="9345" w:type="dxa"/>
        <w:jc w:val="left"/>
        <w:tblInd w:w="0" w:type="dxa"/>
        <w:tblCellMar>
          <w:top w:w="0" w:type="dxa"/>
          <w:left w:w="113" w:type="dxa"/>
          <w:bottom w:w="0" w:type="dxa"/>
          <w:right w:w="108" w:type="dxa"/>
        </w:tblCellMar>
        <w:tblLook w:noVBand="1" w:val="04a0" w:noHBand="0" w:lastColumn="0" w:firstColumn="1" w:lastRow="0" w:firstRow="1"/>
      </w:tblPr>
      <w:tblGrid>
        <w:gridCol w:w="4672"/>
        <w:gridCol w:w="4672"/>
      </w:tblGrid>
      <w:tr>
        <w:trPr/>
        <w:tc>
          <w:tcPr>
            <w:tcW w:w="4672"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contextualSpacing/>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contextualSpacing/>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contextualSpacing/>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contextualSpacing/>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contextualSpacing/>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4672"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b/>
                <w:b/>
                <w:lang w:eastAsia="zh-CN"/>
              </w:rPr>
            </w:pPr>
            <w:r>
              <w:rPr>
                <w:rFonts w:eastAsia="Times New Roman" w:cs="Times New Roman" w:ascii="Times New Roman" w:hAnsi="Times New Roman"/>
                <w:b/>
                <w:kern w:val="0"/>
                <w:sz w:val="22"/>
                <w:szCs w:val="22"/>
                <w:lang w:val="ru-RU" w:eastAsia="zh-CN" w:bidi="ar-SA"/>
              </w:rPr>
              <w:t>СУБЛИЦЕНЗИАТ:</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Главное управление Федеральной службы судебных приставов по Кемеровской области – Кузбассу</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Юридический адрес: </w:t>
            </w:r>
            <w:r>
              <w:rPr>
                <w:rFonts w:eastAsia="Calibri" w:cs="Times New Roman" w:ascii="Times New Roman" w:hAnsi="Times New Roman"/>
                <w:kern w:val="0"/>
                <w:lang w:val="ru-RU" w:eastAsia="en-US" w:bidi="ar-SA"/>
              </w:rPr>
              <w:t>650993, г. Кемерово, пр. Советский, 30</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Фактический адрес:</w:t>
            </w:r>
            <w:r>
              <w:rPr>
                <w:rFonts w:eastAsia="Calibri" w:cs="Times New Roman" w:ascii="Times New Roman" w:hAnsi="Times New Roman"/>
                <w:kern w:val="0"/>
                <w:lang w:val="ru-RU" w:eastAsia="en-US" w:bidi="ar-SA"/>
              </w:rPr>
              <w:t>650993, г. Кемерово, пр. Советский, 30</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Почтовый адрес:</w:t>
            </w:r>
            <w:r>
              <w:rPr>
                <w:rFonts w:eastAsia="Calibri" w:cs="Times New Roman" w:ascii="Times New Roman" w:hAnsi="Times New Roman"/>
                <w:kern w:val="0"/>
                <w:lang w:val="ru-RU" w:eastAsia="en-US" w:bidi="ar-SA"/>
              </w:rPr>
              <w:t>650993, г. Кемерово, пр. Советский, 30</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Тел.: 8(3842)77-85-95</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en-US" w:eastAsia="en-US" w:bidi="ar-SA"/>
              </w:rPr>
              <w:t>e</w:t>
            </w:r>
            <w:r>
              <w:rPr>
                <w:rFonts w:eastAsia="Calibri" w:cs="Times New Roman" w:ascii="Times New Roman" w:hAnsi="Times New Roman"/>
                <w:kern w:val="0"/>
                <w:sz w:val="22"/>
                <w:szCs w:val="22"/>
                <w:lang w:val="ru-RU" w:eastAsia="en-US" w:bidi="ar-SA"/>
              </w:rPr>
              <w:t>-</w:t>
            </w:r>
            <w:r>
              <w:rPr>
                <w:rFonts w:eastAsia="Calibri" w:cs="Times New Roman" w:ascii="Times New Roman" w:hAnsi="Times New Roman"/>
                <w:kern w:val="0"/>
                <w:sz w:val="22"/>
                <w:szCs w:val="22"/>
                <w:lang w:val="en-US" w:eastAsia="en-US" w:bidi="ar-SA"/>
              </w:rPr>
              <w:t>mail</w:t>
            </w:r>
            <w:r>
              <w:rPr>
                <w:rFonts w:eastAsia="Calibri" w:cs="Times New Roman" w:ascii="Times New Roman" w:hAnsi="Times New Roman"/>
                <w:kern w:val="0"/>
                <w:sz w:val="22"/>
                <w:szCs w:val="22"/>
                <w:lang w:val="ru-RU" w:eastAsia="en-US" w:bidi="ar-SA"/>
              </w:rPr>
              <w:t>: mail@r42.fssp.gov.ru</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ИНН </w:t>
            </w:r>
            <w:r>
              <w:rPr>
                <w:rFonts w:eastAsia="Calibri" w:cs="Times New Roman" w:ascii="Times New Roman" w:hAnsi="Times New Roman"/>
                <w:kern w:val="0"/>
                <w:lang w:val="ru-RU" w:eastAsia="en-US" w:bidi="ar-SA"/>
              </w:rPr>
              <w:t>4205077474</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КПП </w:t>
            </w:r>
            <w:r>
              <w:rPr>
                <w:rFonts w:eastAsia="Calibri" w:cs="Times New Roman" w:ascii="Times New Roman" w:hAnsi="Times New Roman"/>
                <w:kern w:val="0"/>
                <w:lang w:val="ru-RU" w:eastAsia="en-US" w:bidi="ar-SA"/>
              </w:rPr>
              <w:t>420501001</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lang w:val="ru-RU" w:eastAsia="en-US" w:bidi="ar-SA"/>
              </w:rPr>
              <w:t>УФК по Новосибирской области (ГУФССП России по Кемеровской области — Кузбассу, л/с 03391785360)</w:t>
            </w:r>
          </w:p>
          <w:p>
            <w:pPr>
              <w:pStyle w:val="Normal"/>
              <w:widowControl/>
              <w:suppressAutoHyphens w:val="true"/>
              <w:spacing w:lineRule="auto" w:line="240" w:before="0" w:after="0"/>
              <w:ind w:left="176" w:hanging="0"/>
              <w:jc w:val="left"/>
              <w:rPr>
                <w:rFonts w:ascii="Times New Roman" w:hAnsi="Times New Roman"/>
              </w:rPr>
            </w:pPr>
            <w:r>
              <w:rPr>
                <w:rFonts w:eastAsia="Calibri" w:cs="Times New Roman" w:ascii="Times New Roman" w:hAnsi="Times New Roman"/>
                <w:kern w:val="0"/>
                <w:lang w:val="ru-RU" w:eastAsia="en-US" w:bidi="ar-SA"/>
              </w:rPr>
              <w:t xml:space="preserve">Казначейский счет: </w:t>
            </w:r>
            <w:r>
              <w:rPr>
                <w:rFonts w:cs="Times New Roman" w:ascii="Times New Roman" w:hAnsi="Times New Roman"/>
                <w:b w:val="false"/>
                <w:bCs w:val="false"/>
                <w:color w:val="000000"/>
                <w:kern w:val="0"/>
                <w:sz w:val="22"/>
                <w:szCs w:val="22"/>
                <w:u w:val="none"/>
                <w:lang w:val="ru-RU" w:bidi="ar-SA"/>
              </w:rPr>
              <w:t>03110643000000015106</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lang w:val="ru-RU" w:eastAsia="en-US" w:bidi="ar-SA"/>
              </w:rPr>
              <w:t>Кор. Счет: 40102810445370000043</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lang w:val="ru-RU" w:eastAsia="en-US" w:bidi="ar-SA"/>
              </w:rPr>
              <w:t xml:space="preserve">Банк получателя: </w:t>
            </w:r>
            <w:r>
              <w:rPr>
                <w:rFonts w:cs="Times New Roman" w:ascii="Times New Roman" w:hAnsi="Times New Roman"/>
                <w:b w:val="false"/>
                <w:bCs w:val="false"/>
                <w:color w:val="000000"/>
                <w:kern w:val="0"/>
                <w:sz w:val="22"/>
                <w:szCs w:val="22"/>
                <w:lang w:val="ru-RU" w:bidi="ar-SA"/>
              </w:rPr>
              <w:t>ОКЦ №1 СибГУ Банка России</w:t>
            </w:r>
            <w:r>
              <w:rPr>
                <w:rFonts w:eastAsia="Calibri" w:cs="Times New Roman" w:ascii="Times New Roman" w:hAnsi="Times New Roman"/>
                <w:kern w:val="0"/>
                <w:lang w:val="ru-RU" w:eastAsia="en-US" w:bidi="ar-SA"/>
              </w:rPr>
              <w:t>//УФК по Новосибирской области г. Новосибирск</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lang w:val="ru-RU" w:eastAsia="en-US" w:bidi="ar-SA"/>
              </w:rPr>
              <w:t>БИК банка: 015004950</w:t>
            </w:r>
          </w:p>
          <w:p>
            <w:pPr>
              <w:pStyle w:val="Normal"/>
              <w:widowControl/>
              <w:suppressAutoHyphens w:val="true"/>
              <w:spacing w:lineRule="auto" w:line="240" w:before="0" w:after="0"/>
              <w:ind w:left="176" w:hanging="0"/>
              <w:jc w:val="left"/>
              <w:rPr>
                <w:rFonts w:ascii="Times New Roman" w:hAnsi="Times New Roman" w:eastAsia="Calibri" w:cs="Times New Roman"/>
              </w:rPr>
            </w:pPr>
            <w:r>
              <w:rPr>
                <w:rFonts w:eastAsia="Calibri" w:cs="Times New Roman" w:ascii="Times New Roman" w:hAnsi="Times New Roman"/>
              </w:rPr>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Заместитель руководителя</w:t>
            </w:r>
          </w:p>
          <w:p>
            <w:pPr>
              <w:pStyle w:val="Normal"/>
              <w:widowControl/>
              <w:suppressAutoHyphens w:val="true"/>
              <w:spacing w:lineRule="auto" w:line="240" w:before="0" w:after="0"/>
              <w:ind w:left="176" w:hanging="0"/>
              <w:jc w:val="left"/>
              <w:rPr>
                <w:rFonts w:ascii="Times New Roman" w:hAnsi="Times New Roman" w:eastAsia="Calibri" w:cs="Times New Roman"/>
                <w:b/>
                <w:b/>
                <w:color w:val="FF0000"/>
              </w:rPr>
            </w:pPr>
            <w:r>
              <w:rPr>
                <w:rFonts w:eastAsia="Calibri" w:cs="Times New Roman" w:ascii="Times New Roman" w:hAnsi="Times New Roman"/>
                <w:b/>
                <w:color w:val="FF0000"/>
              </w:rPr>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_____________</w:t>
            </w:r>
            <w:r>
              <w:rPr>
                <w:rFonts w:eastAsia="Calibri" w:cs="Times New Roman" w:ascii="Times New Roman" w:hAnsi="Times New Roman"/>
                <w:i w:val="false"/>
                <w:iCs w:val="false"/>
                <w:kern w:val="0"/>
                <w:sz w:val="22"/>
                <w:szCs w:val="22"/>
                <w:lang w:val="ru-RU" w:eastAsia="en-US" w:bidi="ar-SA"/>
              </w:rPr>
              <w:t>__ / Е.А. Щербакова /</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М.П.</w:t>
            </w:r>
          </w:p>
          <w:p>
            <w:pPr>
              <w:pStyle w:val="Normal"/>
              <w:widowControl/>
              <w:suppressAutoHyphens w:val="true"/>
              <w:spacing w:lineRule="auto" w:line="240" w:before="0" w:after="0"/>
              <w:ind w:left="176" w:hanging="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«____»__________2026 г.</w:t>
            </w:r>
          </w:p>
          <w:p>
            <w:pPr>
              <w:pStyle w:val="Normal"/>
              <w:widowControl/>
              <w:suppressAutoHyphens w:val="true"/>
              <w:spacing w:lineRule="auto" w:line="240" w:before="0" w:after="0"/>
              <w:ind w:left="34" w:hanging="0"/>
              <w:jc w:val="left"/>
              <w:rPr>
                <w:rFonts w:ascii="Times New Roman" w:hAnsi="Times New Roman" w:cs="Times New Roman"/>
              </w:rPr>
            </w:pPr>
            <w:r>
              <w:rPr>
                <w:rFonts w:cs="Times New Roman" w:ascii="Times New Roman" w:hAnsi="Times New Roman"/>
              </w:rPr>
            </w:r>
          </w:p>
          <w:p>
            <w:pPr>
              <w:pStyle w:val="Normal"/>
              <w:widowControl/>
              <w:suppressAutoHyphens w:val="true"/>
              <w:spacing w:lineRule="auto" w:line="240" w:before="0" w:after="0"/>
              <w:ind w:left="34" w:hanging="0"/>
              <w:jc w:val="left"/>
              <w:rPr>
                <w:rFonts w:ascii="Times New Roman" w:hAnsi="Times New Roman" w:eastAsia="Times New Roman" w:cs="Times New Roman"/>
                <w:b/>
                <w:b/>
                <w:lang w:eastAsia="zh-CN"/>
              </w:rPr>
            </w:pPr>
            <w:r>
              <w:rPr>
                <w:rFonts w:eastAsia="Times New Roman" w:cs="Times New Roman" w:ascii="Times New Roman" w:hAnsi="Times New Roman"/>
                <w:b/>
                <w:lang w:eastAsia="zh-CN"/>
              </w:rPr>
            </w:r>
          </w:p>
        </w:tc>
      </w:tr>
      <w:tr>
        <w:trPr/>
        <w:tc>
          <w:tcPr>
            <w:tcW w:w="4672"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4672"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tc>
      </w:tr>
    </w:tbl>
    <w:p>
      <w:pPr>
        <w:pStyle w:val="Normal"/>
        <w:widowControl w:val="false"/>
        <w:spacing w:lineRule="auto" w:line="240" w:before="25" w:after="60"/>
        <w:jc w:val="right"/>
        <w:rPr>
          <w:rFonts w:ascii="Times New Roman" w:hAnsi="Times New Roman" w:cs="Times New Roman"/>
        </w:rPr>
      </w:pPr>
      <w:r>
        <w:rPr>
          <w:rFonts w:cs="Times New Roman" w:ascii="Times New Roman" w:hAnsi="Times New Roman"/>
        </w:rPr>
      </w:r>
    </w:p>
    <w:p>
      <w:pPr>
        <w:pStyle w:val="Normal"/>
        <w:widowControl w:val="false"/>
        <w:spacing w:lineRule="auto" w:line="240" w:before="25" w:after="60"/>
        <w:jc w:val="right"/>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r>
        <w:br w:type="page"/>
      </w:r>
    </w:p>
    <w:p>
      <w:pPr>
        <w:pStyle w:val="Normal"/>
        <w:widowControl w:val="false"/>
        <w:tabs>
          <w:tab w:val="left" w:pos="0" w:leader="none"/>
          <w:tab w:val="left" w:pos="284" w:leader="none"/>
        </w:tabs>
        <w:spacing w:lineRule="auto" w:line="240" w:before="0" w:after="0"/>
        <w:jc w:val="right"/>
        <w:rPr>
          <w:rFonts w:ascii="Times New Roman" w:hAnsi="Times New Roman" w:eastAsia="Calibri" w:cs="Times New Roman"/>
          <w:iCs/>
          <w:sz w:val="20"/>
          <w:szCs w:val="20"/>
          <w14:ligatures w14:val="standardContextual"/>
        </w:rPr>
      </w:pPr>
      <w:r>
        <w:rPr>
          <w:rFonts w:eastAsia="Calibri" w:cs="Times New Roman" w:ascii="Times New Roman" w:hAnsi="Times New Roman"/>
          <w:iCs/>
          <w:sz w:val="20"/>
          <w:szCs w:val="20"/>
          <w14:ligatures w14:val="standardContextual"/>
        </w:rPr>
        <w:t xml:space="preserve">Приложение №1 </w:t>
      </w:r>
    </w:p>
    <w:p>
      <w:pPr>
        <w:pStyle w:val="Normal"/>
        <w:widowControl w:val="false"/>
        <w:tabs>
          <w:tab w:val="left" w:pos="0" w:leader="none"/>
          <w:tab w:val="left" w:pos="284" w:leader="none"/>
        </w:tabs>
        <w:spacing w:lineRule="auto" w:line="240" w:before="0" w:after="0"/>
        <w:jc w:val="right"/>
        <w:rPr>
          <w:rFonts w:ascii="Times New Roman" w:hAnsi="Times New Roman" w:eastAsia="Calibri" w:cs="Times New Roman"/>
          <w:iCs/>
          <w:sz w:val="20"/>
          <w:szCs w:val="20"/>
          <w14:ligatures w14:val="standardContextual"/>
        </w:rPr>
      </w:pPr>
      <w:r>
        <w:rPr>
          <w:rFonts w:eastAsia="Calibri" w:cs="Times New Roman" w:ascii="Times New Roman" w:hAnsi="Times New Roman"/>
          <w:iCs/>
          <w:sz w:val="20"/>
          <w:szCs w:val="20"/>
          <w14:ligatures w14:val="standardContextual"/>
        </w:rPr>
        <w:t>к Сублицензионному договору № от ____202__ г.</w:t>
      </w:r>
    </w:p>
    <w:p>
      <w:pPr>
        <w:pStyle w:val="Normal"/>
        <w:widowControl w:val="false"/>
        <w:numPr>
          <w:ilvl w:val="0"/>
          <w:numId w:val="0"/>
        </w:numPr>
        <w:tabs>
          <w:tab w:val="left" w:pos="0" w:leader="none"/>
          <w:tab w:val="left" w:pos="284" w:leader="none"/>
        </w:tabs>
        <w:spacing w:lineRule="auto" w:line="240" w:before="0" w:after="0"/>
        <w:ind w:left="0" w:hanging="0"/>
        <w:jc w:val="both"/>
        <w:outlineLvl w:val="0"/>
        <w:rPr>
          <w:rFonts w:ascii="Times New Roman" w:hAnsi="Times New Roman" w:eastAsia="Calibri" w:cs="Times New Roman"/>
          <w:i/>
          <w:i/>
          <w:iCs/>
          <w14:ligatures w14:val="standardContextual"/>
        </w:rPr>
      </w:pPr>
      <w:r>
        <w:rPr>
          <w:rFonts w:eastAsia="Calibri" w:cs="Times New Roman" w:ascii="Times New Roman" w:hAnsi="Times New Roman"/>
          <w:i/>
          <w:iCs/>
          <w14:ligatures w14:val="standardContextual"/>
        </w:rPr>
      </w:r>
    </w:p>
    <w:p>
      <w:pPr>
        <w:pStyle w:val="Normal"/>
        <w:widowControl w:val="false"/>
        <w:numPr>
          <w:ilvl w:val="0"/>
          <w:numId w:val="0"/>
        </w:numPr>
        <w:tabs>
          <w:tab w:val="left" w:pos="0" w:leader="none"/>
          <w:tab w:val="left" w:pos="284" w:leader="none"/>
        </w:tabs>
        <w:spacing w:lineRule="auto" w:line="240" w:before="0" w:after="0"/>
        <w:ind w:left="0" w:hanging="0"/>
        <w:jc w:val="center"/>
        <w:outlineLvl w:val="0"/>
        <w:rPr>
          <w:rFonts w:ascii="Times New Roman" w:hAnsi="Times New Roman" w:eastAsia="Calibri" w:cs="Times New Roman"/>
          <w:b/>
          <w:b/>
          <w14:ligatures w14:val="standardContextual"/>
        </w:rPr>
      </w:pPr>
      <w:r>
        <w:rPr>
          <w:rFonts w:eastAsia="Calibri" w:cs="Times New Roman" w:ascii="Times New Roman" w:hAnsi="Times New Roman"/>
          <w:b/>
          <w14:ligatures w14:val="standardContextual"/>
        </w:rPr>
        <w:t xml:space="preserve">СПЕЦИФИКАЦИЯ </w:t>
      </w:r>
    </w:p>
    <w:p>
      <w:pPr>
        <w:pStyle w:val="Normal"/>
        <w:widowControl w:val="false"/>
        <w:numPr>
          <w:ilvl w:val="0"/>
          <w:numId w:val="0"/>
        </w:numPr>
        <w:tabs>
          <w:tab w:val="left" w:pos="0" w:leader="none"/>
          <w:tab w:val="left" w:pos="284" w:leader="none"/>
        </w:tabs>
        <w:spacing w:lineRule="auto" w:line="240" w:before="0" w:after="0"/>
        <w:ind w:left="0" w:hanging="0"/>
        <w:jc w:val="center"/>
        <w:outlineLvl w:val="0"/>
        <w:rPr>
          <w:rFonts w:ascii="Times New Roman" w:hAnsi="Times New Roman" w:eastAsia="Calibri" w:cs="Times New Roman"/>
          <w:b/>
          <w:b/>
          <w14:ligatures w14:val="standardContextual"/>
        </w:rPr>
      </w:pPr>
      <w:r>
        <w:rPr>
          <w:rFonts w:eastAsia="Calibri" w:cs="Times New Roman" w:ascii="Times New Roman" w:hAnsi="Times New Roman"/>
          <w:b/>
          <w14:ligatures w14:val="standardContextual"/>
        </w:rPr>
        <w:t>на передачу неисключительных прав на использование программных продуктов</w:t>
      </w:r>
    </w:p>
    <w:p>
      <w:pPr>
        <w:pStyle w:val="Normal"/>
        <w:widowControl w:val="false"/>
        <w:numPr>
          <w:ilvl w:val="0"/>
          <w:numId w:val="0"/>
        </w:numPr>
        <w:tabs>
          <w:tab w:val="left" w:pos="0" w:leader="none"/>
          <w:tab w:val="left" w:pos="284" w:leader="none"/>
        </w:tabs>
        <w:spacing w:lineRule="auto" w:line="240" w:before="0" w:after="0"/>
        <w:ind w:left="0" w:hanging="0"/>
        <w:jc w:val="center"/>
        <w:outlineLvl w:val="0"/>
        <w:rPr>
          <w:rFonts w:ascii="Times New Roman" w:hAnsi="Times New Roman" w:eastAsia="Calibri" w:cs="Times New Roman"/>
          <w:b/>
          <w:b/>
          <w14:ligatures w14:val="standardContextual"/>
        </w:rPr>
      </w:pPr>
      <w:r>
        <w:rPr>
          <w:rFonts w:eastAsia="Calibri" w:cs="Times New Roman" w:ascii="Times New Roman" w:hAnsi="Times New Roman"/>
          <w:b/>
          <w14:ligatures w14:val="standardContextual"/>
        </w:rPr>
        <w:t xml:space="preserve"> </w:t>
      </w:r>
      <w:r>
        <w:rPr>
          <w:rFonts w:eastAsia="Calibri" w:cs="Times New Roman" w:ascii="Times New Roman" w:hAnsi="Times New Roman"/>
          <w:b/>
          <w14:ligatures w14:val="standardContextual"/>
        </w:rPr>
        <w:t>(простые неисключительные лицензии)</w:t>
      </w:r>
    </w:p>
    <w:p>
      <w:pPr>
        <w:pStyle w:val="Normal"/>
        <w:widowControl w:val="false"/>
        <w:tabs>
          <w:tab w:val="left" w:pos="0" w:leader="none"/>
          <w:tab w:val="left" w:pos="284" w:leader="none"/>
          <w:tab w:val="left" w:pos="9214" w:leader="none"/>
        </w:tabs>
        <w:spacing w:lineRule="auto" w:line="240" w:before="0" w:after="0"/>
        <w:jc w:val="both"/>
        <w:rPr>
          <w:rFonts w:ascii="Times New Roman" w:hAnsi="Times New Roman" w:eastAsia="Times New Roman" w:cs="Times New Roman"/>
          <w:b/>
          <w:b/>
          <w:lang w:eastAsia="ru-RU"/>
          <w14:ligatures w14:val="standardContextual"/>
        </w:rPr>
      </w:pPr>
      <w:r>
        <w:rPr>
          <w:rFonts w:eastAsia="Times New Roman" w:cs="Times New Roman" w:ascii="Times New Roman" w:hAnsi="Times New Roman"/>
          <w:b/>
          <w:lang w:eastAsia="ru-RU"/>
          <w14:ligatures w14:val="standardContextual"/>
        </w:rPr>
      </w:r>
    </w:p>
    <w:tbl>
      <w:tblPr>
        <w:tblStyle w:val="ab"/>
        <w:tblW w:w="9918" w:type="dxa"/>
        <w:jc w:val="left"/>
        <w:tblInd w:w="0" w:type="dxa"/>
        <w:tblCellMar>
          <w:top w:w="0" w:type="dxa"/>
          <w:left w:w="113" w:type="dxa"/>
          <w:bottom w:w="0" w:type="dxa"/>
          <w:right w:w="108" w:type="dxa"/>
        </w:tblCellMar>
        <w:tblLook w:noVBand="1" w:val="04a0" w:noHBand="0" w:lastColumn="0" w:firstColumn="1" w:lastRow="0" w:firstRow="1"/>
      </w:tblPr>
      <w:tblGrid>
        <w:gridCol w:w="5244"/>
        <w:gridCol w:w="4673"/>
      </w:tblGrid>
      <w:tr>
        <w:trPr/>
        <w:tc>
          <w:tcPr>
            <w:tcW w:w="5244" w:type="dxa"/>
            <w:tcBorders>
              <w:top w:val="nil"/>
              <w:left w:val="nil"/>
              <w:bottom w:val="nil"/>
              <w:right w:val="nil"/>
              <w:insideH w:val="nil"/>
              <w:insideV w:val="nil"/>
            </w:tcBorders>
            <w:shd w:fill="auto" w:val="clear"/>
          </w:tcPr>
          <w:p>
            <w:pPr>
              <w:pStyle w:val="Normal"/>
              <w:widowControl w:val="false"/>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ru-RU"/>
              </w:rPr>
            </w:pPr>
            <w:r>
              <w:rPr>
                <w:rFonts w:eastAsia="Times New Roman" w:cs="Times New Roman" w:ascii="Times New Roman" w:hAnsi="Times New Roman"/>
                <w:kern w:val="0"/>
                <w:sz w:val="22"/>
                <w:szCs w:val="22"/>
                <w:lang w:val="ru-RU" w:eastAsia="ru-RU" w:bidi="ar-SA"/>
              </w:rPr>
              <w:t>г. Барнаул</w:t>
            </w:r>
          </w:p>
        </w:tc>
        <w:tc>
          <w:tcPr>
            <w:tcW w:w="4673" w:type="dxa"/>
            <w:tcBorders>
              <w:top w:val="nil"/>
              <w:left w:val="nil"/>
              <w:bottom w:val="nil"/>
              <w:right w:val="nil"/>
              <w:insideH w:val="nil"/>
              <w:insideV w:val="nil"/>
            </w:tcBorders>
            <w:shd w:fill="auto" w:val="clear"/>
          </w:tcPr>
          <w:p>
            <w:pPr>
              <w:pStyle w:val="Normal"/>
              <w:widowControl w:val="false"/>
              <w:tabs>
                <w:tab w:val="left" w:pos="0" w:leader="none"/>
                <w:tab w:val="left" w:pos="284" w:leader="none"/>
                <w:tab w:val="left" w:pos="567" w:leader="none"/>
              </w:tabs>
              <w:suppressAutoHyphens w:val="tru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kern w:val="0"/>
                <w:sz w:val="22"/>
                <w:szCs w:val="22"/>
                <w:lang w:val="ru-RU" w:eastAsia="ru-RU" w:bidi="ar-SA"/>
              </w:rPr>
              <w:t xml:space="preserve">  </w:t>
            </w:r>
            <w:r>
              <w:rPr>
                <w:rFonts w:eastAsia="Times New Roman" w:cs="Times New Roman" w:ascii="Times New Roman" w:hAnsi="Times New Roman"/>
                <w:kern w:val="0"/>
                <w:sz w:val="22"/>
                <w:szCs w:val="22"/>
                <w:lang w:val="ru-RU" w:eastAsia="ru-RU" w:bidi="ar-SA"/>
              </w:rPr>
              <w:t>«___»__________202__г.</w:t>
            </w:r>
          </w:p>
        </w:tc>
      </w:tr>
    </w:tbl>
    <w:p>
      <w:pPr>
        <w:pStyle w:val="Normal"/>
        <w:widowControl w:val="false"/>
        <w:tabs>
          <w:tab w:val="left" w:pos="0" w:leader="none"/>
          <w:tab w:val="left" w:pos="284" w:leader="none"/>
          <w:tab w:val="left" w:pos="567" w:leader="none"/>
        </w:tabs>
        <w:spacing w:lineRule="auto" w:line="240" w:before="0" w:after="0"/>
        <w:jc w:val="center"/>
        <w:rPr>
          <w:rFonts w:ascii="Times New Roman" w:hAnsi="Times New Roman" w:eastAsia="Times New Roman" w:cs="Times New Roman"/>
          <w:lang w:eastAsia="ru-RU"/>
          <w14:ligatures w14:val="standardContextual"/>
        </w:rPr>
      </w:pPr>
      <w:r>
        <w:rPr>
          <w:rFonts w:eastAsia="Times New Roman" w:cs="Times New Roman" w:ascii="Times New Roman" w:hAnsi="Times New Roman"/>
          <w:lang w:eastAsia="ru-RU"/>
          <w14:ligatures w14:val="standardContextual"/>
        </w:rPr>
      </w:r>
    </w:p>
    <w:p>
      <w:pPr>
        <w:pStyle w:val="Normal"/>
        <w:widowControl w:val="false"/>
        <w:tabs>
          <w:tab w:val="left" w:pos="0" w:leader="none"/>
          <w:tab w:val="left" w:pos="284" w:leader="none"/>
        </w:tabs>
        <w:spacing w:lineRule="auto" w:line="240" w:before="0" w:after="0"/>
        <w:contextualSpacing/>
        <w:jc w:val="both"/>
        <w:rPr>
          <w:rFonts w:ascii="Times New Roman" w:hAnsi="Times New Roman" w:eastAsia="Calibri" w:cs="Times New Roman"/>
          <w:u w:val="single"/>
        </w:rPr>
      </w:pPr>
      <w:r>
        <w:rPr>
          <w:rFonts w:eastAsia="Calibri" w:cs="Times New Roman" w:ascii="Times New Roman" w:hAnsi="Times New Roman"/>
          <w:u w:val="single"/>
        </w:rPr>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418"/>
        <w:gridCol w:w="2821"/>
        <w:gridCol w:w="656"/>
        <w:gridCol w:w="2290"/>
        <w:gridCol w:w="1786"/>
        <w:gridCol w:w="2091"/>
      </w:tblGrid>
      <w:tr>
        <w:trPr>
          <w:trHeight w:val="754" w:hRule="atLeast"/>
          <w:cantSplit w:val="true"/>
        </w:trPr>
        <w:tc>
          <w:tcPr>
            <w:tcW w:w="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w:t>
            </w:r>
          </w:p>
        </w:tc>
        <w:tc>
          <w:tcPr>
            <w:tcW w:w="2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Наименование</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Кол-во</w:t>
            </w:r>
          </w:p>
        </w:tc>
        <w:tc>
          <w:tcPr>
            <w:tcW w:w="22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Цена,</w:t>
            </w:r>
          </w:p>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в руб.</w:t>
            </w:r>
          </w:p>
        </w:tc>
        <w:tc>
          <w:tcPr>
            <w:tcW w:w="17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ИТОГО, в руб.</w:t>
            </w:r>
          </w:p>
        </w:tc>
        <w:tc>
          <w:tcPr>
            <w:tcW w:w="2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Срок действия неисключительного права</w:t>
            </w:r>
          </w:p>
        </w:tc>
      </w:tr>
      <w:tr>
        <w:trPr>
          <w:trHeight w:val="315" w:hRule="atLeast"/>
          <w:cantSplit w:val="true"/>
        </w:trPr>
        <w:tc>
          <w:tcPr>
            <w:tcW w:w="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1.</w:t>
            </w:r>
          </w:p>
        </w:tc>
        <w:tc>
          <w:tcPr>
            <w:tcW w:w="28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numPr>
                <w:ilvl w:val="0"/>
                <w:numId w:val="0"/>
              </w:numPr>
              <w:spacing w:lineRule="auto" w:line="240" w:before="0" w:after="0"/>
              <w:ind w:left="0" w:hanging="0"/>
              <w:outlineLvl w:val="0"/>
              <w:rPr>
                <w:rFonts w:ascii="Times New Roman" w:hAnsi="Times New Roman" w:cs="Times New Roman"/>
                <w:bCs/>
              </w:rPr>
            </w:pPr>
            <w:r>
              <w:rPr>
                <w:rFonts w:cs="Times New Roman" w:ascii="Times New Roman" w:hAnsi="Times New Roman"/>
              </w:rPr>
              <w:t xml:space="preserve">Средство антивирусной защиты </w:t>
            </w:r>
            <w:r>
              <w:rPr>
                <w:rFonts w:cs="Times New Roman" w:ascii="Times New Roman" w:hAnsi="Times New Roman"/>
                <w:bCs/>
              </w:rPr>
              <w:t>Dr.Web Desktop Security Suite</w:t>
            </w:r>
          </w:p>
          <w:p>
            <w:pPr>
              <w:pStyle w:val="Normal"/>
              <w:numPr>
                <w:ilvl w:val="0"/>
                <w:numId w:val="0"/>
              </w:numPr>
              <w:spacing w:lineRule="auto" w:line="240" w:before="0" w:after="0"/>
              <w:ind w:left="0" w:hanging="0"/>
              <w:outlineLvl w:val="0"/>
              <w:rPr>
                <w:rFonts w:ascii="Times New Roman" w:hAnsi="Times New Roman" w:eastAsia="Times New Roman" w:cs="Times New Roman"/>
              </w:rPr>
            </w:pPr>
            <w:r>
              <w:rPr>
                <w:rFonts w:cs="Times New Roman" w:ascii="Times New Roman" w:hAnsi="Times New Roman"/>
                <w:lang w:val="en-US"/>
              </w:rPr>
              <w:t>LBW-BK-24M-1-A3-FST</w:t>
            </w:r>
            <w:bookmarkStart w:id="0" w:name="_GoBack_%D0%9A%D0%BE%D0%BF%D0%B8%D1%8F_1"/>
            <w:bookmarkEnd w:id="0"/>
            <w:r>
              <w:rPr>
                <w:rFonts w:cs="Times New Roman" w:ascii="Times New Roman" w:hAnsi="Times New Roman"/>
                <w:lang w:val="en-US"/>
              </w:rPr>
              <w:t>.</w:t>
            </w:r>
            <w:r>
              <w:rPr>
                <w:rFonts w:cs="Times New Roman" w:ascii="Times New Roman" w:hAnsi="Times New Roman"/>
              </w:rPr>
              <w:t xml:space="preserve"> Реестровая запись №47 от 20.02.2016</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1</w:t>
            </w:r>
          </w:p>
        </w:tc>
        <w:tc>
          <w:tcPr>
            <w:tcW w:w="229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numPr>
                <w:ilvl w:val="0"/>
                <w:numId w:val="0"/>
              </w:numPr>
              <w:shd w:val="clear" w:fill="FFFFFF"/>
              <w:spacing w:before="0" w:after="200"/>
              <w:ind w:left="0" w:hanging="0"/>
              <w:jc w:val="right"/>
              <w:outlineLvl w:val="0"/>
              <w:rPr>
                <w:color w:val="000000"/>
                <w:highlight w:val="white"/>
              </w:rPr>
            </w:pPr>
            <w:r>
              <w:rPr>
                <w:rFonts w:cs="Times New Roman" w:ascii="Times New Roman" w:hAnsi="Times New Roman"/>
                <w:color w:val="000000"/>
                <w:shd w:fill="FFFFFF" w:val="clear"/>
              </w:rPr>
              <w:t>4 359,36</w:t>
            </w:r>
          </w:p>
        </w:tc>
        <w:tc>
          <w:tcPr>
            <w:tcW w:w="1786" w:type="dxa"/>
            <w:tcBorders>
              <w:bottom w:val="single" w:sz="4" w:space="0" w:color="000000"/>
              <w:right w:val="single" w:sz="4" w:space="0" w:color="000000"/>
              <w:insideH w:val="single" w:sz="4" w:space="0" w:color="000000"/>
              <w:insideV w:val="single" w:sz="4" w:space="0" w:color="000000"/>
            </w:tcBorders>
            <w:shd w:fill="FFFFFF" w:val="clear"/>
            <w:vAlign w:val="center"/>
          </w:tcPr>
          <w:p>
            <w:pPr>
              <w:pStyle w:val="Normal"/>
              <w:numPr>
                <w:ilvl w:val="0"/>
                <w:numId w:val="0"/>
              </w:numPr>
              <w:shd w:val="clear" w:fill="FFFFFF"/>
              <w:spacing w:before="0" w:after="200"/>
              <w:ind w:left="0" w:hanging="0"/>
              <w:jc w:val="right"/>
              <w:outlineLvl w:val="0"/>
              <w:rPr/>
            </w:pPr>
            <w:r>
              <w:rPr>
                <w:rFonts w:cs="Times New Roman" w:ascii="Times New Roman" w:hAnsi="Times New Roman"/>
                <w:color w:val="000000"/>
                <w:shd w:fill="FFFFFF" w:val="clear"/>
              </w:rPr>
              <w:t>4 359,36</w:t>
            </w:r>
          </w:p>
        </w:tc>
        <w:tc>
          <w:tcPr>
            <w:tcW w:w="2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hd w:val="clear" w:fill="FFFFFF"/>
              <w:tabs>
                <w:tab w:val="left" w:pos="0" w:leader="none"/>
                <w:tab w:val="left" w:pos="284" w:leader="none"/>
              </w:tabs>
              <w:spacing w:lineRule="auto" w:line="240" w:before="0" w:after="0"/>
              <w:jc w:val="right"/>
              <w:rPr>
                <w:color w:val="000000"/>
                <w:highlight w:val="white"/>
              </w:rPr>
            </w:pPr>
            <w:r>
              <w:rPr>
                <w:rFonts w:eastAsia="Calibri" w:cs="Times New Roman" w:ascii="Times New Roman" w:hAnsi="Times New Roman"/>
                <w:color w:val="000000"/>
                <w:shd w:fill="FFFFFF" w:val="clear"/>
                <w14:ligatures w14:val="standardContextual"/>
              </w:rPr>
              <w:t>2 года</w:t>
            </w:r>
          </w:p>
        </w:tc>
      </w:tr>
      <w:tr>
        <w:trPr>
          <w:trHeight w:val="315" w:hRule="atLeast"/>
          <w:cantSplit w:val="true"/>
        </w:trPr>
        <w:tc>
          <w:tcPr>
            <w:tcW w:w="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2.</w:t>
            </w:r>
          </w:p>
        </w:tc>
        <w:tc>
          <w:tcPr>
            <w:tcW w:w="282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numPr>
                <w:ilvl w:val="0"/>
                <w:numId w:val="0"/>
              </w:numPr>
              <w:spacing w:before="0" w:after="200"/>
              <w:ind w:left="0" w:hanging="0"/>
              <w:outlineLvl w:val="0"/>
              <w:rPr>
                <w:rFonts w:ascii="Times New Roman" w:hAnsi="Times New Roman" w:cs="Times New Roman"/>
              </w:rPr>
            </w:pPr>
            <w:r>
              <w:rPr>
                <w:rFonts w:cs="Times New Roman" w:ascii="Times New Roman" w:hAnsi="Times New Roman"/>
              </w:rPr>
              <w:t>Расширение лицензии на Dr.Web Enterprise Security Suite сертифицированный ФСТЭК России (сертификат №3509) CERT-FST. Реестровая запись №48 от 20.02.2016</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center"/>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1</w:t>
            </w:r>
          </w:p>
        </w:tc>
        <w:tc>
          <w:tcPr>
            <w:tcW w:w="229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numPr>
                <w:ilvl w:val="0"/>
                <w:numId w:val="0"/>
              </w:numPr>
              <w:shd w:val="clear" w:fill="FFFFFF"/>
              <w:spacing w:before="0" w:after="200"/>
              <w:ind w:left="0" w:hanging="0"/>
              <w:jc w:val="right"/>
              <w:outlineLvl w:val="0"/>
              <w:rPr>
                <w:color w:val="000000"/>
                <w:highlight w:val="white"/>
              </w:rPr>
            </w:pPr>
            <w:r>
              <w:rPr>
                <w:rFonts w:cs="Times New Roman" w:ascii="Times New Roman" w:hAnsi="Times New Roman"/>
                <w:color w:val="000000"/>
                <w:shd w:fill="FFFFFF" w:val="clear"/>
              </w:rPr>
              <w:t>1 250,00</w:t>
            </w:r>
          </w:p>
        </w:tc>
        <w:tc>
          <w:tcPr>
            <w:tcW w:w="1786" w:type="dxa"/>
            <w:tcBorders>
              <w:bottom w:val="single" w:sz="4" w:space="0" w:color="000000"/>
              <w:right w:val="single" w:sz="4" w:space="0" w:color="000000"/>
              <w:insideH w:val="single" w:sz="4" w:space="0" w:color="000000"/>
              <w:insideV w:val="single" w:sz="4" w:space="0" w:color="000000"/>
            </w:tcBorders>
            <w:shd w:fill="FFFFFF" w:val="clear"/>
            <w:vAlign w:val="center"/>
          </w:tcPr>
          <w:p>
            <w:pPr>
              <w:pStyle w:val="Normal"/>
              <w:numPr>
                <w:ilvl w:val="0"/>
                <w:numId w:val="0"/>
              </w:numPr>
              <w:shd w:val="clear" w:fill="FFFFFF"/>
              <w:spacing w:before="0" w:after="200"/>
              <w:ind w:left="0" w:hanging="0"/>
              <w:jc w:val="right"/>
              <w:outlineLvl w:val="0"/>
              <w:rPr/>
            </w:pPr>
            <w:r>
              <w:rPr>
                <w:rFonts w:cs="Times New Roman" w:ascii="Times New Roman" w:hAnsi="Times New Roman"/>
                <w:color w:val="000000"/>
                <w:shd w:fill="FFFFFF" w:val="clear"/>
              </w:rPr>
              <w:t xml:space="preserve">1 </w:t>
            </w:r>
            <w:r>
              <w:rPr>
                <w:rFonts w:eastAsia="Calibri" w:cs="Times New Roman" w:ascii="Times New Roman" w:hAnsi="Times New Roman"/>
                <w:color w:val="000000"/>
                <w:kern w:val="0"/>
                <w:sz w:val="22"/>
                <w:szCs w:val="22"/>
                <w:shd w:fill="FFFFFF" w:val="clear"/>
                <w:lang w:val="ru-RU" w:eastAsia="en-US" w:bidi="ar-SA"/>
                <w14:ligatures w14:val="standardContextual"/>
              </w:rPr>
              <w:t>250,00</w:t>
            </w:r>
          </w:p>
        </w:tc>
        <w:tc>
          <w:tcPr>
            <w:tcW w:w="2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hd w:val="clear" w:fill="FFFFFF"/>
              <w:tabs>
                <w:tab w:val="left" w:pos="0" w:leader="none"/>
                <w:tab w:val="left" w:pos="284" w:leader="none"/>
              </w:tabs>
              <w:spacing w:lineRule="auto" w:line="240" w:before="0" w:after="0"/>
              <w:jc w:val="right"/>
              <w:rPr>
                <w:color w:val="000000"/>
                <w:highlight w:val="white"/>
              </w:rPr>
            </w:pPr>
            <w:r>
              <w:rPr>
                <w:rFonts w:eastAsia="Calibri" w:cs="Times New Roman" w:ascii="Times New Roman" w:hAnsi="Times New Roman"/>
                <w:color w:val="000000"/>
                <w:shd w:fill="FFFFFF" w:val="clear"/>
                <w14:ligatures w14:val="standardContextual"/>
              </w:rPr>
              <w:t>2 года</w:t>
            </w:r>
          </w:p>
        </w:tc>
      </w:tr>
      <w:tr>
        <w:trPr>
          <w:trHeight w:val="334" w:hRule="atLeast"/>
          <w:cantSplit w:val="true"/>
        </w:trPr>
        <w:tc>
          <w:tcPr>
            <w:tcW w:w="618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ИТОГО:</w:t>
            </w:r>
          </w:p>
        </w:tc>
        <w:tc>
          <w:tcPr>
            <w:tcW w:w="17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right"/>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t>5 609,36</w:t>
            </w:r>
          </w:p>
        </w:tc>
        <w:tc>
          <w:tcPr>
            <w:tcW w:w="2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r>
          </w:p>
        </w:tc>
      </w:tr>
      <w:tr>
        <w:trPr>
          <w:trHeight w:val="334" w:hRule="atLeast"/>
          <w:cantSplit w:val="true"/>
        </w:trPr>
        <w:tc>
          <w:tcPr>
            <w:tcW w:w="10062"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i/>
                <w:i/>
                <w14:ligatures w14:val="standardContextual"/>
              </w:rPr>
            </w:pPr>
            <w:r>
              <w:rPr>
                <w:rFonts w:eastAsia="Calibri" w:cs="Times New Roman" w:ascii="Times New Roman" w:hAnsi="Times New Roman"/>
                <w:i/>
                <w14:ligatures w14:val="standardContextual"/>
              </w:rPr>
              <w:t xml:space="preserve">Передача </w:t>
            </w:r>
            <w:r>
              <w:rPr>
                <w:rFonts w:eastAsia="Times New Roman" w:cs="Times New Roman" w:ascii="Times New Roman" w:hAnsi="Times New Roman"/>
                <w:i/>
                <w:lang w:eastAsia="ru-RU"/>
                <w14:ligatures w14:val="standardContextual"/>
              </w:rPr>
              <w:t>неисключительных прав на использование программных продуктов (простые неисключительные лицензии</w:t>
            </w:r>
            <w:r>
              <w:rPr>
                <w:rFonts w:eastAsia="Calibri" w:cs="Times New Roman" w:ascii="Times New Roman" w:hAnsi="Times New Roman"/>
                <w:i/>
                <w14:ligatures w14:val="standardContextual"/>
              </w:rPr>
              <w:t xml:space="preserve"> не облагается НДС согласно п.п. 26 п. 2 ст. 149 главы 21 Налогового кодекса РФ.</w:t>
            </w:r>
          </w:p>
        </w:tc>
      </w:tr>
    </w:tbl>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r>
    </w:p>
    <w:p>
      <w:pPr>
        <w:pStyle w:val="Normal"/>
        <w:widowControl w:val="false"/>
        <w:tabs>
          <w:tab w:val="left" w:pos="0" w:leader="none"/>
          <w:tab w:val="left" w:pos="284" w:leader="none"/>
        </w:tabs>
        <w:spacing w:lineRule="auto" w:line="240" w:before="0" w:after="0"/>
        <w:jc w:val="both"/>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sz w:val="18"/>
          <w:szCs w:val="18"/>
        </w:rPr>
      </w:pPr>
      <w:r>
        <w:rPr>
          <w:rFonts w:eastAsia="Calibri" w:cs="Times New Roman" w:ascii="Times New Roman" w:hAnsi="Times New Roman"/>
          <w:sz w:val="18"/>
          <w:szCs w:val="18"/>
        </w:rPr>
        <w:t>Лицензиат наделен соответствующими полномочиями по передаче прав на программные продукты, распространяемые АО «Аксофт» в соответствии с Лицензионным договором №061212/10422 от 06.12.2012.</w:t>
      </w:r>
    </w:p>
    <w:p>
      <w:pPr>
        <w:pStyle w:val="Normal"/>
        <w:spacing w:lineRule="auto" w:line="259" w:before="0" w:after="160"/>
        <w:rPr>
          <w:rFonts w:ascii="Times New Roman" w:hAnsi="Times New Roman" w:eastAsia="Calibri" w:cs="Times New Roman"/>
          <w14:ligatures w14:val="standardContextual"/>
        </w:rPr>
      </w:pPr>
      <w:r>
        <w:rPr>
          <w:rFonts w:eastAsia="Calibri" w:cs="Times New Roman" w:ascii="Times New Roman" w:hAnsi="Times New Roman"/>
          <w14:ligatures w14:val="standardContextual"/>
        </w:rPr>
      </w:r>
    </w:p>
    <w:p>
      <w:pPr>
        <w:pStyle w:val="Normal"/>
        <w:tabs>
          <w:tab w:val="left" w:pos="0" w:leader="none"/>
          <w:tab w:val="left" w:pos="284" w:leader="none"/>
        </w:tabs>
        <w:spacing w:lineRule="auto" w:line="240" w:before="0" w:after="0"/>
        <w:contextualSpacing/>
        <w:jc w:val="both"/>
        <w:rPr>
          <w:rFonts w:ascii="Times New Roman" w:hAnsi="Times New Roman" w:eastAsia="Calibri" w:cs="Times New Roman"/>
          <w:sz w:val="18"/>
          <w:szCs w:val="18"/>
        </w:rPr>
      </w:pPr>
      <w:r>
        <w:rPr>
          <w:rFonts w:eastAsia="Calibri" w:cs="Times New Roman" w:ascii="Times New Roman" w:hAnsi="Times New Roman"/>
          <w:sz w:val="18"/>
          <w:szCs w:val="18"/>
        </w:rPr>
      </w:r>
    </w:p>
    <w:tbl>
      <w:tblPr>
        <w:tblStyle w:val="ab"/>
        <w:tblW w:w="9923" w:type="dxa"/>
        <w:jc w:val="left"/>
        <w:tblInd w:w="0" w:type="dxa"/>
        <w:tblCellMar>
          <w:top w:w="0" w:type="dxa"/>
          <w:left w:w="113" w:type="dxa"/>
          <w:bottom w:w="0" w:type="dxa"/>
          <w:right w:w="108" w:type="dxa"/>
        </w:tblCellMar>
        <w:tblLook w:noVBand="1" w:val="04a0" w:noHBand="0" w:lastColumn="0" w:firstColumn="1" w:lastRow="0" w:firstRow="1"/>
      </w:tblPr>
      <w:tblGrid>
        <w:gridCol w:w="5103"/>
        <w:gridCol w:w="4819"/>
      </w:tblGrid>
      <w:tr>
        <w:trPr>
          <w:trHeight w:val="752" w:hRule="atLeast"/>
        </w:trPr>
        <w:tc>
          <w:tcPr>
            <w:tcW w:w="5103"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b/>
                <w:b/>
                <w:lang w:eastAsia="zh-CN"/>
              </w:rPr>
            </w:pPr>
            <w:r>
              <w:rPr>
                <w:rFonts w:eastAsia="Times New Roman" w:cs="Times New Roman" w:ascii="Times New Roman" w:hAnsi="Times New Roman"/>
                <w:b/>
                <w:kern w:val="0"/>
                <w:sz w:val="22"/>
                <w:szCs w:val="22"/>
                <w:lang w:val="ru-RU" w:eastAsia="zh-CN" w:bidi="ar-SA"/>
              </w:rPr>
              <w:t>ЛИЦЕНЗИАТ:</w:t>
            </w:r>
          </w:p>
          <w:p>
            <w:pPr>
              <w:pStyle w:val="Normal"/>
              <w:widowControl/>
              <w:tabs>
                <w:tab w:val="left" w:pos="0" w:leader="none"/>
                <w:tab w:val="left" w:pos="284" w:leader="none"/>
                <w:tab w:val="left" w:pos="567" w:leader="none"/>
              </w:tabs>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rPr>
            </w:r>
          </w:p>
        </w:tc>
        <w:tc>
          <w:tcPr>
            <w:tcW w:w="4819"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b/>
                <w:b/>
                <w:lang w:eastAsia="zh-CN"/>
              </w:rPr>
            </w:pPr>
            <w:r>
              <w:rPr>
                <w:rFonts w:eastAsia="Times New Roman" w:cs="Times New Roman" w:ascii="Times New Roman" w:hAnsi="Times New Roman"/>
                <w:b/>
                <w:kern w:val="0"/>
                <w:sz w:val="22"/>
                <w:szCs w:val="22"/>
                <w:lang w:val="ru-RU" w:eastAsia="zh-CN" w:bidi="ar-SA"/>
              </w:rPr>
              <w:t>СУБЛИЦЕНЗИАТ:</w:t>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ru-RU" w:eastAsia="zh-CN" w:bidi="ar-SA"/>
              </w:rPr>
              <w:t>Главное управление Федеральной службы судебных приставов по Кемеровской области – Кузбассу</w:t>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ru-RU" w:eastAsia="zh-CN" w:bidi="ar-SA"/>
              </w:rPr>
              <w:t>ОГРН 1044205103832</w:t>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tc>
      </w:tr>
      <w:tr>
        <w:trPr/>
        <w:tc>
          <w:tcPr>
            <w:tcW w:w="5103"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tc>
        <w:tc>
          <w:tcPr>
            <w:tcW w:w="4819" w:type="dxa"/>
            <w:tcBorders>
              <w:top w:val="nil"/>
              <w:left w:val="nil"/>
              <w:bottom w:val="nil"/>
              <w:right w:val="nil"/>
              <w:insideH w:val="nil"/>
              <w:insideV w:val="nil"/>
            </w:tcBorders>
            <w:shd w:fill="auto" w:val="clear"/>
          </w:tcPr>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ru-RU" w:eastAsia="zh-CN" w:bidi="ar-SA"/>
              </w:rPr>
              <w:t>Заместитель руководителя</w:t>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lang w:eastAsia="zh-CN"/>
              </w:rPr>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ru-RU" w:eastAsia="zh-CN" w:bidi="ar-SA"/>
              </w:rPr>
              <w:t xml:space="preserve">_________________  </w:t>
            </w:r>
            <w:r>
              <w:rPr>
                <w:rFonts w:eastAsia="Calibri" w:cs="Times New Roman" w:ascii="Times New Roman" w:hAnsi="Times New Roman"/>
                <w:i w:val="false"/>
                <w:iCs w:val="false"/>
                <w:kern w:val="0"/>
                <w:sz w:val="22"/>
                <w:szCs w:val="22"/>
                <w:lang w:val="ru-RU" w:eastAsia="en-US" w:bidi="ar-SA"/>
              </w:rPr>
              <w:t>Е.А. Щербакова</w:t>
            </w:r>
          </w:p>
          <w:p>
            <w:pPr>
              <w:pStyle w:val="Normal"/>
              <w:widowControl/>
              <w:tabs>
                <w:tab w:val="left" w:pos="0" w:leader="none"/>
                <w:tab w:val="left" w:pos="284" w:leader="none"/>
                <w:tab w:val="left" w:pos="567" w:leader="none"/>
              </w:tabs>
              <w:suppressAutoHyphens w:val="tru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ru-RU" w:eastAsia="zh-CN" w:bidi="ar-SA"/>
              </w:rPr>
              <w:t>М.П.</w:t>
            </w:r>
          </w:p>
        </w:tc>
      </w:tr>
    </w:tbl>
    <w:p>
      <w:pPr>
        <w:pStyle w:val="Normal"/>
        <w:widowControl w:val="false"/>
        <w:tabs>
          <w:tab w:val="left" w:pos="0" w:leader="none"/>
          <w:tab w:val="left" w:pos="284" w:leader="none"/>
        </w:tabs>
        <w:spacing w:lineRule="auto" w:line="240" w:before="0" w:after="0"/>
        <w:jc w:val="both"/>
        <w:rPr/>
      </w:pPr>
      <w:r>
        <w:rPr/>
      </w:r>
    </w:p>
    <w:sectPr>
      <w:type w:val="nextPage"/>
      <w:pgSz w:w="11906" w:h="16838"/>
      <w:pgMar w:left="993" w:right="850" w:header="0" w:top="709"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 Sans">
    <w:charset w:val="01"/>
    <w:family w:val="roman"/>
    <w:pitch w:val="variable"/>
  </w:font>
  <w:font w:name="Arial">
    <w:charset w:val="01"/>
    <w:family w:val="roman"/>
    <w:pitch w:val="variable"/>
  </w:font>
  <w:font w:name="Calibri">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587" w:hanging="357"/>
      </w:pPr>
      <w:rPr>
        <w:b w:val="false"/>
        <w:bCs w:val="false"/>
        <w:rFonts w:ascii="Times New Roman" w:hAnsi="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3"/>
      <w:numFmt w:val="decimal"/>
      <w:lvlText w:val="%1."/>
      <w:lvlJc w:val="left"/>
      <w:pPr>
        <w:ind w:left="360" w:hanging="360"/>
      </w:pPr>
      <w:rPr>
        <w:b/>
        <w:rFonts w:ascii="Times New Roman" w:hAnsi="Times New Roman"/>
        <w:color w:val="auto"/>
      </w:rPr>
    </w:lvl>
    <w:lvl w:ilvl="1">
      <w:start w:val="9"/>
      <w:numFmt w:val="decimal"/>
      <w:lvlText w:val="%1.%2."/>
      <w:lvlJc w:val="left"/>
      <w:pPr>
        <w:ind w:left="360" w:hanging="360"/>
      </w:pPr>
      <w:rPr>
        <w:rFonts w:ascii="Times New Roman" w:hAnsi="Times New Roman"/>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lvl w:ilvl="0">
      <w:start w:val="4"/>
      <w:numFmt w:val="decimal"/>
      <w:lvlText w:val="%1."/>
      <w:lvlJc w:val="left"/>
      <w:pPr>
        <w:ind w:left="360" w:hanging="360"/>
      </w:pPr>
      <w:rPr>
        <w:b/>
        <w:rFonts w:ascii="Times New Roman" w:hAnsi="Times New Roman" w:eastAsia="Times New Roman"/>
        <w:color w:val="auto"/>
      </w:rPr>
    </w:lvl>
    <w:lvl w:ilvl="1">
      <w:start w:val="1"/>
      <w:numFmt w:val="decimal"/>
      <w:lvlText w:val="%1.%2."/>
      <w:lvlJc w:val="left"/>
      <w:pPr>
        <w:ind w:left="360" w:hanging="360"/>
      </w:pPr>
      <w:rPr>
        <w:rFonts w:ascii="Times New Roman" w:hAnsi="Times New Roman" w:eastAsia="Times New Roman"/>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28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753288"/>
    <w:rPr/>
  </w:style>
  <w:style w:type="character" w:styleId="Style15" w:customStyle="1">
    <w:name w:val="Нижний колонтитул Знак"/>
    <w:basedOn w:val="DefaultParagraphFont"/>
    <w:uiPriority w:val="99"/>
    <w:qFormat/>
    <w:rsid w:val="00753288"/>
    <w:rPr/>
  </w:style>
  <w:style w:type="character" w:styleId="Strong">
    <w:name w:val="Strong"/>
    <w:basedOn w:val="DefaultParagraphFont"/>
    <w:uiPriority w:val="22"/>
    <w:qFormat/>
    <w:rsid w:val="00753288"/>
    <w:rPr>
      <w:b/>
      <w:bCs/>
    </w:rPr>
  </w:style>
  <w:style w:type="character" w:styleId="Style16">
    <w:name w:val="Выделение"/>
    <w:basedOn w:val="DefaultParagraphFont"/>
    <w:uiPriority w:val="20"/>
    <w:qFormat/>
    <w:rsid w:val="00753288"/>
    <w:rPr>
      <w:i/>
      <w:iCs/>
    </w:rPr>
  </w:style>
  <w:style w:type="character" w:styleId="Annotationreference">
    <w:name w:val="annotation reference"/>
    <w:basedOn w:val="DefaultParagraphFont"/>
    <w:uiPriority w:val="99"/>
    <w:semiHidden/>
    <w:unhideWhenUsed/>
    <w:qFormat/>
    <w:rsid w:val="00db26e1"/>
    <w:rPr>
      <w:sz w:val="16"/>
      <w:szCs w:val="16"/>
    </w:rPr>
  </w:style>
  <w:style w:type="character" w:styleId="Style17" w:customStyle="1">
    <w:name w:val="Текст примечания Знак"/>
    <w:basedOn w:val="DefaultParagraphFont"/>
    <w:link w:val="Annotationtext"/>
    <w:uiPriority w:val="99"/>
    <w:semiHidden/>
    <w:qFormat/>
    <w:rsid w:val="00db26e1"/>
    <w:rPr>
      <w:sz w:val="20"/>
      <w:szCs w:val="20"/>
      <w14:ligatures w14:val="standardContextual"/>
    </w:rPr>
  </w:style>
  <w:style w:type="character" w:styleId="Style18">
    <w:name w:val="Интернет-ссылка"/>
    <w:rPr>
      <w:color w:val="000080"/>
      <w:u w:val="single"/>
    </w:rPr>
  </w:style>
  <w:style w:type="character" w:styleId="ListLabel1">
    <w:name w:val="ListLabel 1"/>
    <w:qFormat/>
    <w:rPr>
      <w:rFonts w:ascii="Times New Roman" w:hAnsi="Times New Roman"/>
      <w:b w:val="false"/>
      <w:bCs w:val="false"/>
    </w:rPr>
  </w:style>
  <w:style w:type="character" w:styleId="ListLabel2">
    <w:name w:val="ListLabel 2"/>
    <w:qFormat/>
    <w:rPr>
      <w:rFonts w:ascii="Times New Roman" w:hAnsi="Times New Roman"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Times New Roman" w:hAnsi="Times New Roman"/>
      <w:b/>
      <w:color w:val="auto"/>
    </w:rPr>
  </w:style>
  <w:style w:type="character" w:styleId="ListLabel12">
    <w:name w:val="ListLabel 12"/>
    <w:qFormat/>
    <w:rPr>
      <w:rFonts w:ascii="Times New Roman" w:hAnsi="Times New Roman"/>
      <w:color w:val="auto"/>
    </w:rPr>
  </w:style>
  <w:style w:type="character" w:styleId="ListLabel13">
    <w:name w:val="ListLabel 13"/>
    <w:qFormat/>
    <w:rPr>
      <w:color w:val="auto"/>
    </w:rPr>
  </w:style>
  <w:style w:type="character" w:styleId="ListLabel14">
    <w:name w:val="ListLabel 14"/>
    <w:qFormat/>
    <w:rPr>
      <w:color w:val="auto"/>
    </w:rPr>
  </w:style>
  <w:style w:type="character" w:styleId="ListLabel15">
    <w:name w:val="ListLabel 15"/>
    <w:qFormat/>
    <w:rPr>
      <w:color w:val="auto"/>
    </w:rPr>
  </w:style>
  <w:style w:type="character" w:styleId="ListLabel16">
    <w:name w:val="ListLabel 16"/>
    <w:qFormat/>
    <w:rPr>
      <w:color w:val="auto"/>
    </w:rPr>
  </w:style>
  <w:style w:type="character" w:styleId="ListLabel17">
    <w:name w:val="ListLabel 17"/>
    <w:qFormat/>
    <w:rPr>
      <w:color w:val="auto"/>
    </w:rPr>
  </w:style>
  <w:style w:type="character" w:styleId="ListLabel18">
    <w:name w:val="ListLabel 18"/>
    <w:qFormat/>
    <w:rPr>
      <w:color w:val="auto"/>
    </w:rPr>
  </w:style>
  <w:style w:type="character" w:styleId="ListLabel19">
    <w:name w:val="ListLabel 19"/>
    <w:qFormat/>
    <w:rPr>
      <w:color w:val="auto"/>
    </w:rPr>
  </w:style>
  <w:style w:type="character" w:styleId="ListLabel20">
    <w:name w:val="ListLabel 20"/>
    <w:qFormat/>
    <w:rPr>
      <w:rFonts w:ascii="Times New Roman" w:hAnsi="Times New Roman" w:eastAsia="Times New Roman"/>
      <w:b/>
      <w:color w:val="auto"/>
    </w:rPr>
  </w:style>
  <w:style w:type="character" w:styleId="ListLabel21">
    <w:name w:val="ListLabel 21"/>
    <w:qFormat/>
    <w:rPr>
      <w:rFonts w:ascii="Times New Roman" w:hAnsi="Times New Roman" w:eastAsia="Times New Roman"/>
      <w:color w:val="auto"/>
    </w:rPr>
  </w:style>
  <w:style w:type="character" w:styleId="ListLabel22">
    <w:name w:val="ListLabel 22"/>
    <w:qFormat/>
    <w:rPr>
      <w:rFonts w:eastAsia="Times New Roman"/>
      <w:color w:val="auto"/>
    </w:rPr>
  </w:style>
  <w:style w:type="character" w:styleId="ListLabel23">
    <w:name w:val="ListLabel 23"/>
    <w:qFormat/>
    <w:rPr>
      <w:rFonts w:eastAsia="Times New Roman"/>
      <w:color w:val="auto"/>
    </w:rPr>
  </w:style>
  <w:style w:type="character" w:styleId="ListLabel24">
    <w:name w:val="ListLabel 24"/>
    <w:qFormat/>
    <w:rPr>
      <w:rFonts w:eastAsia="Times New Roman"/>
      <w:color w:val="auto"/>
    </w:rPr>
  </w:style>
  <w:style w:type="character" w:styleId="ListLabel25">
    <w:name w:val="ListLabel 25"/>
    <w:qFormat/>
    <w:rPr>
      <w:rFonts w:eastAsia="Times New Roman"/>
      <w:color w:val="auto"/>
    </w:rPr>
  </w:style>
  <w:style w:type="character" w:styleId="ListLabel26">
    <w:name w:val="ListLabel 26"/>
    <w:qFormat/>
    <w:rPr>
      <w:rFonts w:eastAsia="Times New Roman"/>
      <w:color w:val="auto"/>
    </w:rPr>
  </w:style>
  <w:style w:type="character" w:styleId="ListLabel27">
    <w:name w:val="ListLabel 27"/>
    <w:qFormat/>
    <w:rPr>
      <w:rFonts w:eastAsia="Times New Roman"/>
      <w:color w:val="auto"/>
    </w:rPr>
  </w:style>
  <w:style w:type="character" w:styleId="ListLabel28">
    <w:name w:val="ListLabel 28"/>
    <w:qFormat/>
    <w:rPr>
      <w:rFonts w:eastAsia="Times New Roman"/>
      <w:color w:val="auto"/>
    </w:rPr>
  </w:style>
  <w:style w:type="paragraph" w:styleId="Style19">
    <w:name w:val="Заголовок"/>
    <w:basedOn w:val="Normal"/>
    <w:next w:val="Style20"/>
    <w:qFormat/>
    <w:pPr>
      <w:keepNext w:val="true"/>
      <w:spacing w:before="240" w:after="120"/>
    </w:pPr>
    <w:rPr>
      <w:rFonts w:ascii="Open Sans" w:hAnsi="Open Sans" w:eastAsia="Tahoma"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Колонтитул"/>
    <w:basedOn w:val="Normal"/>
    <w:qFormat/>
    <w:pPr/>
    <w:rPr/>
  </w:style>
  <w:style w:type="paragraph" w:styleId="Style25">
    <w:name w:val="Header"/>
    <w:basedOn w:val="Normal"/>
    <w:link w:val="Style14"/>
    <w:uiPriority w:val="99"/>
    <w:unhideWhenUsed/>
    <w:rsid w:val="00753288"/>
    <w:pPr>
      <w:tabs>
        <w:tab w:val="center" w:pos="7143" w:leader="none"/>
        <w:tab w:val="right" w:pos="14287" w:leader="none"/>
      </w:tabs>
      <w:spacing w:lineRule="auto" w:line="240" w:before="0" w:after="0"/>
    </w:pPr>
    <w:rPr/>
  </w:style>
  <w:style w:type="paragraph" w:styleId="Style26">
    <w:name w:val="Footer"/>
    <w:basedOn w:val="Normal"/>
    <w:link w:val="Style15"/>
    <w:uiPriority w:val="99"/>
    <w:unhideWhenUsed/>
    <w:rsid w:val="00753288"/>
    <w:pPr>
      <w:tabs>
        <w:tab w:val="center" w:pos="7143" w:leader="none"/>
        <w:tab w:val="right" w:pos="14287" w:leader="none"/>
      </w:tabs>
      <w:spacing w:lineRule="auto" w:line="240" w:before="0" w:after="0"/>
    </w:pPr>
    <w:rPr/>
  </w:style>
  <w:style w:type="paragraph" w:styleId="ConsPlusNormal" w:customStyle="1">
    <w:name w:val="ConsPlusNormal"/>
    <w:qFormat/>
    <w:rsid w:val="0075328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uiPriority w:val="99"/>
    <w:qFormat/>
    <w:rsid w:val="00753288"/>
    <w:pPr>
      <w:spacing w:lineRule="auto" w:line="240" w:before="100" w:after="100"/>
    </w:pPr>
    <w:rPr>
      <w:rFonts w:ascii="Times New Roman" w:hAnsi="Times New Roman" w:eastAsia="Times New Roman" w:cs="Times New Roman"/>
      <w:sz w:val="24"/>
      <w:szCs w:val="24"/>
      <w:lang w:eastAsia="ar-SA"/>
    </w:rPr>
  </w:style>
  <w:style w:type="paragraph" w:styleId="NoSpacing">
    <w:name w:val="No Spacing"/>
    <w:uiPriority w:val="1"/>
    <w:qFormat/>
    <w:rsid w:val="00d17fc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Annotationtext">
    <w:name w:val="annotation text"/>
    <w:basedOn w:val="Normal"/>
    <w:link w:val="Style16"/>
    <w:uiPriority w:val="99"/>
    <w:semiHidden/>
    <w:unhideWhenUsed/>
    <w:qFormat/>
    <w:rsid w:val="00db26e1"/>
    <w:pPr>
      <w:spacing w:lineRule="auto" w:line="240" w:before="0" w:after="160"/>
    </w:pPr>
    <w:rPr>
      <w:sz w:val="20"/>
      <w:szCs w:val="20"/>
      <w14:ligatures w14:val="standardContextual"/>
    </w:rPr>
  </w:style>
  <w:style w:type="paragraph" w:styleId="Style27">
    <w:name w:val="Без интервала"/>
    <w:qFormat/>
    <w:pPr>
      <w:widowControl/>
      <w:suppressAutoHyphens w:val="true"/>
      <w:kinsoku w:val="true"/>
      <w:overflowPunct w:val="true"/>
      <w:autoSpaceDE w:val="true"/>
      <w:bidi w:val="0"/>
    </w:pPr>
    <w:rPr>
      <w:rFonts w:ascii="Calibri" w:hAnsi="Calibri" w:eastAsia="Calibri" w:cs="Times New Roman" w:asciiTheme="minorHAnsi" w:eastAsiaTheme="minorHAnsi" w:hAnsiTheme="minorHAnsi"/>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db26e1"/>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LibreOffice/6.0.6.1$Linux_X86_64 LibreOffice_project/00$Build-1</Application>
  <Pages>9</Pages>
  <Words>4276</Words>
  <Characters>31466</Characters>
  <CharactersWithSpaces>35957</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2026-05-20T02:26:00Z</dcterms:created>
  <dc:creator>Валерий А. Фадеев</dc:creator>
  <dc:description/>
  <dc:language>ru-RU</dc:language>
  <cp:lastModifiedBy/>
  <cp:lastPrinted>2026-05-28T17:15:36Z</cp:lastPrinted>
  <dcterms:modified xsi:type="dcterms:W3CDTF">2026-06-16T11:26:13Z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