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E0D" w:rsidRDefault="005C0E0D" w:rsidP="00246682">
      <w:pPr>
        <w:pStyle w:val="20"/>
        <w:jc w:val="both"/>
        <w:rPr>
          <w:sz w:val="24"/>
          <w:szCs w:val="24"/>
        </w:rPr>
      </w:pPr>
    </w:p>
    <w:p w:rsidR="005C0E0D" w:rsidRPr="005C0E0D" w:rsidRDefault="005C0E0D" w:rsidP="005C0E0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0" w:name="bookmark0"/>
      <w:r w:rsidRPr="005C0E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Определение цены контракта</w:t>
      </w:r>
      <w:r w:rsidRPr="005C0E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</w:r>
      <w:bookmarkEnd w:id="0"/>
      <w:r w:rsidRPr="005C0E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оказания услуг на  лабораторные испытания бронежилетов открытого ношения класса защитной структуры Бр3 на соответствие требованиям заказчика по показателям защитных свойств (</w:t>
      </w:r>
      <w:proofErr w:type="spellStart"/>
      <w:r w:rsidRPr="005C0E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пулестойкость</w:t>
      </w:r>
      <w:proofErr w:type="spellEnd"/>
      <w:r w:rsidRPr="005C0E0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имитатор осколков) при высоких, низких температурах, воздействии атмосферных осадков, площади защиты, массы изделия</w:t>
      </w:r>
    </w:p>
    <w:p w:rsidR="005C0E0D" w:rsidRPr="005C0E0D" w:rsidRDefault="005C0E0D" w:rsidP="005C0E0D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18"/>
          <w:szCs w:val="26"/>
          <w:lang w:bidi="ar-SA"/>
        </w:rPr>
      </w:pPr>
    </w:p>
    <w:p w:rsidR="005C0E0D" w:rsidRPr="005C0E0D" w:rsidRDefault="005C0E0D" w:rsidP="009D1AB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C0E0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Определение цены контракта произведено Заказчиком в соответствии со ст. 22 Фед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ерального закона от 05.04.2013 </w:t>
      </w:r>
      <w:r w:rsidRPr="005C0E0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№ 44-ФЗ 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br/>
      </w:r>
      <w:r w:rsidRPr="005C0E0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«О контрактной системе в сфере закупок товаров, работ, услуг дл</w:t>
      </w:r>
      <w:r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 xml:space="preserve">я обеспечения государственных </w:t>
      </w:r>
      <w:r w:rsidRPr="005C0E0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и муниципальных нужд».</w:t>
      </w:r>
    </w:p>
    <w:p w:rsidR="005C0E0D" w:rsidRPr="005C0E0D" w:rsidRDefault="005C0E0D" w:rsidP="009D1AB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</w:pPr>
      <w:r w:rsidRPr="005C0E0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Для проведения исследования рынка закупаемой услуги Заказчиком был направлен запрос о предоставлении ценовой информации поставщикам, размещен запрос цен в ЕИС, осуществлен поиск ценовой информации в реестре контрактов, заключенных заказчиками, и в общедоступной сети «Интернет».</w:t>
      </w:r>
    </w:p>
    <w:p w:rsidR="005F150E" w:rsidRPr="00466164" w:rsidRDefault="005C0E0D" w:rsidP="009D1AB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color w:val="auto"/>
          <w:lang w:bidi="ar-SA"/>
        </w:rPr>
      </w:pPr>
      <w:r w:rsidRPr="005C0E0D">
        <w:rPr>
          <w:rFonts w:ascii="Times New Roman" w:eastAsia="Calibri" w:hAnsi="Times New Roman" w:cs="Times New Roman"/>
          <w:color w:val="auto"/>
          <w:sz w:val="26"/>
          <w:szCs w:val="26"/>
          <w:lang w:eastAsia="en-US" w:bidi="ar-SA"/>
        </w:rPr>
        <w:t>Результат проведенного анализа рынка: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53"/>
        <w:gridCol w:w="1418"/>
        <w:gridCol w:w="1559"/>
        <w:gridCol w:w="567"/>
        <w:gridCol w:w="1559"/>
        <w:gridCol w:w="851"/>
        <w:gridCol w:w="1417"/>
        <w:gridCol w:w="1418"/>
        <w:gridCol w:w="1417"/>
      </w:tblGrid>
      <w:tr w:rsidR="009D1AB5" w:rsidRPr="00466164" w:rsidTr="009D1AB5">
        <w:trPr>
          <w:trHeight w:hRule="exact" w:val="457"/>
          <w:tblHeader/>
        </w:trPr>
        <w:tc>
          <w:tcPr>
            <w:tcW w:w="567" w:type="dxa"/>
            <w:vMerge w:val="restart"/>
            <w:vAlign w:val="center"/>
          </w:tcPr>
          <w:p w:rsidR="009D1AB5" w:rsidRPr="00466164" w:rsidRDefault="009D1AB5" w:rsidP="005F150E">
            <w:pPr>
              <w:widowControl/>
              <w:contextualSpacing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gramStart"/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</w:t>
            </w:r>
            <w:proofErr w:type="gramEnd"/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/п</w:t>
            </w:r>
          </w:p>
        </w:tc>
        <w:tc>
          <w:tcPr>
            <w:tcW w:w="5353" w:type="dxa"/>
            <w:vMerge w:val="restart"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услуги</w:t>
            </w:r>
          </w:p>
        </w:tc>
        <w:tc>
          <w:tcPr>
            <w:tcW w:w="2977" w:type="dxa"/>
            <w:gridSpan w:val="2"/>
            <w:vAlign w:val="center"/>
          </w:tcPr>
          <w:p w:rsidR="009D1AB5" w:rsidRPr="00466164" w:rsidRDefault="009D1AB5" w:rsidP="005F150E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Цена за единицу, руб.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D1AB5" w:rsidRPr="00466164" w:rsidRDefault="009D1AB5" w:rsidP="005F150E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Количество, </w:t>
            </w:r>
            <w:proofErr w:type="spellStart"/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усл</w:t>
            </w:r>
            <w:proofErr w:type="spellEnd"/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 ед.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9D1AB5" w:rsidRPr="00466164" w:rsidRDefault="009D1AB5" w:rsidP="005F150E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Средняя арифметическая величина цены единицы услуги &lt;ц&gt;, руб.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9D1AB5" w:rsidRPr="009D1AB5" w:rsidRDefault="009D1AB5" w:rsidP="009D1AB5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D1A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Коэффициент вариации цены V,</w:t>
            </w:r>
          </w:p>
          <w:p w:rsidR="009D1AB5" w:rsidRPr="00466164" w:rsidRDefault="009D1AB5" w:rsidP="009D1AB5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9D1AB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%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D1AB5" w:rsidRPr="00466164" w:rsidRDefault="009D1AB5" w:rsidP="00290E81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ЦК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&lt;ц&gt;, руб.</w:t>
            </w:r>
          </w:p>
        </w:tc>
        <w:tc>
          <w:tcPr>
            <w:tcW w:w="1418" w:type="dxa"/>
            <w:vMerge w:val="restart"/>
            <w:textDirection w:val="btLr"/>
          </w:tcPr>
          <w:p w:rsidR="009D1AB5" w:rsidRPr="00466164" w:rsidRDefault="009D1AB5" w:rsidP="00C34E6F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34E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Цены единицы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услуги</w:t>
            </w:r>
            <w:r w:rsidRPr="00C34E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 &lt;</w:t>
            </w:r>
            <w:r w:rsidR="009D6CF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ц&gt;, руб. с учетом возможностей З</w:t>
            </w:r>
            <w:r w:rsidRPr="00C34E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аказчика</w:t>
            </w:r>
          </w:p>
        </w:tc>
        <w:tc>
          <w:tcPr>
            <w:tcW w:w="1417" w:type="dxa"/>
            <w:vMerge w:val="restart"/>
            <w:textDirection w:val="btLr"/>
          </w:tcPr>
          <w:p w:rsidR="009D1AB5" w:rsidRPr="00C34E6F" w:rsidRDefault="009D6CFE" w:rsidP="009D1AB5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ЦК, руб. с учетом возможностей З</w:t>
            </w:r>
            <w:r w:rsidR="009D1AB5" w:rsidRPr="00C34E6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аказчика</w:t>
            </w:r>
          </w:p>
          <w:p w:rsidR="009D1AB5" w:rsidRPr="00C34E6F" w:rsidRDefault="009D1AB5" w:rsidP="009D1AB5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D1AB5" w:rsidRPr="00466164" w:rsidTr="009D1AB5">
        <w:trPr>
          <w:cantSplit/>
          <w:trHeight w:hRule="exact" w:val="1669"/>
          <w:tblHeader/>
        </w:trPr>
        <w:tc>
          <w:tcPr>
            <w:tcW w:w="567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3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1AB5" w:rsidRPr="009D1AB5" w:rsidRDefault="009D1AB5" w:rsidP="005F150E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9D1AB5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Исполнитель -1</w:t>
            </w:r>
          </w:p>
        </w:tc>
        <w:tc>
          <w:tcPr>
            <w:tcW w:w="1559" w:type="dxa"/>
            <w:textDirection w:val="btLr"/>
            <w:vAlign w:val="center"/>
          </w:tcPr>
          <w:p w:rsidR="009D1AB5" w:rsidRPr="009D1AB5" w:rsidRDefault="009D1AB5" w:rsidP="005F150E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</w:pPr>
            <w:r w:rsidRPr="009D1AB5">
              <w:rPr>
                <w:rFonts w:ascii="Times New Roman" w:eastAsia="Times New Roman" w:hAnsi="Times New Roman" w:cs="Times New Roman"/>
                <w:color w:val="auto"/>
                <w:sz w:val="20"/>
                <w:lang w:bidi="ar-SA"/>
              </w:rPr>
              <w:t>Исполнитель -2</w:t>
            </w:r>
          </w:p>
        </w:tc>
        <w:tc>
          <w:tcPr>
            <w:tcW w:w="567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51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9D1AB5" w:rsidRPr="00466164" w:rsidTr="009D1AB5">
        <w:trPr>
          <w:cantSplit/>
          <w:trHeight w:hRule="exact" w:val="1849"/>
          <w:tblHeader/>
        </w:trPr>
        <w:tc>
          <w:tcPr>
            <w:tcW w:w="567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353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9D1AB5" w:rsidRPr="009D1AB5" w:rsidRDefault="009D1AB5" w:rsidP="005C0E0D">
            <w:pPr>
              <w:widowControl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9D1AB5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Ответ на запрос от  15.06.2026 № 115/М</w:t>
            </w:r>
          </w:p>
        </w:tc>
        <w:tc>
          <w:tcPr>
            <w:tcW w:w="1559" w:type="dxa"/>
            <w:textDirection w:val="btLr"/>
            <w:vAlign w:val="center"/>
          </w:tcPr>
          <w:p w:rsidR="009D1AB5" w:rsidRPr="009D1AB5" w:rsidRDefault="009D1AB5" w:rsidP="005C0E0D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  <w:r w:rsidRPr="009D1AB5"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  <w:t>Ответ на запрос от  09.06.2026 № 5209/93</w:t>
            </w:r>
          </w:p>
        </w:tc>
        <w:tc>
          <w:tcPr>
            <w:tcW w:w="567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559" w:type="dxa"/>
            <w:vMerge/>
            <w:vAlign w:val="center"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851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418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417" w:type="dxa"/>
            <w:vMerge/>
          </w:tcPr>
          <w:p w:rsidR="009D1AB5" w:rsidRPr="00466164" w:rsidRDefault="009D1AB5" w:rsidP="005F150E">
            <w:pPr>
              <w:widowControl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</w:tr>
      <w:tr w:rsidR="009D1AB5" w:rsidRPr="00466164" w:rsidTr="009D1AB5">
        <w:trPr>
          <w:trHeight w:val="1396"/>
          <w:tblHeader/>
        </w:trPr>
        <w:tc>
          <w:tcPr>
            <w:tcW w:w="567" w:type="dxa"/>
            <w:vAlign w:val="center"/>
          </w:tcPr>
          <w:p w:rsidR="009D1AB5" w:rsidRPr="00466164" w:rsidRDefault="009D1AB5" w:rsidP="005F150E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5353" w:type="dxa"/>
            <w:vAlign w:val="center"/>
          </w:tcPr>
          <w:p w:rsidR="009D1AB5" w:rsidRPr="00466164" w:rsidRDefault="009D1AB5" w:rsidP="005F150E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5C0E0D">
              <w:rPr>
                <w:rFonts w:ascii="Times New Roman" w:eastAsia="Calibri" w:hAnsi="Times New Roman" w:cs="Times New Roman"/>
                <w:lang w:bidi="ar-SA"/>
              </w:rPr>
              <w:t>Лабораторные испытания бронежилетов открытого ношения класса защитной структуры Бр3 на соответствие требованиям заказчика по показателям защитных свойств (</w:t>
            </w:r>
            <w:proofErr w:type="spellStart"/>
            <w:r w:rsidRPr="005C0E0D">
              <w:rPr>
                <w:rFonts w:ascii="Times New Roman" w:eastAsia="Calibri" w:hAnsi="Times New Roman" w:cs="Times New Roman"/>
                <w:lang w:bidi="ar-SA"/>
              </w:rPr>
              <w:t>пулестойкость</w:t>
            </w:r>
            <w:proofErr w:type="spellEnd"/>
            <w:r w:rsidRPr="005C0E0D">
              <w:rPr>
                <w:rFonts w:ascii="Times New Roman" w:eastAsia="Calibri" w:hAnsi="Times New Roman" w:cs="Times New Roman"/>
                <w:lang w:bidi="ar-SA"/>
              </w:rPr>
              <w:t>, имитатор осколков) при высоких, низких температурах, воздействии атмосферных осадков, площади защиты, массы изделия</w:t>
            </w:r>
          </w:p>
        </w:tc>
        <w:tc>
          <w:tcPr>
            <w:tcW w:w="1418" w:type="dxa"/>
            <w:vAlign w:val="center"/>
          </w:tcPr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5C0E0D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230 251,66</w:t>
            </w:r>
          </w:p>
        </w:tc>
        <w:tc>
          <w:tcPr>
            <w:tcW w:w="1559" w:type="dxa"/>
            <w:vAlign w:val="center"/>
          </w:tcPr>
          <w:p w:rsidR="009D1AB5" w:rsidRPr="00466164" w:rsidRDefault="009D1AB5" w:rsidP="005C0E0D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259</w:t>
            </w:r>
            <w:r w:rsidRPr="0046616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 </w:t>
            </w: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616</w:t>
            </w:r>
            <w:r w:rsidRPr="0046616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,00</w:t>
            </w:r>
          </w:p>
        </w:tc>
        <w:tc>
          <w:tcPr>
            <w:tcW w:w="567" w:type="dxa"/>
            <w:vAlign w:val="bottom"/>
          </w:tcPr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66164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</w:t>
            </w:r>
          </w:p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559" w:type="dxa"/>
            <w:vAlign w:val="center"/>
          </w:tcPr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34E6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244 933,83</w:t>
            </w:r>
          </w:p>
        </w:tc>
        <w:tc>
          <w:tcPr>
            <w:tcW w:w="851" w:type="dxa"/>
            <w:vAlign w:val="center"/>
          </w:tcPr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8,48</w:t>
            </w:r>
          </w:p>
        </w:tc>
        <w:tc>
          <w:tcPr>
            <w:tcW w:w="1417" w:type="dxa"/>
            <w:vAlign w:val="center"/>
          </w:tcPr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C34E6F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244 933,83</w:t>
            </w:r>
          </w:p>
        </w:tc>
        <w:tc>
          <w:tcPr>
            <w:tcW w:w="1418" w:type="dxa"/>
            <w:vAlign w:val="center"/>
          </w:tcPr>
          <w:p w:rsidR="009D1AB5" w:rsidRPr="00466164" w:rsidRDefault="009D1AB5" w:rsidP="009D1AB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1AB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230 251,66</w:t>
            </w:r>
          </w:p>
        </w:tc>
        <w:tc>
          <w:tcPr>
            <w:tcW w:w="1417" w:type="dxa"/>
            <w:vAlign w:val="center"/>
          </w:tcPr>
          <w:p w:rsidR="009D1AB5" w:rsidRPr="009D1AB5" w:rsidRDefault="009D1AB5" w:rsidP="009D1AB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1AB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230 251,66</w:t>
            </w:r>
          </w:p>
        </w:tc>
      </w:tr>
      <w:tr w:rsidR="009D1AB5" w:rsidRPr="00466164" w:rsidTr="009D1AB5">
        <w:trPr>
          <w:trHeight w:val="295"/>
          <w:tblHeader/>
        </w:trPr>
        <w:tc>
          <w:tcPr>
            <w:tcW w:w="567" w:type="dxa"/>
            <w:vAlign w:val="center"/>
          </w:tcPr>
          <w:p w:rsidR="009D1AB5" w:rsidRPr="00466164" w:rsidRDefault="009D1AB5" w:rsidP="005F150E">
            <w:pPr>
              <w:widowControl/>
              <w:ind w:right="-108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353" w:type="dxa"/>
            <w:vAlign w:val="center"/>
          </w:tcPr>
          <w:p w:rsidR="009D1AB5" w:rsidRPr="009D1AB5" w:rsidRDefault="009D1AB5" w:rsidP="009D1AB5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>:</w:t>
            </w:r>
          </w:p>
        </w:tc>
        <w:tc>
          <w:tcPr>
            <w:tcW w:w="1418" w:type="dxa"/>
            <w:vAlign w:val="center"/>
          </w:tcPr>
          <w:p w:rsidR="009D1AB5" w:rsidRPr="00466164" w:rsidRDefault="009D1AB5" w:rsidP="005F15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9D1AB5" w:rsidRPr="00466164" w:rsidRDefault="009D1AB5" w:rsidP="005F150E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567" w:type="dxa"/>
            <w:vAlign w:val="center"/>
          </w:tcPr>
          <w:p w:rsidR="009D1AB5" w:rsidRPr="00466164" w:rsidRDefault="009D1AB5" w:rsidP="005F150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4661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1559" w:type="dxa"/>
            <w:vAlign w:val="center"/>
          </w:tcPr>
          <w:p w:rsidR="009D1AB5" w:rsidRPr="00466164" w:rsidRDefault="009D1AB5" w:rsidP="009D1AB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851" w:type="dxa"/>
          </w:tcPr>
          <w:p w:rsidR="009D1AB5" w:rsidRPr="00466164" w:rsidRDefault="009D1AB5" w:rsidP="005F150E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417" w:type="dxa"/>
            <w:vAlign w:val="center"/>
          </w:tcPr>
          <w:p w:rsidR="009D1AB5" w:rsidRPr="00466164" w:rsidRDefault="009D1AB5" w:rsidP="009D1AB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9D1AB5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244 933,83</w:t>
            </w:r>
          </w:p>
        </w:tc>
        <w:tc>
          <w:tcPr>
            <w:tcW w:w="1418" w:type="dxa"/>
            <w:vAlign w:val="center"/>
          </w:tcPr>
          <w:p w:rsidR="009D1AB5" w:rsidRPr="00466164" w:rsidRDefault="009D1AB5" w:rsidP="009D1AB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1417" w:type="dxa"/>
          </w:tcPr>
          <w:p w:rsidR="009D1AB5" w:rsidRPr="009D1AB5" w:rsidRDefault="009D1AB5" w:rsidP="009D1AB5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</w:pPr>
            <w:r w:rsidRPr="009D1AB5">
              <w:rPr>
                <w:rFonts w:ascii="Times New Roman" w:eastAsiaTheme="minorHAnsi" w:hAnsi="Times New Roman" w:cs="Times New Roman"/>
                <w:b/>
                <w:color w:val="auto"/>
                <w:lang w:eastAsia="en-US" w:bidi="ar-SA"/>
              </w:rPr>
              <w:t>230 251,66</w:t>
            </w:r>
          </w:p>
        </w:tc>
      </w:tr>
    </w:tbl>
    <w:p w:rsidR="00CF502F" w:rsidRPr="00466164" w:rsidRDefault="00CF502F">
      <w:pPr>
        <w:spacing w:after="79" w:line="1" w:lineRule="exact"/>
      </w:pPr>
    </w:p>
    <w:p w:rsidR="00CF502F" w:rsidRPr="009D1AB5" w:rsidRDefault="005C0E0D" w:rsidP="009D1AB5">
      <w:pPr>
        <w:pStyle w:val="11"/>
        <w:spacing w:after="120" w:line="288" w:lineRule="auto"/>
        <w:ind w:left="480" w:firstLine="660"/>
        <w:jc w:val="both"/>
        <w:rPr>
          <w:sz w:val="26"/>
          <w:szCs w:val="26"/>
        </w:rPr>
      </w:pPr>
      <w:r w:rsidRPr="009D1AB5">
        <w:rPr>
          <w:sz w:val="26"/>
          <w:szCs w:val="26"/>
        </w:rPr>
        <w:t>Цена контракта на оказания услуг на  лабораторные испытания бронежилетов открытого ношения класса защитной структуры Б</w:t>
      </w:r>
      <w:r w:rsidR="009D6CFE">
        <w:rPr>
          <w:sz w:val="26"/>
          <w:szCs w:val="26"/>
        </w:rPr>
        <w:t>р3 на соответствие требованиям З</w:t>
      </w:r>
      <w:bookmarkStart w:id="1" w:name="_GoBack"/>
      <w:bookmarkEnd w:id="1"/>
      <w:r w:rsidRPr="009D1AB5">
        <w:rPr>
          <w:sz w:val="26"/>
          <w:szCs w:val="26"/>
        </w:rPr>
        <w:t>аказчика по показателям защитных свойств (</w:t>
      </w:r>
      <w:proofErr w:type="spellStart"/>
      <w:r w:rsidRPr="009D1AB5">
        <w:rPr>
          <w:sz w:val="26"/>
          <w:szCs w:val="26"/>
        </w:rPr>
        <w:t>пулестойкость</w:t>
      </w:r>
      <w:proofErr w:type="spellEnd"/>
      <w:r w:rsidRPr="009D1AB5">
        <w:rPr>
          <w:sz w:val="26"/>
          <w:szCs w:val="26"/>
        </w:rPr>
        <w:t>, имитатор осколков) при высоких, низких температурах, воздействии атмосферных осадков, площади защиты, массы изде</w:t>
      </w:r>
      <w:r w:rsidR="009D1AB5" w:rsidRPr="009D1AB5">
        <w:rPr>
          <w:sz w:val="26"/>
          <w:szCs w:val="26"/>
        </w:rPr>
        <w:t xml:space="preserve">лия составляет 230 251,66 руб. </w:t>
      </w:r>
      <w:r w:rsidRPr="009D1AB5">
        <w:rPr>
          <w:sz w:val="26"/>
          <w:szCs w:val="26"/>
        </w:rPr>
        <w:t>(Двести тридцать тысяч двести пятьдесят один рубль 66 коп.) с учетом всех необходимых затрат.</w:t>
      </w:r>
    </w:p>
    <w:sectPr w:rsidR="00CF502F" w:rsidRPr="009D1AB5" w:rsidSect="009D1AB5">
      <w:pgSz w:w="16840" w:h="11900" w:orient="landscape"/>
      <w:pgMar w:top="142" w:right="822" w:bottom="142" w:left="545" w:header="34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DED" w:rsidRDefault="00470DED">
      <w:r>
        <w:separator/>
      </w:r>
    </w:p>
  </w:endnote>
  <w:endnote w:type="continuationSeparator" w:id="0">
    <w:p w:rsidR="00470DED" w:rsidRDefault="0047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DED" w:rsidRDefault="00470DED"/>
  </w:footnote>
  <w:footnote w:type="continuationSeparator" w:id="0">
    <w:p w:rsidR="00470DED" w:rsidRDefault="00470DE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B6F01"/>
    <w:multiLevelType w:val="multilevel"/>
    <w:tmpl w:val="6F54668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502F"/>
    <w:rsid w:val="00001F1A"/>
    <w:rsid w:val="000111F3"/>
    <w:rsid w:val="000E16EA"/>
    <w:rsid w:val="0011717C"/>
    <w:rsid w:val="00172F63"/>
    <w:rsid w:val="00173EF7"/>
    <w:rsid w:val="0018496B"/>
    <w:rsid w:val="001878BA"/>
    <w:rsid w:val="001B5CC4"/>
    <w:rsid w:val="001B6096"/>
    <w:rsid w:val="001D72F0"/>
    <w:rsid w:val="00213536"/>
    <w:rsid w:val="00214984"/>
    <w:rsid w:val="00236210"/>
    <w:rsid w:val="00246682"/>
    <w:rsid w:val="00277CFF"/>
    <w:rsid w:val="00290E81"/>
    <w:rsid w:val="002B05FE"/>
    <w:rsid w:val="002B59D5"/>
    <w:rsid w:val="00315348"/>
    <w:rsid w:val="00343A63"/>
    <w:rsid w:val="0036349D"/>
    <w:rsid w:val="00365CF9"/>
    <w:rsid w:val="00375125"/>
    <w:rsid w:val="00377472"/>
    <w:rsid w:val="003A2F0B"/>
    <w:rsid w:val="003C3261"/>
    <w:rsid w:val="003C34E8"/>
    <w:rsid w:val="003F4527"/>
    <w:rsid w:val="00410250"/>
    <w:rsid w:val="00415234"/>
    <w:rsid w:val="00466164"/>
    <w:rsid w:val="00470DED"/>
    <w:rsid w:val="004A2498"/>
    <w:rsid w:val="004C5846"/>
    <w:rsid w:val="004D27B7"/>
    <w:rsid w:val="004E6C95"/>
    <w:rsid w:val="005000AA"/>
    <w:rsid w:val="0053785A"/>
    <w:rsid w:val="00596D51"/>
    <w:rsid w:val="005A1F6B"/>
    <w:rsid w:val="005B4843"/>
    <w:rsid w:val="005C0E0D"/>
    <w:rsid w:val="005E129A"/>
    <w:rsid w:val="005E5B00"/>
    <w:rsid w:val="005F150E"/>
    <w:rsid w:val="0060793B"/>
    <w:rsid w:val="006B645C"/>
    <w:rsid w:val="006E6D6C"/>
    <w:rsid w:val="007C38C3"/>
    <w:rsid w:val="00874013"/>
    <w:rsid w:val="0088347D"/>
    <w:rsid w:val="008E675A"/>
    <w:rsid w:val="00914550"/>
    <w:rsid w:val="009334DD"/>
    <w:rsid w:val="00963CB1"/>
    <w:rsid w:val="009872AA"/>
    <w:rsid w:val="00995E39"/>
    <w:rsid w:val="009A45B4"/>
    <w:rsid w:val="009B3BD6"/>
    <w:rsid w:val="009C317E"/>
    <w:rsid w:val="009D1AB5"/>
    <w:rsid w:val="009D6CFE"/>
    <w:rsid w:val="00A43768"/>
    <w:rsid w:val="00A500FB"/>
    <w:rsid w:val="00A77163"/>
    <w:rsid w:val="00A971F8"/>
    <w:rsid w:val="00A97DDC"/>
    <w:rsid w:val="00AC0ACE"/>
    <w:rsid w:val="00AD51BE"/>
    <w:rsid w:val="00B12C76"/>
    <w:rsid w:val="00B52B91"/>
    <w:rsid w:val="00B703A8"/>
    <w:rsid w:val="00BB3006"/>
    <w:rsid w:val="00BC11FE"/>
    <w:rsid w:val="00BC4CC9"/>
    <w:rsid w:val="00C01A41"/>
    <w:rsid w:val="00C34E6F"/>
    <w:rsid w:val="00C46EF5"/>
    <w:rsid w:val="00C52147"/>
    <w:rsid w:val="00C95AC4"/>
    <w:rsid w:val="00CE3317"/>
    <w:rsid w:val="00CF3909"/>
    <w:rsid w:val="00CF502F"/>
    <w:rsid w:val="00E16BFB"/>
    <w:rsid w:val="00E23137"/>
    <w:rsid w:val="00E268E6"/>
    <w:rsid w:val="00E30DE6"/>
    <w:rsid w:val="00E55085"/>
    <w:rsid w:val="00EA542B"/>
    <w:rsid w:val="00EC5A7C"/>
    <w:rsid w:val="00EE2623"/>
    <w:rsid w:val="00EE2709"/>
    <w:rsid w:val="00F442C1"/>
    <w:rsid w:val="00F57373"/>
    <w:rsid w:val="00F610DD"/>
    <w:rsid w:val="00F72147"/>
    <w:rsid w:val="00FB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60" w:after="2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480" w:firstLine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5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pPr>
      <w:spacing w:after="110" w:line="125" w:lineRule="auto"/>
      <w:ind w:left="66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440" w:line="132" w:lineRule="auto"/>
      <w:ind w:left="1600"/>
      <w:outlineLvl w:val="1"/>
    </w:pPr>
    <w:rPr>
      <w:rFonts w:ascii="Arial" w:eastAsia="Arial" w:hAnsi="Arial" w:cs="Arial"/>
      <w:i/>
      <w:iCs/>
      <w:sz w:val="26"/>
      <w:szCs w:val="26"/>
    </w:rPr>
  </w:style>
  <w:style w:type="paragraph" w:customStyle="1" w:styleId="32">
    <w:name w:val="Основной текст (3)"/>
    <w:basedOn w:val="a"/>
    <w:link w:val="31"/>
    <w:pPr>
      <w:spacing w:after="80" w:line="190" w:lineRule="auto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153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3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pacing w:before="360" w:after="26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ind w:left="480" w:firstLine="66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Другое"/>
    <w:basedOn w:val="a"/>
    <w:link w:val="a3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5"/>
    <w:pPr>
      <w:spacing w:after="10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pPr>
      <w:spacing w:after="110" w:line="125" w:lineRule="auto"/>
      <w:ind w:left="660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pacing w:after="440" w:line="132" w:lineRule="auto"/>
      <w:ind w:left="1600"/>
      <w:outlineLvl w:val="1"/>
    </w:pPr>
    <w:rPr>
      <w:rFonts w:ascii="Arial" w:eastAsia="Arial" w:hAnsi="Arial" w:cs="Arial"/>
      <w:i/>
      <w:iCs/>
      <w:sz w:val="26"/>
      <w:szCs w:val="26"/>
    </w:rPr>
  </w:style>
  <w:style w:type="paragraph" w:customStyle="1" w:styleId="32">
    <w:name w:val="Основной текст (3)"/>
    <w:basedOn w:val="a"/>
    <w:link w:val="31"/>
    <w:pPr>
      <w:spacing w:after="80" w:line="190" w:lineRule="auto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153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34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Кожухова Екатерина Сергеевна</cp:lastModifiedBy>
  <cp:revision>72</cp:revision>
  <cp:lastPrinted>2026-06-29T14:05:00Z</cp:lastPrinted>
  <dcterms:created xsi:type="dcterms:W3CDTF">2024-12-11T08:33:00Z</dcterms:created>
  <dcterms:modified xsi:type="dcterms:W3CDTF">2026-06-29T14:32:00Z</dcterms:modified>
</cp:coreProperties>
</file>