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469A9">
      <w:pPr>
        <w:keepNext/>
        <w:widowControl/>
        <w:jc w:val="center"/>
        <w:outlineLvl w:val="0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</w:p>
    <w:p w14:paraId="56196AD4">
      <w:pPr>
        <w:keepNext/>
        <w:widowControl/>
        <w:jc w:val="center"/>
        <w:outlineLvl w:val="0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</w:p>
    <w:p w14:paraId="394A2398">
      <w:pPr>
        <w:keepNext/>
        <w:widowControl/>
        <w:jc w:val="center"/>
        <w:outlineLvl w:val="0"/>
        <w:rPr>
          <w:rFonts w:hint="default" w:ascii="Times New Roman" w:hAnsi="Times New Roman" w:eastAsia="Times New Roman" w:cs="Times New Roman"/>
          <w:b/>
          <w:bCs/>
          <w:color w:val="auto"/>
          <w:sz w:val="20"/>
          <w:szCs w:val="20"/>
          <w:lang w:val="ru-RU"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 xml:space="preserve">ДОГОВОР № 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0"/>
          <w:szCs w:val="20"/>
          <w:lang w:val="ru-RU" w:bidi="ar-SA"/>
        </w:rPr>
        <w:t>92</w:t>
      </w:r>
    </w:p>
    <w:p w14:paraId="4B929A94">
      <w:pPr>
        <w:keepNext/>
        <w:widowControl/>
        <w:jc w:val="center"/>
        <w:outlineLvl w:val="2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 xml:space="preserve">на </w:t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val="ru-RU" w:bidi="ar-SA"/>
        </w:rPr>
        <w:t>разработку</w:t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 xml:space="preserve"> проектно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0"/>
          <w:szCs w:val="20"/>
          <w:lang w:val="ru-RU" w:bidi="ar-SA"/>
        </w:rPr>
        <w:t>-сметной</w:t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 xml:space="preserve"> документации  </w:t>
      </w:r>
    </w:p>
    <w:p w14:paraId="7F54A481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074BE564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376F12CB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г. Елабуга                                                                         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                    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___________ 202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  <w:lang w:val="ru-RU" w:bidi="ar-SA"/>
        </w:rPr>
        <w:t>6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г.</w:t>
      </w:r>
    </w:p>
    <w:p w14:paraId="01E3C265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36B78881">
      <w:pPr>
        <w:keepNext/>
        <w:widowControl/>
        <w:jc w:val="both"/>
        <w:outlineLvl w:val="0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highlight w:val="yellow"/>
          <w:lang w:bidi="ar-SA"/>
        </w:rPr>
      </w:pPr>
      <w:r>
        <w:rPr>
          <w:rFonts w:ascii="Times New Roman" w:hAnsi="Times New Roman" w:eastAsia="Times New Roman"/>
          <w:sz w:val="18"/>
          <w:szCs w:val="18"/>
        </w:rPr>
        <w:t>Федеральное государственное бюджетное учреждение «Национальный парк «Нижняя Кама»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(ФГБУ «Национальный парк «Нижняя Кама»), именуемое  в дальнейшем «Заказчик», в лице директора  Имамова А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val="ru-RU" w:bidi="ar-SA"/>
        </w:rPr>
        <w:t>лексея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  <w:lang w:val="ru-RU" w:bidi="ar-SA"/>
        </w:rPr>
        <w:t xml:space="preserve"> Айратовича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val="ru-RU" w:bidi="ar-SA"/>
        </w:rPr>
        <w:t>дей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ствующего на основании Устава, с одной стороны  и  ________________________________, именуемое в дальнейшем «Исполнитель» в лице __________________________, действующего на основании  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  <w:lang w:val="ru-RU" w:bidi="ar-SA"/>
        </w:rPr>
        <w:t>__________________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с другой стороны, заключили настоящий  Договор на основании п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highlight w:val="none"/>
          <w:lang w:bidi="ar-SA"/>
        </w:rPr>
        <w:t xml:space="preserve">. 5, ч.1 ст.93  Федерального закона № 44-ФЗ «О контрактной системе в сфере закупок, товаров, работ, услуг для обеспечения государственных и муниципальных нужд» от 05.04.2013г., </w:t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highlight w:val="none"/>
          <w:lang w:bidi="ar-SA"/>
        </w:rPr>
        <w:t>ИКЗ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0"/>
          <w:szCs w:val="20"/>
          <w:highlight w:val="none"/>
          <w:lang w:val="ru-RU" w:bidi="ar-SA"/>
        </w:rPr>
        <w:t>:</w:t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highlight w:val="none"/>
          <w:lang w:bidi="ar-SA"/>
        </w:rPr>
        <w:t xml:space="preserve"> 2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0"/>
          <w:szCs w:val="20"/>
          <w:highlight w:val="none"/>
          <w:lang w:val="ru-RU" w:bidi="ar-SA"/>
        </w:rPr>
        <w:t>6</w:t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highlight w:val="none"/>
          <w:lang w:bidi="ar-SA"/>
        </w:rPr>
        <w:t>11618001016164601001000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0"/>
          <w:szCs w:val="20"/>
          <w:highlight w:val="none"/>
          <w:lang w:val="ru-RU" w:bidi="ar-SA"/>
        </w:rPr>
        <w:t>3</w:t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highlight w:val="none"/>
          <w:lang w:bidi="ar-SA"/>
        </w:rPr>
        <w:t>0000000244</w:t>
      </w:r>
    </w:p>
    <w:p w14:paraId="584D022F">
      <w:pPr>
        <w:ind w:firstLine="708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о нижеследующем:</w:t>
      </w:r>
    </w:p>
    <w:p w14:paraId="5B2D3F61">
      <w:pPr>
        <w:widowControl/>
        <w:jc w:val="both"/>
        <w:rPr>
          <w:rFonts w:ascii="Times New Roman" w:hAnsi="Times New Roman" w:eastAsia="Times New Roman" w:cs="Times New Roman"/>
          <w:b/>
          <w:color w:val="auto"/>
          <w:sz w:val="20"/>
          <w:szCs w:val="20"/>
          <w:lang w:bidi="ar-SA"/>
        </w:rPr>
      </w:pPr>
    </w:p>
    <w:p w14:paraId="054803B5">
      <w:pPr>
        <w:widowControl/>
        <w:jc w:val="center"/>
        <w:rPr>
          <w:rFonts w:ascii="Times New Roman" w:hAnsi="Times New Roman" w:eastAsia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>1.ПРЕДМЕТ ДОГОВОРА.</w:t>
      </w:r>
    </w:p>
    <w:p w14:paraId="17BA352D">
      <w:pPr>
        <w:widowControl/>
        <w:jc w:val="both"/>
        <w:outlineLvl w:val="0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1.1. Заказчик поручает и производит оплату, а Исполнитель принимает на себя 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разработк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/>
        </w:rPr>
        <w:t>у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 проектн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val="ru-RU" w:bidi="ar-SA"/>
        </w:rPr>
        <w:t>о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  <w:lang w:val="ru-RU" w:bidi="ar-SA"/>
        </w:rPr>
        <w:t>-сметной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д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0"/>
          <w:szCs w:val="20"/>
          <w:lang w:bidi="ar-SA"/>
        </w:rPr>
        <w:t>окументации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0"/>
          <w:szCs w:val="20"/>
          <w:lang w:val="ru-RU" w:bidi="ar-SA"/>
        </w:rPr>
        <w:t xml:space="preserve"> для с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оздани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/>
        </w:rPr>
        <w:t>я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интерактивной площадки отдыха в туристско‑рекреационном комплексе «Корабельная роща»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«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/>
        </w:rPr>
        <w:t>Н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ационального парка «Нижняя Кама»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0"/>
          <w:szCs w:val="20"/>
          <w:lang w:bidi="ar-SA"/>
        </w:rPr>
        <w:t>.</w:t>
      </w:r>
    </w:p>
    <w:p w14:paraId="1EFCDCE0">
      <w:pPr>
        <w:widowControl/>
        <w:jc w:val="both"/>
        <w:outlineLvl w:val="0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1.2. Научные, технические  и другие требования к технической документации, являющейся  предметом настоящего Договора, должны соответствовать требованиям  действующих нормативных документов РФ и РТ и устанавливаться прилагаемым Техническим заданием (далее задание) на проектирование (Приложение № 1).</w:t>
      </w:r>
    </w:p>
    <w:p w14:paraId="0ED019EC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1.3. Заказчик обязуется представить Исполнителю необходимые для выполнения проектных работ исходные данные. </w:t>
      </w:r>
    </w:p>
    <w:p w14:paraId="64FA08C6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1.4. Приемка и оценка проектных работ осуществляется в соответствии с требованиями утвержденного задания на проектирование.</w:t>
      </w:r>
    </w:p>
    <w:p w14:paraId="4D524C1E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5F91F9C8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>2.СТОИМОСТЬ РАБОТ И ПОРЯДОК РАСЧЕТОВ.</w:t>
      </w:r>
    </w:p>
    <w:p w14:paraId="1AA6FBC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2.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  <w:lang w:val="ru-RU" w:bidi="ar-SA"/>
        </w:rPr>
        <w:t>1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Общая сумма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val="ru-RU" w:bidi="ar-SA"/>
        </w:rPr>
        <w:t>договора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  <w:lang w:val="ru-RU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________________ (______________________________) рублей 00 копеек,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val="ru-RU" w:bidi="ar-SA"/>
        </w:rPr>
        <w:t>в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  <w:lang w:val="ru-RU" w:bidi="ar-SA"/>
        </w:rPr>
        <w:t xml:space="preserve"> том числе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НДС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  <w:lang w:val="ru-RU" w:bidi="ar-SA"/>
        </w:rPr>
        <w:t>.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 xml:space="preserve">  </w:t>
      </w:r>
      <w:r>
        <w:rPr>
          <w:rFonts w:ascii="Times New Roman" w:hAnsi="Times New Roman" w:eastAsia="Times New Roman" w:cs="Times New Roman"/>
          <w:b/>
          <w:color w:val="auto"/>
          <w:sz w:val="20"/>
          <w:szCs w:val="20"/>
          <w:lang w:bidi="ar-SA"/>
        </w:rPr>
        <w:t xml:space="preserve"> </w:t>
      </w:r>
    </w:p>
    <w:p w14:paraId="724EFC88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2.3. При необходимости корректировки принятой Заказчиком проектной работы по независящим от Исполнителя причинам, а  также изменении ценообразующих факторов, составляется дополнительное соглашение к Договору с учетом понесенных Исполнителем затрат.</w:t>
      </w:r>
    </w:p>
    <w:p w14:paraId="71FF4749">
      <w:pPr>
        <w:widowControl/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  <w:t>2.4.  Источник финансирования: средства бюджетных учреждений</w:t>
      </w:r>
    </w:p>
    <w:p w14:paraId="263370BF">
      <w:pPr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  <w:t xml:space="preserve">2.5. </w:t>
      </w:r>
      <w:r>
        <w:rPr>
          <w:rFonts w:ascii="Times New Roman" w:hAnsi="Times New Roman" w:cs="Times New Roman"/>
          <w:sz w:val="20"/>
          <w:szCs w:val="20"/>
        </w:rPr>
        <w:t>Цена договора является твердой и изменению не подлежит.</w:t>
      </w:r>
    </w:p>
    <w:p w14:paraId="75B9F1DB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6  Оплата производится в срок до пяти дней после подписания  Договора в размере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3</w:t>
      </w:r>
      <w:r>
        <w:rPr>
          <w:rFonts w:ascii="Times New Roman" w:hAnsi="Times New Roman" w:cs="Times New Roman"/>
          <w:color w:val="auto"/>
          <w:sz w:val="20"/>
          <w:szCs w:val="20"/>
        </w:rPr>
        <w:t>0% от договорной цены. Дальнейший расчет производится с момента подписания акта сдачи – приема проектн</w:t>
      </w:r>
      <w:r>
        <w:rPr>
          <w:rFonts w:ascii="Times New Roman" w:hAnsi="Times New Roman" w:cs="Times New Roman"/>
          <w:color w:val="auto"/>
          <w:sz w:val="20"/>
          <w:szCs w:val="20"/>
          <w:lang w:val="ru-RU"/>
        </w:rPr>
        <w:t>о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-сметной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документации.</w:t>
      </w:r>
    </w:p>
    <w:p w14:paraId="02988F07">
      <w:pPr>
        <w:jc w:val="both"/>
        <w:rPr>
          <w:rFonts w:ascii="Times New Roman" w:hAnsi="Times New Roman" w:eastAsia="Times New Roman" w:cs="Times New Roman"/>
          <w:bCs/>
          <w:color w:val="auto"/>
          <w:sz w:val="20"/>
          <w:szCs w:val="20"/>
          <w:lang w:bidi="ar-SA"/>
        </w:rPr>
      </w:pPr>
    </w:p>
    <w:p w14:paraId="721EE451">
      <w:pPr>
        <w:widowControl/>
        <w:jc w:val="center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 xml:space="preserve">3.СРОК  ВЫПОЛНЕНИЯ  РАБОТ. </w:t>
      </w:r>
    </w:p>
    <w:p w14:paraId="460B2D46">
      <w:pPr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3.1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Работы по данному Договору должны быть выполнены Исполнителем в полном объеме в течении 10 календарных дней после выдачи всех исходных данных.</w:t>
      </w:r>
    </w:p>
    <w:p w14:paraId="5E85AF7A">
      <w:pPr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3.2. Если в процессе выполнения работ возникнет необходимость корректировки  объемов,   сроков окончания работ, то такие изменения должны  производиться по согласованию сторон в письменной форме.</w:t>
      </w:r>
    </w:p>
    <w:p w14:paraId="12430DB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3.3. Срок действия Договора: с даты подписания Договора по 31.12.202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  <w:lang w:val="ru-RU" w:bidi="ar-SA"/>
        </w:rPr>
        <w:t>6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г.</w:t>
      </w:r>
    </w:p>
    <w:p w14:paraId="45066265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33BF9A0E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>4.ОБЯЗАННОСТИ ЗАКАЗЧИКА.</w:t>
      </w:r>
    </w:p>
    <w:p w14:paraId="1354B5B4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Заказчик обязан:</w:t>
      </w:r>
    </w:p>
    <w:p w14:paraId="09DE19B3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4.1. Своевременно передавать Исполнителю задание на проектирование.</w:t>
      </w:r>
    </w:p>
    <w:p w14:paraId="31BA56C2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4.2. Осуществлять контроль за разработкой проектной документации (в любое время проверить ход и качество работ).</w:t>
      </w:r>
    </w:p>
    <w:p w14:paraId="1F8AD18E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7F4D15B7">
      <w:pPr>
        <w:widowControl/>
        <w:jc w:val="center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>5.ОБЯЗАННОСТИ  ИСПОЛНИТЕЛЯ.</w:t>
      </w:r>
    </w:p>
    <w:p w14:paraId="50093A77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5.1. Разрабатывать своими силами и средствами проектную документацию.</w:t>
      </w:r>
    </w:p>
    <w:p w14:paraId="1B2D77B2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5.2. Нести ответственность  перед Заказчиком за надлежащее исполнение работ по настоящему Договору  его субподрядчиками.</w:t>
      </w:r>
    </w:p>
    <w:p w14:paraId="49226677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5.3. Нести ответственность перед Заказчиком за допущенные отступления от требований, предусмотренных в строительных нормах и правилах.</w:t>
      </w:r>
    </w:p>
    <w:p w14:paraId="2C45BC3D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5.4. Информировать Заказчика  о заключении договоров субподряда со специализированными организациями с предоставлением копий заключенных договоров и обеспечить контроль за ходом выполняемых ими работ.</w:t>
      </w:r>
    </w:p>
    <w:p w14:paraId="78B36A3B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5.5. За свой счет и своими силами устранять некачественно выполненные работы, допущенные при разработке проектной документации в  сроки, указанные Заказчиком.</w:t>
      </w:r>
    </w:p>
    <w:p w14:paraId="0CBC6E10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</w:p>
    <w:p w14:paraId="63E100E7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>6.ПЛАТЕЖИ И РАСЧЕТЫ.</w:t>
      </w:r>
    </w:p>
    <w:p w14:paraId="41C6EA79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6.1. Оплата выполненных работ производится на основании представленных Исполнителем актов выполненных работ, подтвержденных Заказчиком.</w:t>
      </w:r>
    </w:p>
    <w:p w14:paraId="14DC9286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572D1DD6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>7.ОТВЕТСТВЕННОСТЬ  СТОРОН.</w:t>
      </w:r>
    </w:p>
    <w:p w14:paraId="4968DDDA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7.1. За невыполнение или ненадлежащее  исполнение   обязательств по настоящему  Договору  Заказчик и Исполнитель несут ответственность в  соответствии с действующим законодательством.</w:t>
      </w:r>
    </w:p>
    <w:p w14:paraId="11905DB9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</w:p>
    <w:p w14:paraId="5FEB969D">
      <w:pPr>
        <w:widowControl/>
        <w:jc w:val="center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>8.РАСТОРЖЕНИЕ  ДОГОВОРА.</w:t>
      </w:r>
    </w:p>
    <w:p w14:paraId="56683EEF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8.1. Договор  может быть расторгнут по обоюдному  соглашению сторон.</w:t>
      </w:r>
    </w:p>
    <w:p w14:paraId="55B596C6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8.2. Заказчик имеет право потребовать расторжение настоящего Договора в следующих случаях:</w:t>
      </w:r>
    </w:p>
    <w:p w14:paraId="6B3F59B0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-нецелевого использования выделенных средств;</w:t>
      </w:r>
    </w:p>
    <w:p w14:paraId="757000AE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-некачественного выполнения работ Исполнителем, а также выполнения им работ со значительными отступлениями от требований СНиП.</w:t>
      </w:r>
    </w:p>
    <w:p w14:paraId="70F07989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8.3. Исполнитель имеет право потребовать расторжения  настоящего  Договора в следующем случае;</w:t>
      </w:r>
    </w:p>
    <w:p w14:paraId="6DD1DAEC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-утраты Заказчиком  возможности дальнейшего финансирования.</w:t>
      </w:r>
    </w:p>
    <w:p w14:paraId="3AA9005F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8.4. Сторона, решившая расторгнуть Договор, направляет письменное  уведомление другой стороне, которое  должно быть рассмотрено в течение 10 дней с момента получения. Договор подряда  расторгается в установленном  порядке.</w:t>
      </w:r>
    </w:p>
    <w:p w14:paraId="2BDECE45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8.5. При расторжении Договора по совместному решению Заказчика и Исполнителя неразрешенные работы передаются Заказчику по акту в течение 3х дней, при этом Заказчик оплачивает Исполнителю стоимость выполненных  работ в объеме, определенном ими совместно.</w:t>
      </w:r>
    </w:p>
    <w:p w14:paraId="6E6D96E5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8.6. При расторжении Договора неосвоенная сумма аванса возвращается Заказчику  Исполнителем в течение 10 дней с момента подписания акта передачи незавершенного объема работ.</w:t>
      </w:r>
    </w:p>
    <w:p w14:paraId="789F30B0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76647608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>9.ПОРЯДОК  РАЗРЕШЕНИЯ  СПОРОВ.</w:t>
      </w:r>
    </w:p>
    <w:p w14:paraId="6CD32786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9.1. Все споры или разногласия, возникающие между сторонами по настоящему Договору или в связи с ним, разрешаются с соблюдением обязательного досудебного претензионного порядка.</w:t>
      </w:r>
    </w:p>
    <w:p w14:paraId="29F4030B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9.2. В случае невозможности разрешения разногласий  путем переговоров они подлежат рассмотрению в Высшем арбитражном суде РТ в установленном законодательством порядке.</w:t>
      </w:r>
    </w:p>
    <w:p w14:paraId="6BC3904E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712EFB18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>10.ФОРС-МАЖОР.</w:t>
      </w:r>
    </w:p>
    <w:p w14:paraId="648D2497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10.1. Ни одна из сторон    не несет ответственности перед другой стороной за задержку  или невыполнение обязательств, обусловленных обстоятельствами, возникшими помимо воли и желания сторон и которые нельзя предвидеть или избежать объявленную или фактическую войну, гражданские волнения, эпидемии, блокаду, эмбарго, землетрясения, наводнения, пожары и другие стихийные  бедствия.</w:t>
      </w:r>
    </w:p>
    <w:p w14:paraId="646A0AD0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10.2. Если обстоятельства непреодолимой силы  действуют на протяжении трех последовательных месяцев и не обнаруживают признаков прекращения, настоящий Договор может быть расторгнут Заказчиком и Исполнителем путем  направления уведомления другой стороне.</w:t>
      </w:r>
    </w:p>
    <w:p w14:paraId="515EA635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126C1F67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>11.ОСОБЫЕ УСЛОВИЯ.</w:t>
      </w:r>
    </w:p>
    <w:p w14:paraId="05BEBBB3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11.1. Любые изменения и дополнения  к настоящему Договору имеют силу только в том случае, если они оформлены в письменном виде и подписаны обеими сторонами.</w:t>
      </w:r>
    </w:p>
    <w:p w14:paraId="2B621BAF">
      <w:pPr>
        <w:widowControl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11.2. Настоящий Договор составлен в двух экземплярах.</w:t>
      </w:r>
    </w:p>
    <w:p w14:paraId="33F39ABC">
      <w:pPr>
        <w:widowControl/>
        <w:jc w:val="both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  <w:t>11.3. При изменении индекса цен на проектные работы (путем введения КМ РТ соответствующих коэффициентов) в пределах сроков действия  настоящего Договора объемы выполняемых работ пересматриваются и приводятся в соответствие  объемами финансирования, согласно утвержденному титульному  списку.</w:t>
      </w:r>
    </w:p>
    <w:p w14:paraId="35198705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</w:p>
    <w:p w14:paraId="0F4BF741">
      <w:pPr>
        <w:widowControl/>
        <w:jc w:val="center"/>
        <w:rPr>
          <w:rFonts w:ascii="Times New Roman" w:hAnsi="Times New Roman" w:eastAsia="Times New Roman" w:cs="Times New Roman"/>
          <w:b/>
          <w:bCs/>
          <w:cap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 xml:space="preserve">12. </w:t>
      </w:r>
      <w:r>
        <w:rPr>
          <w:rFonts w:ascii="Times New Roman" w:hAnsi="Times New Roman" w:eastAsia="Times New Roman" w:cs="Times New Roman"/>
          <w:b/>
          <w:bCs/>
          <w:caps/>
          <w:color w:val="auto"/>
          <w:sz w:val="20"/>
          <w:szCs w:val="20"/>
          <w:lang w:bidi="ar-SA"/>
        </w:rPr>
        <w:t>Реквизиты сторон.</w:t>
      </w:r>
    </w:p>
    <w:p w14:paraId="0B866C83">
      <w:pPr>
        <w:widowControl/>
        <w:jc w:val="center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</w:p>
    <w:p w14:paraId="277EBF0F">
      <w:pPr>
        <w:keepNext/>
        <w:widowControl/>
        <w:jc w:val="both"/>
        <w:outlineLvl w:val="1"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 xml:space="preserve">              Заказчик                                          </w:t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ab/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bidi="ar-SA"/>
        </w:rPr>
        <w:t>Исполнитель</w:t>
      </w:r>
    </w:p>
    <w:p w14:paraId="166DE451">
      <w:pPr>
        <w:widowControl/>
        <w:rPr>
          <w:rFonts w:ascii="Times New Roman" w:hAnsi="Times New Roman" w:eastAsia="Times New Roman" w:cs="Times New Roman"/>
          <w:b/>
          <w:color w:val="auto"/>
          <w:sz w:val="20"/>
          <w:szCs w:val="20"/>
          <w:lang w:bidi="ar-SA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8"/>
        <w:gridCol w:w="5069"/>
      </w:tblGrid>
      <w:tr w14:paraId="53E76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9" w:type="dxa"/>
            <w:shd w:val="clear" w:color="auto" w:fill="auto"/>
          </w:tcPr>
          <w:p w14:paraId="1D6EA25E">
            <w:pPr>
              <w:widowControl/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bidi="ar-SA"/>
              </w:rPr>
              <w:t>ФГБУ «Национальный парк «Нижняя Кама»</w:t>
            </w:r>
          </w:p>
          <w:p w14:paraId="090DD34B">
            <w:pPr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30ED2E89">
            <w:pPr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РТ, Елабужский район, Танаевский лес, квартал 109</w:t>
            </w:r>
          </w:p>
          <w:p w14:paraId="7FE08150">
            <w:pPr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ИНН /КПП 1618001016/164601001</w:t>
            </w:r>
          </w:p>
          <w:p w14:paraId="18EBE87D">
            <w:pPr>
              <w:widowControl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ОКЦ № 1 ВВГУ Банка России//УФК по Нижегородской области, г Нижний Новгород    </w:t>
            </w:r>
          </w:p>
          <w:p w14:paraId="61406BB1">
            <w:pPr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lang w:bidi="ar-SA"/>
              </w:rPr>
              <w:t xml:space="preserve">к/с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  <w:t>40102810745370000024</w:t>
            </w:r>
          </w:p>
          <w:p w14:paraId="011D212A">
            <w:pPr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lang w:bidi="ar-SA"/>
              </w:rPr>
              <w:t xml:space="preserve">р/с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  <w:t>03214643000000013233</w:t>
            </w:r>
          </w:p>
          <w:p w14:paraId="679087A9">
            <w:pPr>
              <w:widowControl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lang w:bidi="ar-SA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012202102</w:t>
            </w:r>
          </w:p>
          <w:p w14:paraId="5A602562">
            <w:pPr>
              <w:widowControl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УФК по Нижегородской области, г. Нижний Новгород (ФГБУ «Национальный парк «Нижняя  Кама», л/с 20116Ц64200)</w:t>
            </w:r>
          </w:p>
          <w:p w14:paraId="2E3A4839">
            <w:pPr>
              <w:widowControl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5069" w:type="dxa"/>
            <w:shd w:val="clear" w:color="auto" w:fill="auto"/>
          </w:tcPr>
          <w:p w14:paraId="4845D72A">
            <w:pPr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14:paraId="3D508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69" w:type="dxa"/>
            <w:shd w:val="clear" w:color="auto" w:fill="auto"/>
          </w:tcPr>
          <w:p w14:paraId="6584D90E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77C9653B">
            <w:pPr>
              <w:widowControl/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Имамов</w:t>
            </w:r>
          </w:p>
          <w:p w14:paraId="5BCC5AF0">
            <w:pPr>
              <w:widowControl/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bidi="ar-SA"/>
              </w:rPr>
              <w:t>м.п.</w:t>
            </w:r>
          </w:p>
          <w:p w14:paraId="030D8406">
            <w:pPr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069" w:type="dxa"/>
            <w:shd w:val="clear" w:color="auto" w:fill="auto"/>
          </w:tcPr>
          <w:p w14:paraId="325592D6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384CAC34">
            <w:pPr>
              <w:widowControl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__________________________ </w:t>
            </w:r>
          </w:p>
          <w:p w14:paraId="2D68AEE0">
            <w:pPr>
              <w:widowControl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м.п.</w:t>
            </w:r>
          </w:p>
        </w:tc>
      </w:tr>
    </w:tbl>
    <w:p w14:paraId="4C126E0F">
      <w:pPr>
        <w:keepNext/>
        <w:widowControl/>
        <w:outlineLvl w:val="2"/>
        <w:rPr>
          <w:rFonts w:ascii="Times New Roman" w:hAnsi="Times New Roman" w:eastAsia="Times New Roman" w:cs="Times New Roman"/>
          <w:bCs/>
          <w:color w:val="333333"/>
          <w:sz w:val="20"/>
          <w:szCs w:val="20"/>
          <w:lang w:bidi="ar-SA"/>
        </w:rPr>
      </w:pPr>
    </w:p>
    <w:p w14:paraId="44FC6F35">
      <w:pPr>
        <w:wordWrap w:val="0"/>
        <w:spacing w:after="0"/>
        <w:jc w:val="right"/>
        <w:rPr>
          <w:rFonts w:ascii="Times New Roman" w:hAnsi="Times New Roman" w:cs="Times New Roman"/>
          <w:b w:val="0"/>
          <w:bCs w:val="0"/>
          <w:lang w:val="ru-RU"/>
        </w:rPr>
      </w:pPr>
    </w:p>
    <w:p w14:paraId="4B114A88">
      <w:pPr>
        <w:wordWrap w:val="0"/>
        <w:spacing w:after="0"/>
        <w:jc w:val="right"/>
        <w:rPr>
          <w:rFonts w:ascii="Times New Roman" w:hAnsi="Times New Roman" w:cs="Times New Roman"/>
          <w:b w:val="0"/>
          <w:bCs w:val="0"/>
          <w:lang w:val="ru-RU"/>
        </w:rPr>
      </w:pPr>
    </w:p>
    <w:p w14:paraId="129CCF4D">
      <w:pPr>
        <w:wordWrap w:val="0"/>
        <w:spacing w:after="0"/>
        <w:jc w:val="right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val="ru-RU"/>
        </w:rPr>
        <w:t>Приложение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 xml:space="preserve"> №1 к дог. №92 </w:t>
      </w:r>
    </w:p>
    <w:p w14:paraId="3DDFA241">
      <w:pPr>
        <w:wordWrap w:val="0"/>
        <w:spacing w:after="0"/>
        <w:jc w:val="right"/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ru-RU"/>
        </w:rPr>
        <w:t>от _____________г.</w:t>
      </w:r>
    </w:p>
    <w:p w14:paraId="338EFEF0">
      <w:pPr>
        <w:wordWrap/>
        <w:spacing w:after="0"/>
        <w:jc w:val="right"/>
        <w:rPr>
          <w:rFonts w:hint="default" w:ascii="Times New Roman" w:hAnsi="Times New Roman" w:cs="Times New Roman"/>
          <w:b w:val="0"/>
          <w:bCs w:val="0"/>
          <w:lang w:val="ru-RU"/>
        </w:rPr>
      </w:pPr>
    </w:p>
    <w:p w14:paraId="7A2F091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4A53D1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7B620E3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разработку проектно‑сметной документации для создания интерактивной площадки отдыха в туристско‑рекреационном комплексе «Корабельная роща» </w:t>
      </w:r>
      <w:r>
        <w:rPr>
          <w:rFonts w:hint="default" w:ascii="Times New Roman" w:hAnsi="Times New Roman" w:cs="Times New Roman"/>
          <w:b/>
          <w:bCs/>
          <w:lang w:val="ru-RU"/>
        </w:rPr>
        <w:t>«</w:t>
      </w:r>
      <w:r>
        <w:rPr>
          <w:rFonts w:ascii="Times New Roman" w:hAnsi="Times New Roman" w:cs="Times New Roman"/>
          <w:b/>
          <w:bCs/>
          <w:lang w:val="ru-RU"/>
        </w:rPr>
        <w:t>Н</w:t>
      </w:r>
      <w:r>
        <w:rPr>
          <w:rFonts w:ascii="Times New Roman" w:hAnsi="Times New Roman" w:cs="Times New Roman"/>
          <w:b/>
          <w:bCs/>
        </w:rPr>
        <w:t>ационального парка «Нижняя Кама»</w:t>
      </w:r>
    </w:p>
    <w:p w14:paraId="7BC8EBD6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Общие данные</w:t>
      </w:r>
    </w:p>
    <w:p w14:paraId="660C5B10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1.1. Основание для проектирования.</w:t>
      </w:r>
    </w:p>
    <w:p w14:paraId="5B3BFCA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реализуется в рамках Государственного задания (направления: экологическое просвещение, музейная и выставочная деятельность, интерактивная экспозиция), ЧЗКБК 70370.</w:t>
      </w:r>
    </w:p>
    <w:p w14:paraId="27596F04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1.2. Стадия проектирования.</w:t>
      </w:r>
    </w:p>
    <w:p w14:paraId="25BD3C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проектной документации.</w:t>
      </w:r>
    </w:p>
    <w:p w14:paraId="67B4C21D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1.3. Вид работ.</w:t>
      </w:r>
    </w:p>
    <w:p w14:paraId="2147D2D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  <w:lang w:val="ru-RU"/>
        </w:rPr>
        <w:t>Проектно</w:t>
      </w:r>
      <w:r>
        <w:rPr>
          <w:rFonts w:hint="default" w:ascii="Times New Roman" w:hAnsi="Times New Roman" w:cs="Times New Roman"/>
          <w:highlight w:val="none"/>
          <w:lang w:val="ru-RU"/>
        </w:rPr>
        <w:t xml:space="preserve">-сметная документация для создания </w:t>
      </w:r>
      <w:r>
        <w:rPr>
          <w:rFonts w:ascii="Times New Roman" w:hAnsi="Times New Roman" w:cs="Times New Roman"/>
          <w:highlight w:val="none"/>
        </w:rPr>
        <w:t>интерактивной площадки отды</w:t>
      </w:r>
      <w:r>
        <w:rPr>
          <w:rFonts w:ascii="Times New Roman" w:hAnsi="Times New Roman" w:cs="Times New Roman"/>
        </w:rPr>
        <w:t>ха с твёрдым покрытием с интерактивными элементами. Площадь площадки 100 кв. м, адаптированная для посещения маломобильными группами населения (в том числе лицами, передвигающимися на креслах‑колясках). Все работы по подготовке материалов, разработке дизайна элементов, табличек, стендов и силуэтов выполняются проектантами самостоятельно.</w:t>
      </w:r>
    </w:p>
    <w:p w14:paraId="1BD00A32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Состав площадки:</w:t>
      </w:r>
    </w:p>
    <w:p w14:paraId="1723F416">
      <w:pPr>
        <w:pStyle w:val="4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Площадка с твёрдым покрытием и с выступающими бордюрами размером 11 × 9 м, с нанесёнными (полиуретановой краской, белый) на тротуарную плитку элементами:</w:t>
      </w:r>
    </w:p>
    <w:p w14:paraId="5957B440">
      <w:p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следы и силуэты 11 видов животных — размещаются по периметру площадки;</w:t>
      </w:r>
    </w:p>
    <w:p w14:paraId="0CF6DD0D">
      <w:p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силуэты животных с мерной линейкой для выполнения упражнения «прыжок в длину»; 4 имитации жилищ животных (хатка, берлога, дупло, нора) с соединительными линиями, визуально привязанными к соответствующим силуэтам животных. </w:t>
      </w:r>
    </w:p>
    <w:p w14:paraId="4744B140">
      <w:p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Поверхность бетонированной площадки состоит: </w:t>
      </w:r>
    </w:p>
    <w:p w14:paraId="7B782599">
      <w:pPr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плита тротуарная 6к5 500х500х50 мм. Размеры (ДШВ): 500х500х100 мм Объём бетона: 0,013 куб.м. Масса: 0,033 т. Класс бетона: В25. Вибролитая. Морозостойкость: F200. Цвет серый.</w:t>
      </w:r>
    </w:p>
    <w:p w14:paraId="4B475A5D">
      <w:pPr>
        <w:pStyle w:val="4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Интерактивный модуль «Вращай и собирай» — 2 единицы. Каждый модуль включает набор из 3 вращающихся элементов, позволяющих путём комбинирования частей (голова, туловище, ноги) собирать изображения различных животных и птиц.</w:t>
      </w:r>
    </w:p>
    <w:p w14:paraId="0B627E53">
      <w:pPr>
        <w:pStyle w:val="4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Интерактивный модуль «Дай пять» — стенд с углублёнными отпечатками следов животных, а также силуэтами животных со съёмными/закрывающимися информационными табличками (согласно представленному списку).</w:t>
      </w:r>
    </w:p>
    <w:p w14:paraId="5C94F624">
      <w:pPr>
        <w:pStyle w:val="4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Интерактивный стенд «Искусственные гнездовья для птиц» — включает 20 фигур птиц и 10 моделей птичьих домиков разных типов (совятник, стрижатник, трясогузочник, синичник, скворечник и др.) Основание экспозиции — баннер с изображением лесного пейзажа, закреплённый с помощью 4 полубрёвен вертикально (диаметр — не менее 20 см) из различных пород дерева (берёза, сосна, осина, липа). Фигуры птиц, наименования домиков, стенд с QR‑кодами и список видов птиц выполняются в объёмном исполнении и размещаются на переднем плане (согласно представленному списку).</w:t>
      </w:r>
    </w:p>
    <w:p w14:paraId="59B3A190">
      <w:pPr>
        <w:pStyle w:val="4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Интерактивный модуль «Определи дерево» — стенд с вращающимися кубиками (размер одного кубика — 20 × 20 см), из которых посетители собирают комплекты элементов, характеризующих дерево (9 пород дерева): общий вид, семена, соцветие, листья, плод, кора. Деревья – ива, тополь, рябина, берёза, дуб, липа, сосна, ель, клён)</w:t>
      </w:r>
    </w:p>
    <w:p w14:paraId="34DA4528">
      <w:pPr>
        <w:pStyle w:val="4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Интерактивный модуль «Музыка леса» — стенд с подвесными элементами («полешками») из 7 пород деревьев (рябина, берёза, дуб, липа, сосна, ель, осина) и деревянной палкой с ручкой для извлечения звука путём удара по «полешкам». </w:t>
      </w:r>
    </w:p>
    <w:p w14:paraId="3E16E59B">
      <w:pPr>
        <w:pStyle w:val="4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Информационные стенды — 5 шт. с тематиками: «Биоразнообразие», «10 причин», «Боровецкий лес», «Парк‑онлайн», «Отель для насекомых», птиц.</w:t>
      </w:r>
    </w:p>
    <w:p w14:paraId="502D6009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bCs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Основные материалы в проекте для изготовления элементов: </w:t>
      </w:r>
    </w:p>
    <w:p w14:paraId="0AB381C2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14:ligatures w14:val="none"/>
        </w:rPr>
      </w:pPr>
      <w:r>
        <w:rPr>
          <w:rFonts w:ascii="Times New Roman" w:hAnsi="Times New Roman" w:eastAsia="Times New Roman" w:cs="Times New Roman"/>
          <w14:ligatures w14:val="none"/>
        </w:rPr>
        <w:t xml:space="preserve">      - материал несущих конструкций - древесина хвойных пород 2 категории, влажность не более 20% (сосна) </w:t>
      </w:r>
    </w:p>
    <w:p w14:paraId="2211BF64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14:ligatures w14:val="none"/>
        </w:rPr>
      </w:pPr>
      <w:r>
        <w:rPr>
          <w:rFonts w:ascii="Times New Roman" w:hAnsi="Times New Roman" w:eastAsia="Times New Roman" w:cs="Times New Roman"/>
          <w14:ligatures w14:val="none"/>
        </w:rPr>
        <w:t xml:space="preserve">     - брус 150 мм х150 мм</w:t>
      </w:r>
    </w:p>
    <w:p w14:paraId="122F9877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14:ligatures w14:val="none"/>
        </w:rPr>
      </w:pPr>
      <w:r>
        <w:rPr>
          <w:rFonts w:ascii="Times New Roman" w:hAnsi="Times New Roman" w:eastAsia="Times New Roman" w:cs="Times New Roman"/>
          <w14:ligatures w14:val="none"/>
        </w:rPr>
        <w:t xml:space="preserve">      - доска обрезная 150 мм х 25 мм.</w:t>
      </w:r>
    </w:p>
    <w:p w14:paraId="72A2C83C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14:ligatures w14:val="none"/>
        </w:rPr>
      </w:pPr>
      <w:r>
        <w:rPr>
          <w:rFonts w:ascii="Times New Roman" w:hAnsi="Times New Roman" w:eastAsia="Times New Roman" w:cs="Times New Roman"/>
          <w14:ligatures w14:val="none"/>
        </w:rPr>
        <w:t xml:space="preserve">       - крыша (каркас треугольный из брусков 0,5х0,5 см, поверхность из мягкой кровли из гибкой черепицы) для интерактивов.</w:t>
      </w:r>
    </w:p>
    <w:p w14:paraId="5B25AC52">
      <w:pPr>
        <w:spacing w:after="0" w:line="240" w:lineRule="auto"/>
        <w:ind w:left="326"/>
        <w:contextualSpacing/>
        <w:jc w:val="both"/>
        <w:rPr>
          <w:rFonts w:ascii="Times New Roman" w:hAnsi="Times New Roman" w:eastAsia="Times New Roman" w:cs="Times New Roman"/>
          <w14:ligatures w14:val="none"/>
        </w:rPr>
      </w:pPr>
      <w:r>
        <w:rPr>
          <w:rFonts w:ascii="Times New Roman" w:hAnsi="Times New Roman" w:eastAsia="Times New Roman" w:cs="Times New Roman"/>
          <w14:ligatures w14:val="none"/>
        </w:rPr>
        <w:t xml:space="preserve">- надземная часть должна быть обработана антисептическими составами и защитными покрытиями (пропиткой цвет Венге, коричневый); </w:t>
      </w:r>
    </w:p>
    <w:p w14:paraId="619BA2DE">
      <w:pPr>
        <w:spacing w:after="0" w:line="240" w:lineRule="auto"/>
        <w:ind w:left="326"/>
        <w:contextualSpacing/>
        <w:jc w:val="both"/>
        <w:rPr>
          <w:rFonts w:ascii="Times New Roman" w:hAnsi="Times New Roman" w:eastAsia="Times New Roman" w:cs="Times New Roman"/>
          <w14:ligatures w14:val="none"/>
        </w:rPr>
      </w:pPr>
      <w:r>
        <w:rPr>
          <w:rFonts w:ascii="Times New Roman" w:hAnsi="Times New Roman" w:eastAsia="Times New Roman" w:cs="Times New Roman"/>
          <w14:ligatures w14:val="none"/>
        </w:rPr>
        <w:t xml:space="preserve">- материалы из металла подлежат покрытию краской по металлу цвет Венге (коричневые тона); </w:t>
      </w:r>
    </w:p>
    <w:p w14:paraId="6904387A">
      <w:pPr>
        <w:spacing w:after="0" w:line="240" w:lineRule="auto"/>
        <w:ind w:left="326"/>
        <w:contextualSpacing/>
        <w:jc w:val="both"/>
        <w:rPr>
          <w:rFonts w:ascii="Times New Roman" w:hAnsi="Times New Roman" w:eastAsia="Times New Roman" w:cs="Times New Roman"/>
          <w14:ligatures w14:val="none"/>
        </w:rPr>
      </w:pPr>
      <w:r>
        <w:rPr>
          <w:rFonts w:ascii="Times New Roman" w:hAnsi="Times New Roman" w:eastAsia="Times New Roman" w:cs="Times New Roman"/>
          <w14:ligatures w14:val="none"/>
        </w:rPr>
        <w:t>- элементы конструкции находящихся в земле обрабатываются антисептическими средствами 2 раза</w:t>
      </w:r>
    </w:p>
    <w:p w14:paraId="0F7350C4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1.4. Наименование и местоположение объекта.</w:t>
      </w:r>
    </w:p>
    <w:p w14:paraId="6FE169F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Туристско‑рекреационный комплекс «Корабельная роща» </w:t>
      </w:r>
      <w:r>
        <w:rPr>
          <w:rFonts w:hint="default" w:ascii="Times New Roman" w:hAnsi="Times New Roman" w:cs="Times New Roman"/>
          <w:lang w:val="ru-RU"/>
        </w:rPr>
        <w:t>«</w:t>
      </w:r>
      <w:r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</w:rPr>
        <w:t xml:space="preserve">ационального парка «Нижняя Кама». </w:t>
      </w:r>
    </w:p>
    <w:p w14:paraId="2B5F02C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РТ, Тукаевский район, Боровецкий лес, квартал 176 (выд. 14), ТРК «Корабельная роща»</w:t>
      </w:r>
    </w:p>
    <w:p w14:paraId="696472EA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1.5. Общие сведения об участке (границы, площадь).</w:t>
      </w:r>
    </w:p>
    <w:p w14:paraId="4D9963D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Площадь территории проектирования — 100 кв. м.</w:t>
      </w:r>
    </w:p>
    <w:p w14:paraId="1097C0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Местоположение: Республика Татарстан, Тукаевский муниципальный район, Челнинское лесничество, квартал 76.</w:t>
      </w:r>
    </w:p>
    <w:p w14:paraId="28C61A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Рельеф участка — спокойный, без значительных перепадов высот.</w:t>
      </w:r>
    </w:p>
    <w:p w14:paraId="52EF1464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1.6. Назначение объекта.</w:t>
      </w:r>
    </w:p>
    <w:p w14:paraId="230123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Интерактивная площадка предназначена для экопросветительской работы и организации доступного отдыха. Площадка обеспечивает возможность ознакомления с биоразнообразием национального парка для маломобильных групп населения посредством мультисенсорного взаимодействия (зрение, слух, осязание).</w:t>
      </w:r>
    </w:p>
    <w:p w14:paraId="7DAFC053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1.7. Цели и задачи проекта.</w:t>
      </w:r>
    </w:p>
    <w:p w14:paraId="5A7232D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проекта: создание комфортной, безопасной и доступной среды для отдыха и экологического просвещения, в том числе для маломобильных групп населения.</w:t>
      </w:r>
    </w:p>
    <w:p w14:paraId="392859B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 проекта:</w:t>
      </w:r>
    </w:p>
    <w:p w14:paraId="5C069C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условия для удобного и безопасного пребывания посетителей, включая лиц с ограниченной мобильностью;</w:t>
      </w:r>
    </w:p>
    <w:p w14:paraId="049E29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реализовать просветительский функционал через интерактивные элементы, стимулирующие познавательную активность;</w:t>
      </w:r>
    </w:p>
    <w:p w14:paraId="429E2D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повысить доступность природных объектов и информации о них для широкой аудитории.</w:t>
      </w:r>
    </w:p>
    <w:p w14:paraId="4937763B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1.8. Исходные данные.</w:t>
      </w:r>
    </w:p>
    <w:p w14:paraId="214494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распоряжение проектировщика предоставляются: макеты стендов, базовые примеры оформления, референсы.</w:t>
      </w:r>
    </w:p>
    <w:p w14:paraId="5F1454C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1.9. Состав проектной документации.</w:t>
      </w:r>
    </w:p>
    <w:p w14:paraId="42629CF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Проектная документация должна включать следующие части:</w:t>
      </w:r>
    </w:p>
    <w:p w14:paraId="5C2CD87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Текстовая часть</w:t>
      </w:r>
      <w:r>
        <w:rPr>
          <w:rFonts w:ascii="Times New Roman" w:hAnsi="Times New Roman" w:cs="Times New Roman"/>
        </w:rPr>
        <w:t> — пояснительная записка, содержащая описание основной концепции проекта, технические показатели (габариты объекта, номенклатура и характеристики применяемых материалов, конструктивные особенности элементов площадки).</w:t>
      </w:r>
    </w:p>
    <w:p w14:paraId="32531F9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Графическая часть</w:t>
      </w:r>
      <w:r>
        <w:rPr>
          <w:rFonts w:ascii="Times New Roman" w:hAnsi="Times New Roman" w:cs="Times New Roman"/>
        </w:rPr>
        <w:t xml:space="preserve"> — эскизная схема размещения площадки на участке, чертежи основных элементов, макеты информационных и интерактивных стендов и элементов, схемы конструктивных узлов. </w:t>
      </w:r>
    </w:p>
    <w:p w14:paraId="3F794F88">
      <w:pPr>
        <w:spacing w:after="0"/>
        <w:jc w:val="both"/>
        <w:rPr>
          <w:rFonts w:ascii="Times New Roman" w:hAnsi="Times New Roman" w:cs="Times New Roman"/>
        </w:rPr>
      </w:pPr>
    </w:p>
    <w:p w14:paraId="2BECE96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Расчётная часть</w:t>
      </w:r>
      <w:r>
        <w:rPr>
          <w:rFonts w:ascii="Times New Roman" w:hAnsi="Times New Roman" w:cs="Times New Roman"/>
        </w:rPr>
        <w:t> — сметная документация, включающая локальные и объектные сметы, расчёт стоимости материалов и работ, обоснование применяемых расценок.</w:t>
      </w:r>
    </w:p>
    <w:p w14:paraId="3AC1E0F7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Основные требования</w:t>
      </w:r>
    </w:p>
    <w:p w14:paraId="3AE03C72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2.1. Требования по соответствию нормативной документации.</w:t>
      </w:r>
    </w:p>
    <w:p w14:paraId="71277A2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должен быть разработан в соответствии с действующим законодательством Российской Федерации, техническими регламентами, строительными нормами и правилами, а также с учётом требований по обеспечению доступности среды для маломобильных групп населения (в т. ч. СП 59.13330 и иных актуальных нормативов).</w:t>
      </w:r>
    </w:p>
    <w:p w14:paraId="1285CC6A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2.2. Требования к проектным решениям.</w:t>
      </w:r>
    </w:p>
    <w:p w14:paraId="396D217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Проектируемые решения должны отвечать следующим критериям:</w:t>
      </w:r>
    </w:p>
    <w:p w14:paraId="2AA8D314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функциональная обоснованность и соответствие просветительским задачам;</w:t>
      </w:r>
    </w:p>
    <w:p w14:paraId="29B676B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экономичность и технологическая реализуемость в условиях </w:t>
      </w:r>
      <w:r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</w:rPr>
        <w:t>ационального парка;</w:t>
      </w:r>
    </w:p>
    <w:p w14:paraId="57F60DA5">
      <w:pPr>
        <w:spacing w:after="0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>вандалоустойчивость конструкций и долговечность применяемых материалов;</w:t>
      </w:r>
    </w:p>
    <w:p w14:paraId="15765CBE">
      <w:pPr>
        <w:spacing w:after="0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>применение материалов преимущественно из древесины либо из вторичных материалов, имитирующих дерево (вторичный пластик и аналоги), с учётом экологических требований парка.</w:t>
      </w:r>
    </w:p>
    <w:p w14:paraId="78D0AAC7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Дополнительные требования</w:t>
      </w:r>
    </w:p>
    <w:p w14:paraId="7834989D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3.1. Форма предоставления материалов.</w:t>
      </w:r>
    </w:p>
    <w:p w14:paraId="5A9DF45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Проектная документация представляется в виде альбома в формате PDF на листах формата А4. К альбому прилагается комплект файлов в редактируемых форматах, позволяющих вносить корректировки в графические и текстовые материалы.</w:t>
      </w:r>
    </w:p>
    <w:bookmarkEnd w:id="0"/>
    <w:p w14:paraId="31E6DCE1">
      <w:pPr>
        <w:keepNext/>
        <w:widowControl/>
        <w:outlineLvl w:val="2"/>
        <w:rPr>
          <w:rFonts w:ascii="Times New Roman" w:hAnsi="Times New Roman" w:eastAsia="Times New Roman" w:cs="Times New Roman"/>
          <w:bCs/>
          <w:color w:val="333333"/>
          <w:sz w:val="20"/>
          <w:szCs w:val="20"/>
          <w:lang w:bidi="ar-SA"/>
        </w:rPr>
      </w:pPr>
    </w:p>
    <w:p w14:paraId="529E4CC7">
      <w:pPr>
        <w:keepNext/>
        <w:widowControl/>
        <w:outlineLvl w:val="2"/>
        <w:rPr>
          <w:rFonts w:ascii="Times New Roman" w:hAnsi="Times New Roman" w:eastAsia="Times New Roman" w:cs="Times New Roman"/>
          <w:bCs/>
          <w:color w:val="333333"/>
          <w:sz w:val="20"/>
          <w:szCs w:val="20"/>
          <w:lang w:bidi="ar-SA"/>
        </w:rPr>
      </w:pPr>
    </w:p>
    <w:p w14:paraId="0CE5FF3A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5E3F6D9C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6591453E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4DD2A28C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50D57607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3075359E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624CDFE5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39863B35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376B2507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69A42AA5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069C09B2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27466047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0D26A2B4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2F9220D5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23A74392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275DDC22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13FD3570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366305F7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4E3DC5D2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4E979535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7DD79E86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62ADF553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45485A84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2556DA9A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2876A9FD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2D793490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1C7B3640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0F5DA436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5783851B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178265BB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7CFFA3F2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6CF53B87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129BBB4D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3A60197C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030C0756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5268AFF2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1288F4FB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04F403A0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6668A662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5EA52B1F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067DB459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4CB53D43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040C7BA9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143391E8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7CA46722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09FAF52B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3271B6FF">
      <w:pPr>
        <w:widowControl/>
        <w:jc w:val="right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525D3C84">
      <w:pPr>
        <w:widowControl/>
        <w:jc w:val="right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20A1CBB3">
      <w:pPr>
        <w:widowControl/>
        <w:jc w:val="right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p w14:paraId="3FA40752">
      <w:pPr>
        <w:widowControl/>
        <w:suppressAutoHyphens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</w:p>
    <w:sectPr>
      <w:pgSz w:w="11906" w:h="16838"/>
      <w:pgMar w:top="567" w:right="567" w:bottom="709" w:left="1418" w:header="0" w:footer="6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86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 Schoolbook">
    <w:altName w:val="Century"/>
    <w:panose1 w:val="02040604050505020304"/>
    <w:charset w:val="CC"/>
    <w:family w:val="roman"/>
    <w:pitch w:val="default"/>
    <w:sig w:usb0="00000000" w:usb1="00000000" w:usb2="00000000" w:usb3="00000000" w:csb0="000000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017F18"/>
    <w:multiLevelType w:val="multilevel"/>
    <w:tmpl w:val="0E017F1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EB"/>
    <w:rsid w:val="00000835"/>
    <w:rsid w:val="00005E03"/>
    <w:rsid w:val="00015AB4"/>
    <w:rsid w:val="00022E08"/>
    <w:rsid w:val="00023376"/>
    <w:rsid w:val="00037B15"/>
    <w:rsid w:val="00040001"/>
    <w:rsid w:val="0004203A"/>
    <w:rsid w:val="000554F4"/>
    <w:rsid w:val="000616BF"/>
    <w:rsid w:val="00063752"/>
    <w:rsid w:val="00074633"/>
    <w:rsid w:val="00075D7D"/>
    <w:rsid w:val="000824E6"/>
    <w:rsid w:val="0008605E"/>
    <w:rsid w:val="000860CD"/>
    <w:rsid w:val="00087888"/>
    <w:rsid w:val="00090ED9"/>
    <w:rsid w:val="000E1889"/>
    <w:rsid w:val="000E40F6"/>
    <w:rsid w:val="000F348D"/>
    <w:rsid w:val="000F67DD"/>
    <w:rsid w:val="000F697B"/>
    <w:rsid w:val="00103E7C"/>
    <w:rsid w:val="00116842"/>
    <w:rsid w:val="00116C8E"/>
    <w:rsid w:val="00123361"/>
    <w:rsid w:val="00125261"/>
    <w:rsid w:val="00126844"/>
    <w:rsid w:val="00135E83"/>
    <w:rsid w:val="0014385D"/>
    <w:rsid w:val="00151EAC"/>
    <w:rsid w:val="00152009"/>
    <w:rsid w:val="0016009C"/>
    <w:rsid w:val="00170E0B"/>
    <w:rsid w:val="00172E91"/>
    <w:rsid w:val="0017404E"/>
    <w:rsid w:val="001750C2"/>
    <w:rsid w:val="001838A9"/>
    <w:rsid w:val="00191737"/>
    <w:rsid w:val="00195CE2"/>
    <w:rsid w:val="001A0738"/>
    <w:rsid w:val="001B0493"/>
    <w:rsid w:val="001B0C00"/>
    <w:rsid w:val="001B1EAC"/>
    <w:rsid w:val="001B38DA"/>
    <w:rsid w:val="001B3922"/>
    <w:rsid w:val="001C4F9C"/>
    <w:rsid w:val="001C7E91"/>
    <w:rsid w:val="001D2289"/>
    <w:rsid w:val="001E4168"/>
    <w:rsid w:val="001F0C6D"/>
    <w:rsid w:val="001F7A18"/>
    <w:rsid w:val="00213570"/>
    <w:rsid w:val="00215245"/>
    <w:rsid w:val="002271DB"/>
    <w:rsid w:val="002321D4"/>
    <w:rsid w:val="002327C6"/>
    <w:rsid w:val="00235013"/>
    <w:rsid w:val="00257D27"/>
    <w:rsid w:val="0026021A"/>
    <w:rsid w:val="00262065"/>
    <w:rsid w:val="00264578"/>
    <w:rsid w:val="0026692E"/>
    <w:rsid w:val="00266AD1"/>
    <w:rsid w:val="002807CE"/>
    <w:rsid w:val="0028340F"/>
    <w:rsid w:val="00294F82"/>
    <w:rsid w:val="00296378"/>
    <w:rsid w:val="002A4AEB"/>
    <w:rsid w:val="002A718C"/>
    <w:rsid w:val="002C6C24"/>
    <w:rsid w:val="002E3C43"/>
    <w:rsid w:val="002F6EBE"/>
    <w:rsid w:val="0030550B"/>
    <w:rsid w:val="0031706E"/>
    <w:rsid w:val="00322690"/>
    <w:rsid w:val="00343966"/>
    <w:rsid w:val="00377D6A"/>
    <w:rsid w:val="00384D4F"/>
    <w:rsid w:val="00386DE2"/>
    <w:rsid w:val="003A36B9"/>
    <w:rsid w:val="003E0794"/>
    <w:rsid w:val="003E474B"/>
    <w:rsid w:val="003E72A2"/>
    <w:rsid w:val="003E744C"/>
    <w:rsid w:val="00403400"/>
    <w:rsid w:val="004070F3"/>
    <w:rsid w:val="00421F22"/>
    <w:rsid w:val="004221DC"/>
    <w:rsid w:val="00422C43"/>
    <w:rsid w:val="00447006"/>
    <w:rsid w:val="00451711"/>
    <w:rsid w:val="00453C0F"/>
    <w:rsid w:val="004608E4"/>
    <w:rsid w:val="00463F48"/>
    <w:rsid w:val="00471158"/>
    <w:rsid w:val="004844C9"/>
    <w:rsid w:val="004A02F0"/>
    <w:rsid w:val="004C30ED"/>
    <w:rsid w:val="004C41BA"/>
    <w:rsid w:val="004C6735"/>
    <w:rsid w:val="004F2287"/>
    <w:rsid w:val="004F33E0"/>
    <w:rsid w:val="004F3B37"/>
    <w:rsid w:val="00504578"/>
    <w:rsid w:val="00512042"/>
    <w:rsid w:val="0051367D"/>
    <w:rsid w:val="005239AA"/>
    <w:rsid w:val="0053102B"/>
    <w:rsid w:val="0053621C"/>
    <w:rsid w:val="00553344"/>
    <w:rsid w:val="00555052"/>
    <w:rsid w:val="0055538E"/>
    <w:rsid w:val="0056791A"/>
    <w:rsid w:val="005773CC"/>
    <w:rsid w:val="00583D55"/>
    <w:rsid w:val="0059324E"/>
    <w:rsid w:val="005A0821"/>
    <w:rsid w:val="005A14FF"/>
    <w:rsid w:val="005A7EDA"/>
    <w:rsid w:val="005B7FF6"/>
    <w:rsid w:val="005C719E"/>
    <w:rsid w:val="005E09BA"/>
    <w:rsid w:val="005E4B46"/>
    <w:rsid w:val="006020DF"/>
    <w:rsid w:val="006049FB"/>
    <w:rsid w:val="006067AC"/>
    <w:rsid w:val="00613755"/>
    <w:rsid w:val="00614039"/>
    <w:rsid w:val="006159B7"/>
    <w:rsid w:val="006353C4"/>
    <w:rsid w:val="00637FF5"/>
    <w:rsid w:val="00645185"/>
    <w:rsid w:val="00647F82"/>
    <w:rsid w:val="0066066D"/>
    <w:rsid w:val="0066527D"/>
    <w:rsid w:val="00676E3E"/>
    <w:rsid w:val="0068136D"/>
    <w:rsid w:val="006A3D08"/>
    <w:rsid w:val="006B464D"/>
    <w:rsid w:val="006B6BC0"/>
    <w:rsid w:val="006C20B7"/>
    <w:rsid w:val="006C5A4A"/>
    <w:rsid w:val="006C671A"/>
    <w:rsid w:val="006D3F6F"/>
    <w:rsid w:val="006D5683"/>
    <w:rsid w:val="006E308A"/>
    <w:rsid w:val="006E38EC"/>
    <w:rsid w:val="00700766"/>
    <w:rsid w:val="00701B70"/>
    <w:rsid w:val="007068A5"/>
    <w:rsid w:val="00707CAC"/>
    <w:rsid w:val="007358DE"/>
    <w:rsid w:val="007366DC"/>
    <w:rsid w:val="00745C52"/>
    <w:rsid w:val="007554C6"/>
    <w:rsid w:val="007556E1"/>
    <w:rsid w:val="00755E74"/>
    <w:rsid w:val="00757F32"/>
    <w:rsid w:val="007608D5"/>
    <w:rsid w:val="00760D31"/>
    <w:rsid w:val="00775B79"/>
    <w:rsid w:val="0079185A"/>
    <w:rsid w:val="00792ED9"/>
    <w:rsid w:val="00793984"/>
    <w:rsid w:val="0079573C"/>
    <w:rsid w:val="007978A4"/>
    <w:rsid w:val="007A4F68"/>
    <w:rsid w:val="007C6CB4"/>
    <w:rsid w:val="007D139B"/>
    <w:rsid w:val="007E39C1"/>
    <w:rsid w:val="007E4F70"/>
    <w:rsid w:val="007E5E76"/>
    <w:rsid w:val="007F6FE5"/>
    <w:rsid w:val="008150E1"/>
    <w:rsid w:val="00841CCE"/>
    <w:rsid w:val="00841F27"/>
    <w:rsid w:val="00846942"/>
    <w:rsid w:val="008472CE"/>
    <w:rsid w:val="0085230F"/>
    <w:rsid w:val="00866116"/>
    <w:rsid w:val="008729E7"/>
    <w:rsid w:val="0088164E"/>
    <w:rsid w:val="00894EF8"/>
    <w:rsid w:val="008C05C5"/>
    <w:rsid w:val="008C59BE"/>
    <w:rsid w:val="008E29EB"/>
    <w:rsid w:val="008E41C4"/>
    <w:rsid w:val="008E4A0E"/>
    <w:rsid w:val="00910F66"/>
    <w:rsid w:val="009318A6"/>
    <w:rsid w:val="00933AEA"/>
    <w:rsid w:val="00940C10"/>
    <w:rsid w:val="009770CB"/>
    <w:rsid w:val="00996815"/>
    <w:rsid w:val="009A5225"/>
    <w:rsid w:val="009B14A3"/>
    <w:rsid w:val="009C19EA"/>
    <w:rsid w:val="009C2BD3"/>
    <w:rsid w:val="009D3033"/>
    <w:rsid w:val="009D4743"/>
    <w:rsid w:val="009D504F"/>
    <w:rsid w:val="009E0BD6"/>
    <w:rsid w:val="009F4F78"/>
    <w:rsid w:val="00A059C6"/>
    <w:rsid w:val="00A07F2F"/>
    <w:rsid w:val="00A10E90"/>
    <w:rsid w:val="00A17268"/>
    <w:rsid w:val="00A21DBA"/>
    <w:rsid w:val="00A2719D"/>
    <w:rsid w:val="00A37E7E"/>
    <w:rsid w:val="00A47561"/>
    <w:rsid w:val="00A51A37"/>
    <w:rsid w:val="00A51C8B"/>
    <w:rsid w:val="00A54321"/>
    <w:rsid w:val="00A55DE7"/>
    <w:rsid w:val="00A60847"/>
    <w:rsid w:val="00A7091B"/>
    <w:rsid w:val="00A81C4B"/>
    <w:rsid w:val="00A85FF4"/>
    <w:rsid w:val="00AA2A50"/>
    <w:rsid w:val="00AB60D0"/>
    <w:rsid w:val="00AC0C5B"/>
    <w:rsid w:val="00AD3CE7"/>
    <w:rsid w:val="00AD782F"/>
    <w:rsid w:val="00AE255B"/>
    <w:rsid w:val="00AE52B4"/>
    <w:rsid w:val="00AE6E7D"/>
    <w:rsid w:val="00AF286E"/>
    <w:rsid w:val="00AF3F60"/>
    <w:rsid w:val="00AF4310"/>
    <w:rsid w:val="00B16DDB"/>
    <w:rsid w:val="00B303D1"/>
    <w:rsid w:val="00B31EC6"/>
    <w:rsid w:val="00B35480"/>
    <w:rsid w:val="00B364AC"/>
    <w:rsid w:val="00B43B50"/>
    <w:rsid w:val="00B46D23"/>
    <w:rsid w:val="00B527D3"/>
    <w:rsid w:val="00B63F15"/>
    <w:rsid w:val="00B67070"/>
    <w:rsid w:val="00B86A37"/>
    <w:rsid w:val="00B92BE2"/>
    <w:rsid w:val="00BA2B72"/>
    <w:rsid w:val="00BB65A9"/>
    <w:rsid w:val="00BC7B2E"/>
    <w:rsid w:val="00BD2479"/>
    <w:rsid w:val="00BD2D13"/>
    <w:rsid w:val="00BD2D4E"/>
    <w:rsid w:val="00BD4C14"/>
    <w:rsid w:val="00BD7B9A"/>
    <w:rsid w:val="00BE1DEF"/>
    <w:rsid w:val="00BE2AA1"/>
    <w:rsid w:val="00C00EBB"/>
    <w:rsid w:val="00C0203C"/>
    <w:rsid w:val="00C04F07"/>
    <w:rsid w:val="00C10135"/>
    <w:rsid w:val="00C2515D"/>
    <w:rsid w:val="00C53C6B"/>
    <w:rsid w:val="00C54233"/>
    <w:rsid w:val="00C65528"/>
    <w:rsid w:val="00C91788"/>
    <w:rsid w:val="00C92AF8"/>
    <w:rsid w:val="00C940DB"/>
    <w:rsid w:val="00CB3E10"/>
    <w:rsid w:val="00CC40B0"/>
    <w:rsid w:val="00CE13E0"/>
    <w:rsid w:val="00CE2FD3"/>
    <w:rsid w:val="00CF03E1"/>
    <w:rsid w:val="00D003DB"/>
    <w:rsid w:val="00D13220"/>
    <w:rsid w:val="00D2054E"/>
    <w:rsid w:val="00D33C5D"/>
    <w:rsid w:val="00D36BE9"/>
    <w:rsid w:val="00D531AA"/>
    <w:rsid w:val="00D61468"/>
    <w:rsid w:val="00D6377D"/>
    <w:rsid w:val="00D65244"/>
    <w:rsid w:val="00D761C9"/>
    <w:rsid w:val="00D935B9"/>
    <w:rsid w:val="00DA0859"/>
    <w:rsid w:val="00DA5DCA"/>
    <w:rsid w:val="00DF1037"/>
    <w:rsid w:val="00DF6501"/>
    <w:rsid w:val="00E05C2B"/>
    <w:rsid w:val="00E17790"/>
    <w:rsid w:val="00E20BE6"/>
    <w:rsid w:val="00E22F64"/>
    <w:rsid w:val="00E32774"/>
    <w:rsid w:val="00E34517"/>
    <w:rsid w:val="00E4424F"/>
    <w:rsid w:val="00E53A03"/>
    <w:rsid w:val="00E5624C"/>
    <w:rsid w:val="00E84DFB"/>
    <w:rsid w:val="00E9157A"/>
    <w:rsid w:val="00E93E54"/>
    <w:rsid w:val="00EA2255"/>
    <w:rsid w:val="00EA7F60"/>
    <w:rsid w:val="00EB484C"/>
    <w:rsid w:val="00EC2E87"/>
    <w:rsid w:val="00EC34F9"/>
    <w:rsid w:val="00EC3CAD"/>
    <w:rsid w:val="00ED4AC4"/>
    <w:rsid w:val="00F023C9"/>
    <w:rsid w:val="00F161FF"/>
    <w:rsid w:val="00F42D40"/>
    <w:rsid w:val="00F4407A"/>
    <w:rsid w:val="00F706CA"/>
    <w:rsid w:val="00F7644E"/>
    <w:rsid w:val="00F87EB6"/>
    <w:rsid w:val="00FB26CF"/>
    <w:rsid w:val="00FB5240"/>
    <w:rsid w:val="00FC0BF2"/>
    <w:rsid w:val="00FC7C8A"/>
    <w:rsid w:val="00FD34BC"/>
    <w:rsid w:val="00FD50BF"/>
    <w:rsid w:val="00FD714A"/>
    <w:rsid w:val="00FE63FD"/>
    <w:rsid w:val="00FF4786"/>
    <w:rsid w:val="00FF69A8"/>
    <w:rsid w:val="032015EE"/>
    <w:rsid w:val="06665768"/>
    <w:rsid w:val="09EE4022"/>
    <w:rsid w:val="123E53A3"/>
    <w:rsid w:val="19E47977"/>
    <w:rsid w:val="25B305EA"/>
    <w:rsid w:val="27A74A76"/>
    <w:rsid w:val="298F3A5E"/>
    <w:rsid w:val="2AE77BF2"/>
    <w:rsid w:val="2CA040AE"/>
    <w:rsid w:val="2D3C77E2"/>
    <w:rsid w:val="306B655B"/>
    <w:rsid w:val="32456747"/>
    <w:rsid w:val="352D3826"/>
    <w:rsid w:val="37B20CB0"/>
    <w:rsid w:val="39F91339"/>
    <w:rsid w:val="3D5C2875"/>
    <w:rsid w:val="420247A0"/>
    <w:rsid w:val="451851EA"/>
    <w:rsid w:val="4AEC1E3E"/>
    <w:rsid w:val="4F8F3D3C"/>
    <w:rsid w:val="5C4260EC"/>
    <w:rsid w:val="60472C7F"/>
    <w:rsid w:val="632B0CD5"/>
    <w:rsid w:val="63F01D9B"/>
    <w:rsid w:val="6E4B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80"/>
      <w:u w:val="single"/>
    </w:rPr>
  </w:style>
  <w:style w:type="paragraph" w:styleId="5">
    <w:name w:val="Balloon Text"/>
    <w:basedOn w:val="1"/>
    <w:link w:val="4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43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44"/>
    <w:unhideWhenUsed/>
    <w:qFormat/>
    <w:uiPriority w:val="99"/>
    <w:pPr>
      <w:tabs>
        <w:tab w:val="center" w:pos="4677"/>
        <w:tab w:val="right" w:pos="9355"/>
      </w:tabs>
    </w:pPr>
  </w:style>
  <w:style w:type="table" w:styleId="8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Основной текст_"/>
    <w:basedOn w:val="2"/>
    <w:link w:val="10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10">
    <w:name w:val="Основной текст11"/>
    <w:basedOn w:val="1"/>
    <w:link w:val="9"/>
    <w:qFormat/>
    <w:uiPriority w:val="0"/>
    <w:pPr>
      <w:shd w:val="clear" w:color="auto" w:fill="FFFFFF"/>
      <w:spacing w:before="240" w:after="240" w:line="0" w:lineRule="atLeast"/>
      <w:jc w:val="both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11">
    <w:name w:val="Основной текст + 12 pt;Полужирный;Курсив;Интервал 1 pt"/>
    <w:basedOn w:val="9"/>
    <w:qFormat/>
    <w:uiPriority w:val="0"/>
    <w:rPr>
      <w:rFonts w:ascii="Times New Roman" w:hAnsi="Times New Roman" w:eastAsia="Times New Roman" w:cs="Times New Roman"/>
      <w:b/>
      <w:bCs/>
      <w:i/>
      <w:iCs/>
      <w:color w:val="000000"/>
      <w:spacing w:val="2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2">
    <w:name w:val="Колонтитул_"/>
    <w:basedOn w:val="2"/>
    <w:link w:val="13"/>
    <w:qFormat/>
    <w:uiPriority w:val="0"/>
    <w:rPr>
      <w:rFonts w:ascii="Century Schoolbook" w:hAnsi="Century Schoolbook" w:eastAsia="Century Schoolbook" w:cs="Century Schoolbook"/>
      <w:b/>
      <w:bCs/>
      <w:sz w:val="10"/>
      <w:szCs w:val="10"/>
      <w:u w:val="none"/>
    </w:rPr>
  </w:style>
  <w:style w:type="paragraph" w:customStyle="1" w:styleId="13">
    <w:name w:val="Колонтитул1"/>
    <w:basedOn w:val="1"/>
    <w:link w:val="12"/>
    <w:qFormat/>
    <w:uiPriority w:val="0"/>
    <w:pPr>
      <w:shd w:val="clear" w:color="auto" w:fill="FFFFFF"/>
      <w:spacing w:line="0" w:lineRule="atLeast"/>
    </w:pPr>
    <w:rPr>
      <w:rFonts w:ascii="Century Schoolbook" w:hAnsi="Century Schoolbook" w:eastAsia="Century Schoolbook" w:cs="Century Schoolbook"/>
      <w:b/>
      <w:bCs/>
      <w:sz w:val="10"/>
      <w:szCs w:val="10"/>
    </w:rPr>
  </w:style>
  <w:style w:type="character" w:customStyle="1" w:styleId="14">
    <w:name w:val="Колонтитул + Courier New;6;5 pt;Масштаб 66%"/>
    <w:basedOn w:val="12"/>
    <w:qFormat/>
    <w:uiPriority w:val="0"/>
    <w:rPr>
      <w:rFonts w:ascii="Courier New" w:hAnsi="Courier New" w:eastAsia="Courier New" w:cs="Courier New"/>
      <w:color w:val="000000"/>
      <w:spacing w:val="0"/>
      <w:w w:val="66"/>
      <w:position w:val="0"/>
      <w:sz w:val="13"/>
      <w:szCs w:val="13"/>
      <w:u w:val="none"/>
      <w:lang w:val="ru-RU" w:eastAsia="ru-RU" w:bidi="ru-RU"/>
    </w:rPr>
  </w:style>
  <w:style w:type="character" w:customStyle="1" w:styleId="15">
    <w:name w:val="Основной текст + 12 pt;Полужирный;Курсив;Интервал 1 pt2"/>
    <w:basedOn w:val="9"/>
    <w:qFormat/>
    <w:uiPriority w:val="0"/>
    <w:rPr>
      <w:rFonts w:ascii="Times New Roman" w:hAnsi="Times New Roman" w:eastAsia="Times New Roman" w:cs="Times New Roman"/>
      <w:b/>
      <w:bCs/>
      <w:i/>
      <w:iCs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">
    <w:name w:val="Основной текст + 12 pt;Полужирный;Курсив;Интервал 1 pt1"/>
    <w:basedOn w:val="9"/>
    <w:qFormat/>
    <w:uiPriority w:val="0"/>
    <w:rPr>
      <w:rFonts w:ascii="Times New Roman" w:hAnsi="Times New Roman" w:eastAsia="Times New Roman" w:cs="Times New Roman"/>
      <w:b/>
      <w:bCs/>
      <w:i/>
      <w:iCs/>
      <w:color w:val="000000"/>
      <w:spacing w:val="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7">
    <w:name w:val="Основной текст1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8">
    <w:name w:val="Заголовок №1_"/>
    <w:basedOn w:val="2"/>
    <w:link w:val="19"/>
    <w:qFormat/>
    <w:uiPriority w:val="0"/>
    <w:rPr>
      <w:rFonts w:ascii="Times New Roman" w:hAnsi="Times New Roman" w:eastAsia="Times New Roman" w:cs="Times New Roman"/>
      <w:b/>
      <w:bCs/>
      <w:sz w:val="21"/>
      <w:szCs w:val="21"/>
      <w:u w:val="none"/>
    </w:rPr>
  </w:style>
  <w:style w:type="paragraph" w:customStyle="1" w:styleId="19">
    <w:name w:val="Заголовок №11"/>
    <w:basedOn w:val="1"/>
    <w:link w:val="18"/>
    <w:qFormat/>
    <w:uiPriority w:val="0"/>
    <w:pPr>
      <w:shd w:val="clear" w:color="auto" w:fill="FFFFFF"/>
      <w:spacing w:before="240" w:line="245" w:lineRule="exact"/>
      <w:jc w:val="center"/>
      <w:outlineLvl w:val="0"/>
    </w:pPr>
    <w:rPr>
      <w:rFonts w:ascii="Times New Roman" w:hAnsi="Times New Roman" w:eastAsia="Times New Roman" w:cs="Times New Roman"/>
      <w:b/>
      <w:bCs/>
      <w:sz w:val="21"/>
      <w:szCs w:val="21"/>
    </w:rPr>
  </w:style>
  <w:style w:type="character" w:customStyle="1" w:styleId="20">
    <w:name w:val="Основной текст2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Колонтитул"/>
    <w:basedOn w:val="12"/>
    <w:qFormat/>
    <w:uiPriority w:val="0"/>
    <w:rPr>
      <w:rFonts w:ascii="Century Schoolbook" w:hAnsi="Century Schoolbook" w:eastAsia="Century Schoolbook" w:cs="Century Schoolbook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2">
    <w:name w:val="Колонтитул + 6;5 pt;Не полужирный;Масштаб 66%"/>
    <w:basedOn w:val="12"/>
    <w:qFormat/>
    <w:uiPriority w:val="0"/>
    <w:rPr>
      <w:rFonts w:ascii="Century Schoolbook" w:hAnsi="Century Schoolbook" w:eastAsia="Century Schoolbook" w:cs="Century Schoolbook"/>
      <w:color w:val="000000"/>
      <w:spacing w:val="0"/>
      <w:w w:val="66"/>
      <w:position w:val="0"/>
      <w:sz w:val="13"/>
      <w:szCs w:val="13"/>
      <w:u w:val="none"/>
      <w:lang w:val="ru-RU" w:eastAsia="ru-RU" w:bidi="ru-RU"/>
    </w:rPr>
  </w:style>
  <w:style w:type="character" w:customStyle="1" w:styleId="23">
    <w:name w:val="Заголовок №1"/>
    <w:basedOn w:val="1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Заголовок №2_"/>
    <w:basedOn w:val="2"/>
    <w:link w:val="25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25">
    <w:name w:val="Заголовок №2"/>
    <w:basedOn w:val="1"/>
    <w:link w:val="24"/>
    <w:qFormat/>
    <w:uiPriority w:val="0"/>
    <w:pPr>
      <w:shd w:val="clear" w:color="auto" w:fill="FFFFFF"/>
      <w:spacing w:before="240" w:line="245" w:lineRule="exact"/>
      <w:jc w:val="center"/>
      <w:outlineLvl w:val="1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26">
    <w:name w:val="Заголовок №1 (2)_"/>
    <w:basedOn w:val="2"/>
    <w:link w:val="27"/>
    <w:qFormat/>
    <w:uiPriority w:val="0"/>
    <w:rPr>
      <w:rFonts w:ascii="Times New Roman" w:hAnsi="Times New Roman" w:eastAsia="Times New Roman" w:cs="Times New Roman"/>
      <w:b/>
      <w:bCs/>
      <w:sz w:val="22"/>
      <w:szCs w:val="22"/>
      <w:u w:val="none"/>
    </w:rPr>
  </w:style>
  <w:style w:type="paragraph" w:customStyle="1" w:styleId="27">
    <w:name w:val="Заголовок №1 (2)"/>
    <w:basedOn w:val="1"/>
    <w:link w:val="26"/>
    <w:qFormat/>
    <w:uiPriority w:val="0"/>
    <w:pPr>
      <w:shd w:val="clear" w:color="auto" w:fill="FFFFFF"/>
      <w:spacing w:before="240" w:after="240" w:line="0" w:lineRule="atLeast"/>
      <w:outlineLvl w:val="0"/>
    </w:pPr>
    <w:rPr>
      <w:rFonts w:ascii="Times New Roman" w:hAnsi="Times New Roman" w:eastAsia="Times New Roman" w:cs="Times New Roman"/>
      <w:b/>
      <w:bCs/>
      <w:sz w:val="22"/>
      <w:szCs w:val="22"/>
    </w:rPr>
  </w:style>
  <w:style w:type="character" w:customStyle="1" w:styleId="28">
    <w:name w:val="Основной текст3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9">
    <w:name w:val="Основной текст4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0">
    <w:name w:val="Основной текст5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6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2 (2)_"/>
    <w:basedOn w:val="2"/>
    <w:link w:val="33"/>
    <w:qFormat/>
    <w:uiPriority w:val="0"/>
    <w:rPr>
      <w:rFonts w:ascii="Times New Roman" w:hAnsi="Times New Roman" w:eastAsia="Times New Roman" w:cs="Times New Roman"/>
      <w:b/>
      <w:bCs/>
      <w:sz w:val="22"/>
      <w:szCs w:val="22"/>
      <w:u w:val="none"/>
    </w:rPr>
  </w:style>
  <w:style w:type="paragraph" w:customStyle="1" w:styleId="33">
    <w:name w:val="Заголовок №2 (2)"/>
    <w:basedOn w:val="1"/>
    <w:link w:val="32"/>
    <w:qFormat/>
    <w:uiPriority w:val="0"/>
    <w:pPr>
      <w:shd w:val="clear" w:color="auto" w:fill="FFFFFF"/>
      <w:spacing w:before="480" w:after="300" w:line="0" w:lineRule="atLeast"/>
      <w:outlineLvl w:val="1"/>
    </w:pPr>
    <w:rPr>
      <w:rFonts w:ascii="Times New Roman" w:hAnsi="Times New Roman" w:eastAsia="Times New Roman" w:cs="Times New Roman"/>
      <w:b/>
      <w:bCs/>
      <w:sz w:val="22"/>
      <w:szCs w:val="22"/>
    </w:rPr>
  </w:style>
  <w:style w:type="character" w:customStyle="1" w:styleId="34">
    <w:name w:val="Основной текст7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5">
    <w:name w:val="Основной текст8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6">
    <w:name w:val="Заголовок №1 (3)_"/>
    <w:basedOn w:val="2"/>
    <w:link w:val="37"/>
    <w:qFormat/>
    <w:uiPriority w:val="0"/>
    <w:rPr>
      <w:rFonts w:ascii="Times New Roman" w:hAnsi="Times New Roman" w:eastAsia="Times New Roman" w:cs="Times New Roman"/>
      <w:sz w:val="40"/>
      <w:szCs w:val="40"/>
      <w:u w:val="none"/>
    </w:rPr>
  </w:style>
  <w:style w:type="paragraph" w:customStyle="1" w:styleId="37">
    <w:name w:val="Заголовок №1 (3)1"/>
    <w:basedOn w:val="1"/>
    <w:link w:val="36"/>
    <w:qFormat/>
    <w:uiPriority w:val="0"/>
    <w:pPr>
      <w:shd w:val="clear" w:color="auto" w:fill="FFFFFF"/>
      <w:spacing w:before="60" w:line="0" w:lineRule="atLeast"/>
      <w:jc w:val="both"/>
      <w:outlineLvl w:val="0"/>
    </w:pPr>
    <w:rPr>
      <w:rFonts w:ascii="Times New Roman" w:hAnsi="Times New Roman" w:eastAsia="Times New Roman" w:cs="Times New Roman"/>
      <w:sz w:val="40"/>
      <w:szCs w:val="40"/>
    </w:rPr>
  </w:style>
  <w:style w:type="character" w:customStyle="1" w:styleId="38">
    <w:name w:val="Заголовок №1 (3) + 12 pt"/>
    <w:basedOn w:val="3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9">
    <w:name w:val="Заголовок №1 (3)"/>
    <w:basedOn w:val="3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0">
    <w:name w:val="Основной текст9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1">
    <w:name w:val="Основной текст10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+ 12 pt;Полужирный;Курсив"/>
    <w:basedOn w:val="9"/>
    <w:qFormat/>
    <w:uiPriority w:val="0"/>
    <w:rPr>
      <w:rFonts w:ascii="Times New Roman" w:hAnsi="Times New Roman" w:eastAsia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3">
    <w:name w:val="Верхний колонтитул Знак"/>
    <w:basedOn w:val="2"/>
    <w:link w:val="6"/>
    <w:qFormat/>
    <w:uiPriority w:val="99"/>
    <w:rPr>
      <w:color w:val="000000"/>
    </w:rPr>
  </w:style>
  <w:style w:type="character" w:customStyle="1" w:styleId="44">
    <w:name w:val="Нижний колонтитул Знак"/>
    <w:basedOn w:val="2"/>
    <w:link w:val="7"/>
    <w:qFormat/>
    <w:uiPriority w:val="99"/>
    <w:rPr>
      <w:color w:val="000000"/>
    </w:rPr>
  </w:style>
  <w:style w:type="character" w:customStyle="1" w:styleId="45">
    <w:name w:val="Текст выноски Знак"/>
    <w:basedOn w:val="2"/>
    <w:link w:val="5"/>
    <w:semiHidden/>
    <w:qFormat/>
    <w:uiPriority w:val="99"/>
    <w:rPr>
      <w:rFonts w:ascii="Tahoma" w:hAnsi="Tahoma" w:cs="Tahoma"/>
      <w:color w:val="000000"/>
      <w:sz w:val="16"/>
      <w:szCs w:val="16"/>
    </w:rPr>
  </w:style>
  <w:style w:type="character" w:customStyle="1" w:styleId="46">
    <w:name w:val="Intense Emphasis"/>
    <w:basedOn w:val="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7BD63-D01A-4FE1-9B61-8DC4862EA0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Филиал ВИПК МВД России</Company>
  <Pages>5</Pages>
  <Words>1642</Words>
  <Characters>9366</Characters>
  <Lines>78</Lines>
  <Paragraphs>21</Paragraphs>
  <TotalTime>24</TotalTime>
  <ScaleCrop>false</ScaleCrop>
  <LinksUpToDate>false</LinksUpToDate>
  <CharactersWithSpaces>10987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2025-07-29T06:33:00Z</dcterms:created>
  <dc:creator>ОТО филиала ВИПК МВД России (г. Набережные Челны)</dc:creator>
  <cp:lastModifiedBy>admin</cp:lastModifiedBy>
  <cp:lastPrinted>2026-07-27T10:10:00Z</cp:lastPrinted>
  <dcterms:modified xsi:type="dcterms:W3CDTF">2026-07-27T12:53:21Z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ACED123163F64CB3877DB36200E23524_12</vt:lpwstr>
  </property>
  <property fmtid="{D5CDD505-2E9C-101B-9397-08002B2CF9AE}" pid="4" name="KSOTemplateDocerSaveRecord">
    <vt:lpwstr>eyJoZGlkIjoiNGNhZmM3MDhlNTJmZDZhYzZiOTg4MzhkYzhlM2FiNTEifQ==</vt:lpwstr>
  </property>
</Properties>
</file>