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20" w:after="120"/>
        <w:ind w:hanging="0" w:end="0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 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«        »                            2026 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end="0"/>
        <w:rPr>
          <w:b w:val="false"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color w:val="000000"/>
          <w:sz w:val="23"/>
          <w:szCs w:val="23"/>
        </w:rPr>
        <w:t>именуемое в дальнейшем «</w:t>
      </w:r>
      <w:r>
        <w:rPr>
          <w:b/>
          <w:color w:val="000000"/>
          <w:sz w:val="23"/>
          <w:szCs w:val="23"/>
        </w:rPr>
        <w:t>Заказчик</w:t>
      </w:r>
      <w:r>
        <w:rPr>
          <w:color w:val="000000"/>
          <w:sz w:val="23"/>
          <w:szCs w:val="23"/>
        </w:rPr>
        <w:t xml:space="preserve">», в лице   директора института Парамонова Игоря Владимировича, действующего на основании Устава, с одной стороны, </w:t>
      </w:r>
      <w:r>
        <w:rPr>
          <w:color w:val="000000"/>
          <w:sz w:val="23"/>
          <w:szCs w:val="23"/>
          <w:shd w:fill="auto" w:val="clear"/>
        </w:rPr>
        <w:t>и                  именуемое в дальнейшем «</w:t>
      </w:r>
      <w:r>
        <w:rPr>
          <w:b/>
          <w:color w:val="000000"/>
          <w:sz w:val="23"/>
          <w:szCs w:val="23"/>
          <w:shd w:fill="auto" w:val="clear"/>
        </w:rPr>
        <w:t xml:space="preserve">Поставщик </w:t>
      </w:r>
      <w:r>
        <w:rPr>
          <w:color w:val="000000"/>
          <w:sz w:val="23"/>
          <w:szCs w:val="23"/>
          <w:shd w:fill="auto" w:val="clear"/>
        </w:rPr>
        <w:t xml:space="preserve">» , в лице                     действующего  на основании                              с </w:t>
      </w:r>
      <w:r>
        <w:rPr>
          <w:color w:val="000000"/>
          <w:sz w:val="23"/>
          <w:szCs w:val="23"/>
        </w:rPr>
        <w:t>другой стороны, здесь и далее вместе именуемые «Стороны»,</w:t>
      </w:r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идентификационный код закупки 261434600765643450100100290000000244, руководствуясь п. 4.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товар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в течение 5 </w:t>
      </w:r>
      <w:r>
        <w:rPr>
          <w:color w:val="000000"/>
          <w:sz w:val="23"/>
          <w:szCs w:val="23"/>
          <w:shd w:fill="auto" w:val="clear"/>
        </w:rPr>
        <w:t>календарных</w:t>
      </w:r>
      <w:r>
        <w:rPr>
          <w:color w:val="000000"/>
          <w:sz w:val="23"/>
          <w:szCs w:val="23"/>
        </w:rPr>
        <w:t xml:space="preserve"> дней с даты заключения договора.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57-96-24.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end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2.1. Стоимость товара составляет:</w:t>
      </w:r>
      <w:r>
        <w:rPr/>
        <w:t xml:space="preserve">  ___________ </w:t>
      </w:r>
      <w:r>
        <w:rPr>
          <w:sz w:val="23"/>
          <w:szCs w:val="23"/>
        </w:rPr>
        <w:t xml:space="preserve">( ___________) рубля 00 копеек  в том числе  НДС.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start="0" w:end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star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  <w:shd w:fill="auto" w:val="clear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  <w:shd w:fill="auto" w:val="clear"/>
        </w:rPr>
        <w:t xml:space="preserve"> </w:t>
      </w:r>
      <w:r>
        <w:rPr>
          <w:color w:val="000000"/>
          <w:sz w:val="22"/>
          <w:szCs w:val="22"/>
        </w:rPr>
        <w:t>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1"/>
        <w:spacing w:lineRule="auto" w:line="240" w:before="0"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2"/>
        <w:ind w:firstLine="567" w:start="0" w:end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7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start="0" w:end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 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3"/>
          <w:szCs w:val="23"/>
        </w:rPr>
        <w:t>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bookmarkEnd w:id="0"/>
      <w:r>
        <w:rPr>
          <w:color w:val="000000"/>
          <w:sz w:val="23"/>
          <w:szCs w:val="23"/>
        </w:rPr>
        <w:t>ой регистрирующим органом в государственный реестр),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7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start="0" w:end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 xml:space="preserve"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отправку  Акта приемки своим уполномоченным представителем через </w:t>
      </w:r>
      <w:r>
        <w:rPr>
          <w:color w:val="000000"/>
          <w:sz w:val="22"/>
          <w:szCs w:val="22"/>
          <w:shd w:fill="auto" w:val="clear"/>
        </w:rPr>
        <w:t xml:space="preserve"> , </w:t>
      </w:r>
      <w:hyperlink r:id="rId2">
        <w:r>
          <w:rPr>
            <w:rStyle w:val="Hyperlink"/>
            <w:color w:val="000000"/>
            <w:sz w:val="22"/>
            <w:szCs w:val="22"/>
            <w:shd w:fill="FFFF00" w:val="clear"/>
            <w:lang w:val="en-US"/>
          </w:rPr>
          <w:t>a</w:t>
        </w:r>
        <w:r>
          <w:rPr>
            <w:rStyle w:val="Hyperlink"/>
            <w:color w:val="000000"/>
            <w:sz w:val="22"/>
            <w:szCs w:val="22"/>
            <w:shd w:fill="auto" w:val="clear"/>
            <w:lang w:val="en-US"/>
          </w:rPr>
          <w:t>gromir-kirov@yandex.ru</w:t>
        </w:r>
      </w:hyperlink>
      <w:r>
        <w:rPr>
          <w:color w:val="000000"/>
          <w:sz w:val="22"/>
          <w:szCs w:val="22"/>
          <w:shd w:fill="auto" w:val="clear"/>
          <w:lang w:val="en-US"/>
        </w:rPr>
        <w:t xml:space="preserve"> </w:t>
      </w:r>
      <w:r>
        <w:rPr>
          <w:color w:val="000000"/>
          <w:sz w:val="22"/>
          <w:szCs w:val="22"/>
          <w:shd w:fill="auto" w:val="clear"/>
        </w:rPr>
        <w:t>(указ</w:t>
      </w:r>
      <w:r>
        <w:rPr>
          <w:color w:val="000000"/>
          <w:sz w:val="22"/>
          <w:szCs w:val="22"/>
        </w:rPr>
        <w:t>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7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start="0" w:end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end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end="0"/>
        <w:rPr>
          <w:iCs/>
          <w:color w:val="000000"/>
        </w:rPr>
      </w:pPr>
      <w:r>
        <w:rPr>
          <w:iCs/>
          <w:color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 w:end="0"/>
        <w:rPr>
          <w:rFonts w:eastAsia="Times New Roman" w:cs="Times New Roman"/>
          <w:iCs/>
          <w:color w:val="000000"/>
          <w:sz w:val="23"/>
          <w:szCs w:val="23"/>
          <w:shd w:fill="auto" w:val="clear"/>
          <w:lang w:eastAsia="gu-IN" w:bidi="gu-IN"/>
        </w:rPr>
      </w:pPr>
      <w:r>
        <w:rPr>
          <w:iCs/>
          <w:color w:val="000000"/>
        </w:rPr>
        <w:t xml:space="preserve">6.5. Остаточный </w:t>
      </w:r>
      <w:r>
        <w:rPr>
          <w:rFonts w:cs="Times New Roman"/>
          <w:iCs/>
          <w:color w:val="000000"/>
          <w:sz w:val="23"/>
          <w:szCs w:val="23"/>
        </w:rPr>
        <w:t xml:space="preserve"> срок  годности на товар должен быть не менее 6 месяцев с даты поставки.</w:t>
      </w:r>
    </w:p>
    <w:p>
      <w:pPr>
        <w:pStyle w:val="Normal"/>
        <w:widowControl/>
        <w:tabs>
          <w:tab w:val="clear" w:pos="9900"/>
          <w:tab w:val="left" w:pos="450" w:leader="none"/>
        </w:tabs>
        <w:suppressAutoHyphens w:val="true"/>
        <w:bidi w:val="0"/>
        <w:spacing w:lineRule="auto" w:line="240" w:before="0" w:after="0"/>
        <w:ind w:firstLine="397" w:end="0"/>
        <w:jc w:val="both"/>
        <w:rPr>
          <w:rStyle w:val="-"/>
          <w:b w:val="false"/>
          <w:bCs/>
          <w:color w:val="000000"/>
          <w:sz w:val="23"/>
          <w:szCs w:val="23"/>
        </w:rPr>
      </w:pPr>
      <w:r>
        <w:rPr>
          <w:rFonts w:eastAsia="Times New Roman" w:cs="Times New Roman"/>
          <w:iCs/>
          <w:color w:val="000000"/>
          <w:sz w:val="23"/>
          <w:szCs w:val="23"/>
          <w:shd w:fill="auto" w:val="clear"/>
          <w:lang w:eastAsia="gu-IN" w:bidi="gu-IN"/>
        </w:rPr>
        <w:t>6.6. Если в течение гарантийного срока будут обнаружены скрытые недостатки поставленного товара, препятствующие его использованию по прямому назначению, Поставщик за свой счет, своими средствами и силами  в безусловном порядке в течение 10 дней с момента получения уведомления Заказчика устраняет выявленные недостатки либо заменяет товар на товар надлежащего качества.</w:t>
      </w:r>
    </w:p>
    <w:p>
      <w:pPr>
        <w:pStyle w:val="Style27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start="0" w:end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b/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b/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end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3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color w:val="000000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sz w:val="23"/>
          <w:szCs w:val="23"/>
          <w:lang w:eastAsia="ru-RU"/>
        </w:rPr>
      </w:pPr>
      <w:r>
        <w:rPr>
          <w:color w:val="000000"/>
        </w:rPr>
        <w:t>11.  РЕКВИЗИТЫ И ПОДПИСИ СТОРОН</w:t>
      </w:r>
    </w:p>
    <w:tbl>
      <w:tblPr>
        <w:tblW w:w="112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4"/>
        <w:gridCol w:w="5529"/>
        <w:gridCol w:w="239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start="142" w:end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end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end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ОТДЕЛЕНИЕ КИРОВ БАНКА РОССИИ//УФК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 Кировской области г. Киров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snapToGrid w:val="false"/>
              <w:ind w:start="142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Заказчик</w:t>
            </w:r>
          </w:p>
          <w:p>
            <w:pPr>
              <w:pStyle w:val="Normal"/>
              <w:ind w:start="18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start="18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hanging="0" w:start="142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529" w:type="dxa"/>
            <w:tcBorders/>
          </w:tcPr>
          <w:p>
            <w:pPr>
              <w:pStyle w:val="Normal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b/>
                <w:color w:val="000000"/>
                <w:sz w:val="23"/>
                <w:szCs w:val="23"/>
                <w:shd w:fill="auto" w:val="clear"/>
              </w:rPr>
              <w:t>Поставщик:</w:t>
            </w:r>
          </w:p>
          <w:p>
            <w:pPr>
              <w:pStyle w:val="Normal"/>
              <w:tabs>
                <w:tab w:val="clear" w:pos="9900"/>
                <w:tab w:val="right" w:pos="9923" w:leader="none"/>
              </w:tabs>
              <w:spacing w:before="120" w:after="120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 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jc w:val="star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star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star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star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Поставщик</w:t>
            </w:r>
          </w:p>
          <w:p>
            <w:pPr>
              <w:pStyle w:val="Normal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____________________/</w:t>
            </w:r>
            <w:r>
              <w:rPr>
                <w:rFonts w:eastAsia="Arial Unicode MS"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eastAsia="ru-RU"/>
              </w:rPr>
              <w:t xml:space="preserve">                                    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>/</w:t>
            </w:r>
          </w:p>
          <w:p>
            <w:pPr>
              <w:pStyle w:val="Normal"/>
              <w:ind w:hanging="0" w:end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end"/>
        <w:rPr>
          <w:b w:val="false"/>
          <w:caps w:val="false"/>
          <w:smallCaps w:val="false"/>
          <w:sz w:val="23"/>
          <w:szCs w:val="23"/>
        </w:rPr>
      </w:pPr>
      <w:r>
        <w:br w:type="page"/>
      </w:r>
      <w:r>
        <w:rPr>
          <w:b w:val="false"/>
          <w:caps w:val="false"/>
          <w:smallCaps w:val="false"/>
          <w:sz w:val="23"/>
          <w:szCs w:val="23"/>
        </w:rPr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jc w:val="end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end"/>
        <w:rPr/>
      </w:pPr>
      <w:r>
        <w:rPr/>
        <w:t xml:space="preserve">                                                         №                     </w:t>
      </w:r>
      <w:r>
        <w:rPr>
          <w:b/>
          <w:bCs/>
          <w:color w:val="000000"/>
          <w:sz w:val="23"/>
          <w:szCs w:val="23"/>
        </w:rPr>
        <w:t xml:space="preserve"> </w:t>
      </w:r>
      <w:r>
        <w:rPr/>
        <w:t xml:space="preserve">  </w:t>
      </w:r>
      <w:r>
        <w:rPr/>
        <w:t>от  «         »                           2026г.</w:t>
      </w:r>
    </w:p>
    <w:p>
      <w:pPr>
        <w:pStyle w:val="Normal"/>
        <w:ind w:firstLine="709" w:end="0"/>
        <w:rPr/>
      </w:pPr>
      <w:r>
        <w:rPr/>
      </w:r>
    </w:p>
    <w:p>
      <w:pPr>
        <w:pStyle w:val="Normal"/>
        <w:ind w:firstLine="709" w:end="0"/>
        <w:jc w:val="center"/>
        <w:rPr>
          <w:b/>
          <w:bCs/>
          <w:smallCaps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end="0"/>
        <w:jc w:val="center"/>
        <w:rPr>
          <w:b/>
          <w:bCs/>
          <w:smallCaps/>
        </w:rPr>
      </w:pPr>
      <w:r>
        <w:rPr>
          <w:b/>
          <w:bCs/>
          <w:smallCaps/>
        </w:rPr>
        <w:t>(характеристика поставляемого товара)</w:t>
      </w:r>
    </w:p>
    <w:p>
      <w:pPr>
        <w:pStyle w:val="Normal"/>
        <w:ind w:firstLine="709" w:end="0"/>
        <w:rPr/>
      </w:pPr>
      <w:r>
        <w:rPr/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end="0"/>
        <w:rPr/>
      </w:pPr>
      <w:r>
        <w:rPr/>
      </w:r>
    </w:p>
    <w:tbl>
      <w:tblPr>
        <w:tblW w:w="1023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7"/>
        <w:gridCol w:w="3686"/>
        <w:gridCol w:w="1422"/>
        <w:gridCol w:w="1536"/>
        <w:gridCol w:w="1536"/>
        <w:gridCol w:w="1489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end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before="0" w:after="0"/>
              <w:ind w:start="10" w:end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Товара</w:t>
            </w:r>
          </w:p>
        </w:tc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end="0"/>
              <w:jc w:val="center"/>
              <w:rPr/>
            </w:pPr>
            <w:r>
              <w:rPr/>
              <w:t>Кол-во</w:t>
            </w:r>
          </w:p>
          <w:p>
            <w:pPr>
              <w:pStyle w:val="Normal"/>
              <w:ind w:hanging="0" w:end="0"/>
              <w:jc w:val="center"/>
              <w:rPr/>
            </w:pPr>
            <w:r>
              <w:rPr/>
              <w:t xml:space="preserve">(ед изм)  </w:t>
            </w:r>
            <w:r>
              <w:rPr>
                <w:shd w:fill="auto" w:val="clear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before="0" w:after="0"/>
              <w:ind w:start="0" w:end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 xml:space="preserve">Цена за ед.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tabs>
                <w:tab w:val="clear" w:pos="9900"/>
                <w:tab w:val="left" w:pos="2318" w:leader="none"/>
              </w:tabs>
              <w:spacing w:before="0" w:after="0"/>
              <w:ind w:firstLine="57" w:start="-57" w:end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НДС</w:t>
            </w:r>
          </w:p>
          <w:p>
            <w:pPr>
              <w:pStyle w:val="Style31"/>
              <w:tabs>
                <w:tab w:val="clear" w:pos="9900"/>
                <w:tab w:val="left" w:pos="2318" w:leader="none"/>
              </w:tabs>
              <w:spacing w:before="0" w:after="0"/>
              <w:ind w:firstLine="57" w:start="-57" w:end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31"/>
              <w:tabs>
                <w:tab w:val="clear" w:pos="9900"/>
                <w:tab w:val="left" w:pos="2318" w:leader="none"/>
              </w:tabs>
              <w:spacing w:before="0" w:after="0"/>
              <w:ind w:firstLine="57" w:start="-57" w:end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5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ind w:hanging="0" w:end="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ind w:hanging="0" w:end="0"/>
              <w:jc w:val="start"/>
              <w:rPr/>
            </w:pPr>
            <w:r>
              <w:rPr/>
              <w:t xml:space="preserve">Комбикорм гранулированный  для взрослых кроликов </w:t>
            </w:r>
          </w:p>
        </w:tc>
        <w:tc>
          <w:tcPr>
            <w:tcW w:w="142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start="-49" w:end="0"/>
              <w:jc w:val="center"/>
              <w:rPr/>
            </w:pPr>
            <w:r>
              <w:rPr>
                <w:lang w:eastAsia="en-US"/>
              </w:rPr>
              <w:t>90 кг.</w:t>
            </w:r>
          </w:p>
        </w:tc>
        <w:tc>
          <w:tcPr>
            <w:tcW w:w="15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snapToGrid w:val="false"/>
              <w:ind w:hanging="49" w:start="-49" w:end="0"/>
              <w:jc w:val="center"/>
              <w:rPr/>
            </w:pPr>
            <w:r>
              <w:rPr/>
            </w:r>
          </w:p>
        </w:tc>
        <w:tc>
          <w:tcPr>
            <w:tcW w:w="1536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snapToGrid w:val="false"/>
              <w:ind w:hanging="49" w:start="-49" w:end="0"/>
              <w:jc w:val="center"/>
              <w:rPr/>
            </w:pPr>
            <w:r>
              <w:rPr/>
            </w:r>
          </w:p>
        </w:tc>
        <w:tc>
          <w:tcPr>
            <w:tcW w:w="14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33"/>
              <w:snapToGrid w:val="false"/>
              <w:ind w:hanging="49" w:start="-49" w:end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09" w:end="0"/>
        <w:rPr/>
      </w:pPr>
      <w:r>
        <w:rPr/>
      </w:r>
    </w:p>
    <w:p>
      <w:pPr>
        <w:pStyle w:val="Normal"/>
        <w:ind w:hanging="0" w:end="0"/>
        <w:rPr>
          <w:i/>
          <w:u w:val="single"/>
          <w:lang w:eastAsia="en-US"/>
        </w:rPr>
      </w:pPr>
      <w:r>
        <w:rPr/>
        <w:t>Итого стоимость Товара:</w:t>
      </w:r>
      <w:r>
        <w:rPr>
          <w:color w:val="548DD4"/>
          <w:sz w:val="23"/>
          <w:szCs w:val="23"/>
        </w:rPr>
        <w:t xml:space="preserve"> </w:t>
      </w:r>
      <w:r>
        <w:rPr>
          <w:i/>
          <w:iCs w:val="false"/>
          <w:color w:val="000000"/>
          <w:sz w:val="23"/>
          <w:szCs w:val="23"/>
          <w:u w:val="single"/>
          <w:lang w:eastAsia="en-US"/>
        </w:rPr>
        <w:t xml:space="preserve"> </w:t>
      </w:r>
    </w:p>
    <w:p>
      <w:pPr>
        <w:pStyle w:val="Normal"/>
        <w:rPr>
          <w:i/>
          <w:u w:val="single"/>
          <w:lang w:eastAsia="en-US"/>
        </w:rPr>
      </w:pPr>
      <w:r>
        <w:rPr>
          <w:i/>
          <w:u w:val="single"/>
          <w:lang w:eastAsia="en-US"/>
        </w:rPr>
      </w:r>
    </w:p>
    <w:p>
      <w:pPr>
        <w:pStyle w:val="Normal"/>
        <w:rPr>
          <w:b/>
          <w:i/>
          <w:u w:val="single"/>
          <w:lang w:eastAsia="en-US"/>
        </w:rPr>
      </w:pPr>
      <w:r>
        <w:rPr>
          <w:b/>
          <w:i/>
          <w:u w:val="single"/>
          <w:lang w:eastAsia="en-US"/>
        </w:rPr>
      </w:r>
    </w:p>
    <w:p>
      <w:pPr>
        <w:pStyle w:val="Normal"/>
        <w:rPr>
          <w:b/>
          <w:i/>
          <w:sz w:val="28"/>
          <w:szCs w:val="28"/>
          <w:u w:val="single"/>
          <w:lang w:eastAsia="en-US"/>
        </w:rPr>
      </w:pPr>
      <w:r>
        <w:rPr>
          <w:b/>
          <w:i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sz w:val="28"/>
          <w:szCs w:val="28"/>
          <w:u w:val="single"/>
          <w:lang w:eastAsia="en-US"/>
        </w:rPr>
      </w:pPr>
      <w:r>
        <w:rPr>
          <w:b/>
          <w:i/>
          <w:sz w:val="28"/>
          <w:szCs w:val="28"/>
          <w:u w:val="single"/>
          <w:lang w:eastAsia="en-US"/>
        </w:rPr>
      </w:r>
    </w:p>
    <w:tbl>
      <w:tblPr>
        <w:tblW w:w="973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61"/>
        <w:gridCol w:w="5075"/>
      </w:tblGrid>
      <w:tr>
        <w:trPr/>
        <w:tc>
          <w:tcPr>
            <w:tcW w:w="4661" w:type="dxa"/>
            <w:tcBorders/>
          </w:tcPr>
          <w:p>
            <w:pPr>
              <w:pStyle w:val="Normal"/>
              <w:ind w:start="180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start="180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start="180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start="18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___________________/И.В. Парамонов/</w:t>
            </w:r>
          </w:p>
          <w:p>
            <w:pPr>
              <w:pStyle w:val="Normal"/>
              <w:ind w:start="18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075" w:type="dxa"/>
            <w:tcBorders/>
          </w:tcPr>
          <w:p>
            <w:pPr>
              <w:pStyle w:val="Normal"/>
              <w:snapToGrid w:val="false"/>
              <w:ind w:firstLine="607" w:end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Поставщик:</w:t>
            </w:r>
          </w:p>
          <w:p>
            <w:pPr>
              <w:pStyle w:val="Normal"/>
              <w:ind w:hanging="0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_________________/</w:t>
            </w:r>
            <w:r>
              <w:rPr>
                <w:rFonts w:eastAsia="Arial Unicode MS"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eastAsia="ru-RU"/>
              </w:rPr>
              <w:t xml:space="preserve">                               </w:t>
            </w:r>
            <w:r>
              <w:rPr>
                <w:rFonts w:eastAsia="Arial Unicode MS" w:cs="Arial"/>
                <w:color w:val="000000"/>
                <w:sz w:val="23"/>
                <w:szCs w:val="23"/>
                <w:lang w:eastAsia="ru-RU"/>
              </w:rPr>
              <w:t>/</w:t>
            </w:r>
          </w:p>
          <w:p>
            <w:pPr>
              <w:pStyle w:val="Normal"/>
              <w:ind w:hanging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ind w:firstLine="567" w:start="0" w:end="0"/>
      <w:jc w:val="both"/>
    </w:pPr>
    <w:rPr>
      <w:rFonts w:ascii="Times New Roman" w:hAnsi="Times New Roman" w:eastAsia="Times New Roman" w:cs="Times New Roman"/>
      <w:color w:val="auto"/>
      <w:sz w:val="24"/>
      <w:szCs w:val="24"/>
      <w:lang w:bidi="ar-SA" w:val="ru-RU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bidi="ar-SA"/>
    </w:rPr>
  </w:style>
  <w:style w:type="character" w:styleId="2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4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5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6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7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Style2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21">
    <w:name w:val="Верхний колонтитул Знак"/>
    <w:qFormat/>
    <w:rPr>
      <w:sz w:val="24"/>
      <w:szCs w:val="24"/>
    </w:rPr>
  </w:style>
  <w:style w:type="character" w:styleId="Style22">
    <w:name w:val="Нижний колонтитул Знак"/>
    <w:qFormat/>
    <w:rPr>
      <w:sz w:val="24"/>
      <w:szCs w:val="24"/>
    </w:rPr>
  </w:style>
  <w:style w:type="character" w:styleId="Style23">
    <w:name w:val="Символ нумераци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7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ind w:firstLine="720" w:start="0" w:end="0"/>
    </w:pPr>
    <w:rPr>
      <w:rFonts w:ascii="Arial" w:hAnsi="Arial" w:eastAsia="Calibri" w:cs="Arial"/>
      <w:color w:val="auto"/>
      <w:sz w:val="20"/>
      <w:szCs w:val="20"/>
      <w:lang w:bidi="ar-SA" w:val="ru-RU" w:eastAsia="zh-CN"/>
    </w:rPr>
  </w:style>
  <w:style w:type="paragraph" w:styleId="Style28">
    <w:name w:val="Таблица текст"/>
    <w:basedOn w:val="Normal"/>
    <w:qFormat/>
    <w:pPr>
      <w:spacing w:before="40" w:after="40"/>
      <w:ind w:hanging="0" w:start="57" w:end="57"/>
    </w:pPr>
    <w:rPr>
      <w:rFonts w:eastAsia="Calibri"/>
      <w:sz w:val="22"/>
      <w:szCs w:val="22"/>
    </w:rPr>
  </w:style>
  <w:style w:type="paragraph" w:styleId="211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start="851" w:end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9">
    <w:name w:val="Абзац списка"/>
    <w:basedOn w:val="Normal"/>
    <w:qFormat/>
    <w:pPr>
      <w:suppressAutoHyphens w:val="false"/>
      <w:spacing w:before="0" w:after="0"/>
      <w:ind w:hanging="0" w:start="720" w:end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</w:pPr>
    <w:rPr>
      <w:rFonts w:ascii="Times New Roman" w:hAnsi="Times New Roman" w:eastAsia="Calibri" w:cs="Times New Roman"/>
      <w:color w:val="000000"/>
      <w:sz w:val="24"/>
      <w:szCs w:val="24"/>
      <w:lang w:bidi="ar-SA" w:val="ru-RU" w:eastAsia="zh-CN"/>
    </w:rPr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Таблица шапка"/>
    <w:basedOn w:val="Normal"/>
    <w:qFormat/>
    <w:pPr>
      <w:keepNext w:val="true"/>
      <w:suppressAutoHyphens w:val="false"/>
      <w:spacing w:before="40" w:after="40"/>
      <w:ind w:hanging="0" w:start="57" w:end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32">
    <w:name w:val="Инструкция"/>
    <w:basedOn w:val="Normal"/>
    <w:qFormat/>
    <w:pPr>
      <w:ind w:firstLine="425" w:start="0" w:end="0"/>
      <w:jc w:val="both"/>
    </w:pPr>
    <w:rPr>
      <w:rFonts w:cs="Times New Roman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jc w:val="center"/>
    </w:pPr>
    <w:rPr>
      <w:b/>
      <w:bCs/>
    </w:rPr>
  </w:style>
  <w:style w:type="paragraph" w:styleId="Style35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Style36">
    <w:name w:val="Колонтитулы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gromir-kirov@yandex.ru" TargetMode="External"/><Relationship Id="rId3" Type="http://schemas.openxmlformats.org/officeDocument/2006/relationships/hyperlink" Target="http://www.gov-zakupki.ru/zakon/44-fz-id126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185</TotalTime>
  <Application>LibreOffice/26.2.3.2$Windows_X86_64 LibreOffice_project/70e089b17412e4cb7773e41413306b17a2328c34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2025-09-22T09:21:00Z</dcterms:created>
  <dc:creator/>
  <dc:description/>
  <dc:language>ru-RU</dc:language>
  <cp:lastModifiedBy/>
  <dcterms:modified xsi:type="dcterms:W3CDTF">2026-05-25T10:45:45Z</dcterms:modified>
  <cp:revision>23</cp:revision>
  <dc:subject/>
  <dc:title/>
</cp:coreProperties>
</file>