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4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94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94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Контракту Поставщик обязуется поставить Заказчику </w:t>
      </w:r>
      <w:r>
        <w:rPr>
          <w:rFonts w:ascii="Times New Roman" w:hAnsi="Times New Roman"/>
          <w:sz w:val="24"/>
          <w:szCs w:val="24"/>
        </w:rPr>
        <w:t xml:space="preserve">бытовую технику</w:t>
      </w:r>
      <w:r>
        <w:rPr>
          <w:rFonts w:ascii="Times New Roman" w:hAnsi="Times New Roman"/>
          <w:sz w:val="24"/>
          <w:szCs w:val="24"/>
        </w:rPr>
        <w:t xml:space="preserve"> (далее – Товар), в соответствии с Техническим заданием (Приложение № 1 к Контракту), наименование, количество, цена за единицу к</w:t>
      </w:r>
      <w:r>
        <w:rPr>
          <w:rFonts w:ascii="Times New Roman" w:hAnsi="Times New Roman"/>
          <w:sz w:val="24"/>
          <w:szCs w:val="24"/>
        </w:rPr>
        <w:t xml:space="preserve">оторого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08"/>
        <w:ind w:left="0" w:firstLine="709"/>
        <w:jc w:val="both"/>
        <w:spacing w:line="240" w:lineRule="atLeast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sz w:val="24"/>
          <w:szCs w:val="24"/>
        </w:rPr>
        <w:t xml:space="preserve">числе</w:t>
      </w:r>
      <w:r>
        <w:rPr>
          <w:sz w:val="24"/>
          <w:szCs w:val="24"/>
        </w:rPr>
        <w:t xml:space="preserve"> который не был восстановлен, у</w:t>
      </w:r>
      <w:r>
        <w:rPr>
          <w:sz w:val="24"/>
          <w:szCs w:val="24"/>
        </w:rPr>
        <w:t xml:space="preserve"> 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4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в теч</w:t>
      </w:r>
      <w:r>
        <w:rPr>
          <w:rFonts w:ascii="Times New Roman" w:hAnsi="Times New Roman"/>
          <w:sz w:val="24"/>
          <w:szCs w:val="24"/>
          <w:highlight w:val="none"/>
        </w:rPr>
        <w:t xml:space="preserve">ение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b/>
          <w:bCs/>
          <w:sz w:val="24"/>
          <w:szCs w:val="24"/>
          <w:highlight w:val="none"/>
          <w:lang w:bidi="en-US"/>
        </w:rPr>
        <w:t xml:space="preserve"> (Семи) рабочих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заключения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Заказчик обязуется обеспечить своевременный и беспрепятс</w:t>
      </w:r>
      <w:r>
        <w:rPr>
          <w:rFonts w:ascii="Times New Roman" w:hAnsi="Times New Roman"/>
          <w:sz w:val="24"/>
          <w:szCs w:val="24"/>
        </w:rPr>
        <w:t xml:space="preserve">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</w:t>
      </w:r>
      <w:r>
        <w:rPr>
          <w:rFonts w:ascii="Times New Roman" w:hAnsi="Times New Roman"/>
          <w:sz w:val="24"/>
          <w:szCs w:val="24"/>
        </w:rPr>
        <w:t xml:space="preserve">уществляется представителем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емка и экспертиза в соответствии с Законом № 44-ФЗ поставляемого Товара, проводимая своими силами или 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</w:rPr>
        <w:t xml:space="preserve">с даты поставки</w:t>
      </w:r>
      <w:r>
        <w:rPr>
          <w:rFonts w:ascii="Times New Roman" w:hAnsi="Times New Roman"/>
          <w:sz w:val="24"/>
          <w:szCs w:val="24"/>
        </w:rPr>
        <w:t xml:space="preserve">. Датой приемки Тов</w:t>
      </w:r>
      <w:r>
        <w:rPr>
          <w:rFonts w:ascii="Times New Roman" w:hAnsi="Times New Roman"/>
          <w:sz w:val="24"/>
          <w:szCs w:val="24"/>
        </w:rPr>
        <w:t xml:space="preserve">ара считается дата подписания Заказчиком акта сдачи-приемки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45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о всех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товарной накладной (ТОРГ-12)/универсального пере</w:t>
      </w:r>
      <w:r>
        <w:rPr>
          <w:rFonts w:ascii="Times New Roman" w:hAnsi="Times New Roman"/>
          <w:sz w:val="24"/>
          <w:szCs w:val="24"/>
          <w:highlight w:val="lightGray"/>
        </w:rPr>
        <w:t xml:space="preserve">даточного документа (УПД)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45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1"/>
          <w:numId w:val="45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Отгрузка Товара производится силами</w:t>
      </w:r>
      <w:r>
        <w:rPr>
          <w:rFonts w:ascii="Times New Roman" w:hAnsi="Times New Roman"/>
          <w:sz w:val="24"/>
          <w:szCs w:val="24"/>
        </w:rPr>
        <w:t xml:space="preserve"> и за счет средств Поставщика по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-1 этаж (без лифта).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0"/>
          <w:numId w:val="45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4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08"/>
        <w:numPr>
          <w:ilvl w:val="1"/>
          <w:numId w:val="46"/>
        </w:numPr>
        <w:ind w:left="0" w:right="-1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</w:t>
      </w:r>
      <w:r>
        <w:rPr>
          <w:sz w:val="24"/>
          <w:szCs w:val="24"/>
          <w:highlight w:val="none"/>
        </w:rPr>
        <w:t xml:space="preserve">м Российской Федерации и правом Евразийского экономического союза.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8"/>
        <w:numPr>
          <w:ilvl w:val="1"/>
          <w:numId w:val="46"/>
        </w:numPr>
        <w:ind w:left="0" w:right="-1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Поставляемый Товар должен быть произведен </w:t>
      </w:r>
      <w:r>
        <w:rPr>
          <w:b/>
          <w:sz w:val="24"/>
          <w:szCs w:val="24"/>
          <w:highlight w:val="none"/>
        </w:rPr>
        <w:t xml:space="preserve">не ранее 2025 года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8"/>
        <w:numPr>
          <w:ilvl w:val="1"/>
          <w:numId w:val="46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В случае обнаружения Товара ненадлежащего качества Заказчик незамед</w:t>
      </w:r>
      <w:r>
        <w:rPr>
          <w:sz w:val="24"/>
          <w:szCs w:val="24"/>
        </w:rPr>
        <w:t xml:space="preserve">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1"/>
          <w:numId w:val="40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0"/>
          <w:numId w:val="40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8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</w:t>
      </w:r>
      <w:r>
        <w:rPr>
          <w:sz w:val="24"/>
          <w:szCs w:val="24"/>
          <w:highlight w:val="none"/>
        </w:rPr>
        <w:t xml:space="preserve">ента) от суммы неуплаченного в срок платежа.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В случае нарушения Поставщиком сроков поставки Товара, Заказчик </w:t>
      </w:r>
      <w:r>
        <w:rPr>
          <w:sz w:val="24"/>
          <w:szCs w:val="24"/>
          <w:highlight w:val="none"/>
        </w:rPr>
        <w:t xml:space="preserve">обязан</w:t>
      </w:r>
      <w:r>
        <w:rPr>
          <w:sz w:val="24"/>
          <w:szCs w:val="24"/>
          <w:highlight w:val="none"/>
        </w:rPr>
        <w:t xml:space="preserve"> потребовать от Поставщика уплату неустойки в размере 0,1% (Одна десятая процента) от </w:t>
      </w:r>
      <w:r>
        <w:rPr>
          <w:sz w:val="24"/>
          <w:szCs w:val="24"/>
        </w:rPr>
        <w:t xml:space="preserve">стоимости не поставленного </w:t>
      </w:r>
      <w:r>
        <w:rPr>
          <w:sz w:val="24"/>
          <w:szCs w:val="24"/>
        </w:rPr>
        <w:t xml:space="preserve">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вправе потребовать от Поставщика уплату штрафа в размере 10% (Десять процентов) от стоимости Товара ненадлежащего качества или</w:t>
      </w:r>
      <w:r>
        <w:rPr>
          <w:sz w:val="24"/>
          <w:szCs w:val="24"/>
        </w:rPr>
        <w:t xml:space="preserve">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0"/>
          <w:numId w:val="41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8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4"/>
        <w:numPr>
          <w:ilvl w:val="1"/>
          <w:numId w:val="41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0"/>
          <w:numId w:val="41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4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4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1024"/>
        <w:ind w:firstLine="567"/>
        <w:jc w:val="both"/>
        <w:spacing w:before="0" w:beforeAutospacing="0" w:after="0" w:afterAutospacing="0"/>
      </w:pPr>
      <w:r>
        <w:t xml:space="preserve">Срок ответа на прет</w:t>
      </w:r>
      <w:r>
        <w:t xml:space="preserve">ензию – 14 (Четырнадцать)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</w:t>
      </w:r>
      <w:r>
        <w:t xml:space="preserve">заявившая претензию, вправе обратиться в суд с исковым заявлением по истечении 30 (Тридцати) рабочих дней </w:t>
      </w:r>
      <w:r>
        <w:t xml:space="preserve">с </w:t>
      </w:r>
      <w:r>
        <w:t xml:space="preserve">даты направления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</w:t>
      </w:r>
      <w:r>
        <w:t xml:space="preserve">ениями по адресу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 невозможности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</w:t>
      </w:r>
      <w:bookmarkStart w:id="0" w:name="_GoBack"/>
      <w:r/>
      <w:bookmarkEnd w:id="0"/>
      <w:r>
        <w:rPr>
          <w:sz w:val="24"/>
          <w:szCs w:val="24"/>
        </w:rPr>
        <w:t xml:space="preserve">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0"/>
          <w:numId w:val="41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8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Контра</w:t>
      </w:r>
      <w:r>
        <w:rPr>
          <w:sz w:val="24"/>
          <w:szCs w:val="24"/>
          <w:highlight w:val="white"/>
        </w:rPr>
        <w:t xml:space="preserve">кт вст</w:t>
      </w:r>
      <w:r>
        <w:rPr>
          <w:sz w:val="24"/>
          <w:szCs w:val="24"/>
          <w:highlight w:val="white"/>
        </w:rPr>
        <w:t xml:space="preserve">упает в силу и становится обязательным для Сторон с момента его заключения Сторонами и действует </w:t>
      </w:r>
      <w:r>
        <w:rPr>
          <w:sz w:val="24"/>
          <w:szCs w:val="24"/>
        </w:rPr>
        <w:t xml:space="preserve">по 12 августа </w:t>
      </w:r>
      <w:r>
        <w:rPr>
          <w:sz w:val="24"/>
          <w:szCs w:val="24"/>
          <w:highlight w:val="white"/>
        </w:rPr>
        <w:t xml:space="preserve">2026 года, а в части исполнения финансовых обязательств до полного их исполнения. Окончание с</w:t>
      </w:r>
      <w:r>
        <w:rPr>
          <w:sz w:val="24"/>
          <w:szCs w:val="24"/>
        </w:rPr>
        <w:t xml:space="preserve">рока действия Контракта не освобождает Стороны о</w:t>
      </w:r>
      <w:r>
        <w:rPr>
          <w:sz w:val="24"/>
          <w:szCs w:val="24"/>
        </w:rPr>
        <w:t xml:space="preserve">т полного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Законом о контрактной системе, в соответствии с действующим законодательством Российской Федерации. При д</w:t>
      </w:r>
      <w:r>
        <w:rPr>
          <w:sz w:val="24"/>
          <w:szCs w:val="24"/>
        </w:rPr>
        <w:t xml:space="preserve">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4"/>
        <w:ind w:right="-1" w:firstLine="709"/>
        <w:jc w:val="both"/>
        <w:tabs>
          <w:tab w:val="clear" w:pos="0" w:leader="none"/>
          <w:tab w:val="left" w:pos="142" w:leader="none"/>
          <w:tab w:val="num" w:pos="786" w:leader="none"/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numPr>
          <w:ilvl w:val="0"/>
          <w:numId w:val="41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4"/>
        <w:ind w:right="-1" w:firstLine="709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1"/>
          <w:numId w:val="41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1"/>
          <w:numId w:val="41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</w:t>
      </w:r>
      <w:r>
        <w:rPr>
          <w:sz w:val="24"/>
          <w:szCs w:val="24"/>
        </w:rPr>
        <w:t xml:space="preserve">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4"/>
        <w:numPr>
          <w:ilvl w:val="1"/>
          <w:numId w:val="41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</w:t>
      </w:r>
      <w:r>
        <w:rPr>
          <w:rFonts w:ascii="Times New Roman" w:hAnsi="Times New Roman"/>
          <w:sz w:val="24"/>
          <w:szCs w:val="24"/>
        </w:rPr>
        <w:t xml:space="preserve">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4"/>
        <w:ind w:right="-1"/>
        <w:jc w:val="both"/>
        <w:tabs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02"/>
        <w:numPr>
          <w:ilvl w:val="0"/>
          <w:numId w:val="41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p>
      <w:r/>
      <w:r/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802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91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ФКУ «Дирекция госзаказчика»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 xml:space="preserve">казначейского счета </w:t>
            </w:r>
            <w:r>
              <w:rPr>
                <w:sz w:val="24"/>
                <w:szCs w:val="24"/>
              </w:rPr>
              <w:t xml:space="preserve">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(495) 604-40-09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85"/>
                  <w:sz w:val="24"/>
                  <w:szCs w:val="24"/>
                  <w:lang w:val="en-US"/>
                </w:rPr>
                <w:t xml:space="preserve">cs</w:t>
              </w:r>
              <w:r>
                <w:rPr>
                  <w:rStyle w:val="985"/>
                  <w:sz w:val="24"/>
                  <w:szCs w:val="24"/>
                </w:rPr>
                <w:t xml:space="preserve">@dgz.ru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Тютюгин Владимир Павлович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r>
              <w:rPr>
                <w:sz w:val="24"/>
                <w:szCs w:val="24"/>
              </w:rPr>
              <w:t xml:space="preserve">TyutyuginVP@dgz.ru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91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1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1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1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1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1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tabs>
          <w:tab w:val="left" w:pos="8505" w:leader="none"/>
          <w:tab w:val="left" w:pos="1077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1008"/>
        <w:numPr>
          <w:ilvl w:val="0"/>
          <w:numId w:val="42"/>
        </w:numPr>
        <w:ind w:left="567" w:firstLine="567"/>
        <w:jc w:val="both"/>
        <w:rPr>
          <w:b/>
          <w:sz w:val="24"/>
          <w:szCs w:val="24"/>
          <w:lang w:bidi="en-US"/>
        </w:rPr>
      </w:pPr>
      <w:r>
        <w:rPr>
          <w:b/>
          <w:sz w:val="24"/>
          <w:szCs w:val="24"/>
          <w:lang w:bidi="en-US"/>
        </w:rPr>
        <w:t xml:space="preserve">Общие требования к Товару:</w:t>
      </w:r>
      <w:r>
        <w:rPr>
          <w:b/>
          <w:sz w:val="24"/>
          <w:szCs w:val="24"/>
          <w:lang w:bidi="en-US"/>
        </w:rPr>
      </w:r>
      <w:r>
        <w:rPr>
          <w:b/>
          <w:sz w:val="24"/>
          <w:szCs w:val="24"/>
          <w:lang w:bidi="en-US"/>
        </w:rPr>
      </w:r>
    </w:p>
    <w:p>
      <w:pPr>
        <w:pStyle w:val="1008"/>
        <w:ind w:left="0"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1030"/>
        <w:tblW w:w="10391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969"/>
        <w:gridCol w:w="3261"/>
        <w:gridCol w:w="610"/>
      </w:tblGrid>
      <w:tr>
        <w:tblPrEx/>
        <w:trPr>
          <w:trHeight w:val="946"/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 товара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0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8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Кофемашина автоматическая Saeco SM6582/30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Тип используемого кофе - </w:t>
            </w:r>
            <w:r>
              <w:rPr>
                <w:sz w:val="24"/>
                <w:szCs w:val="24"/>
              </w:rPr>
              <w:t xml:space="preserve">в зернах/ молотый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Максимальное давление - </w:t>
            </w:r>
            <w:r>
              <w:rPr>
                <w:sz w:val="24"/>
                <w:szCs w:val="24"/>
              </w:rPr>
              <w:t xml:space="preserve">15 Бар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Встроенная кофемолка - </w:t>
            </w:r>
            <w:r>
              <w:rPr>
                <w:sz w:val="24"/>
                <w:szCs w:val="24"/>
              </w:rPr>
            </w:r>
            <w:hyperlink r:id="rId16" w:tooltip="https://www.mvideo.ru/prigotovlenie-kofe-29/avtomaticheskie-kofemashiny-569/f/vstroennaya-kofemolka=da" w:history="1">
              <w:r>
                <w:rPr>
                  <w:sz w:val="24"/>
                  <w:szCs w:val="24"/>
                </w:rPr>
                <w:t xml:space="preserve">Да</w:t>
              </w:r>
            </w:hyperlink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Подогрев чашек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Приготовление напитка - </w:t>
            </w:r>
            <w:r>
              <w:rPr>
                <w:sz w:val="24"/>
                <w:szCs w:val="24"/>
              </w:rPr>
              <w:t xml:space="preserve">латте-макиато, ристретто, капучино, латте, лунго, флэт-уайт, эспрессо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Самоочистка каппучинатора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Режим автоматической промывки-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Регулировка степени помола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Установка жесткости воды - </w:t>
            </w:r>
            <w:r>
              <w:rPr>
                <w:sz w:val="24"/>
                <w:szCs w:val="24"/>
              </w:rPr>
              <w:t xml:space="preserve">электронный/ механический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Противокапельная система - </w:t>
            </w:r>
            <w:r>
              <w:rPr>
                <w:sz w:val="24"/>
                <w:szCs w:val="24"/>
              </w:rPr>
            </w:r>
            <w:hyperlink r:id="rId17" w:tooltip="https://www.mvideo.ru/prigotovlenie-kofe-29/avtomaticheskie-kofemashiny-569/f/protivokapelnaya-sistema=da" w:history="1">
              <w:r>
                <w:rPr>
                  <w:sz w:val="24"/>
                  <w:szCs w:val="24"/>
                </w:rPr>
                <w:t xml:space="preserve">Да</w:t>
              </w:r>
            </w:hyperlink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Безопасность - </w:t>
            </w:r>
            <w:r>
              <w:rPr>
                <w:sz w:val="24"/>
                <w:szCs w:val="24"/>
              </w:rPr>
              <w:t xml:space="preserve">Автоматическое отключение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Давление - </w:t>
            </w:r>
            <w:r>
              <w:rPr>
                <w:sz w:val="24"/>
                <w:szCs w:val="24"/>
              </w:rPr>
              <w:t xml:space="preserve">Максимальное давление </w:t>
            </w:r>
            <w:r>
              <w:rPr>
                <w:sz w:val="24"/>
                <w:szCs w:val="24"/>
              </w:rPr>
              <w:t xml:space="preserve">15 Бар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Объем резервуара для воды - </w:t>
            </w:r>
            <w:r>
              <w:rPr>
                <w:sz w:val="24"/>
                <w:szCs w:val="24"/>
              </w:rPr>
            </w:r>
            <w:hyperlink r:id="rId18" w:tooltip="https://www.mvideo.ru/prigotovlenie-kofe-29/avtomaticheskie-kofemashiny-569/f/obem-rezervuara-dlya-vody=1---19-l" w:history="1">
              <w:r>
                <w:rPr>
                  <w:sz w:val="24"/>
                  <w:szCs w:val="24"/>
                </w:rPr>
                <w:t xml:space="preserve">1.8 л</w:t>
              </w:r>
            </w:hyperlink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Съемный резервуар для воды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Таймер - </w:t>
            </w:r>
            <w:r>
              <w:rPr>
                <w:sz w:val="24"/>
                <w:szCs w:val="24"/>
                <w:highlight w:val="white"/>
              </w:rPr>
            </w:r>
            <w:hyperlink r:id="rId19" w:tooltip="https://www.mvideo.ru/prigotovlenie-kofe-29/avtomaticheskie-kofemashiny-569/f/taimer=da" w:history="1">
              <w:r>
                <w:rPr>
                  <w:sz w:val="24"/>
                  <w:szCs w:val="24"/>
                  <w:highlight w:val="white"/>
                </w:rPr>
                <w:t xml:space="preserve">Да</w:t>
              </w:r>
            </w:hyperlink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white"/>
              </w:rPr>
              <w:t xml:space="preserve">Таймер включения - </w:t>
            </w:r>
            <w:r>
              <w:rPr>
                <w:sz w:val="24"/>
                <w:szCs w:val="24"/>
                <w:highlight w:val="white"/>
              </w:rPr>
            </w:r>
            <w:hyperlink r:id="rId20" w:tooltip="https://www.mvideo.ru/prigotovlenie-kofe-29/avtomaticheskie-kofemashiny-569/f/taimer-vklucheniya=da" w:history="1">
              <w:r>
                <w:rPr>
                  <w:sz w:val="24"/>
                  <w:szCs w:val="24"/>
                  <w:highlight w:val="white"/>
                </w:rPr>
                <w:t xml:space="preserve">Да</w:t>
              </w:r>
            </w:hyperlink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Подсветка кнопок управления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Встроенная кофемолка - </w:t>
            </w:r>
            <w:r>
              <w:rPr>
                <w:sz w:val="24"/>
                <w:szCs w:val="24"/>
              </w:rPr>
            </w:r>
            <w:hyperlink r:id="rId21" w:tooltip="https://www.mvideo.ru/prigotovlenie-kofe-29/avtomaticheskie-kofemashiny-569/f/vstroennaya-kofemolka=da" w:history="1">
              <w:r>
                <w:rPr>
                  <w:sz w:val="24"/>
                  <w:szCs w:val="24"/>
                </w:rPr>
                <w:t xml:space="preserve">Да</w:t>
              </w:r>
            </w:hyperlink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Съемный резервуар для использованного кофе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Съемный резервуар для капель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Материал корпуса - </w:t>
            </w:r>
            <w:r>
              <w:rPr>
                <w:sz w:val="24"/>
                <w:szCs w:val="24"/>
              </w:rPr>
              <w:t xml:space="preserve">ABS-пластик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Материал жерновов - </w:t>
            </w:r>
            <w:r>
              <w:rPr>
                <w:sz w:val="24"/>
                <w:szCs w:val="24"/>
              </w:rPr>
            </w:r>
            <w:hyperlink r:id="rId22" w:tooltip="https://www.mvideo.ru/prigotovlenie-kofe-29/avtomaticheskie-kofemashiny-569/f/material-zhernovov=keramika" w:history="1">
              <w:r>
                <w:rPr>
                  <w:sz w:val="24"/>
                  <w:szCs w:val="24"/>
                </w:rPr>
                <w:t xml:space="preserve">керамика</w:t>
              </w:r>
            </w:hyperlink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Фильтр для воды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Длина сетевого шнура - </w:t>
            </w:r>
            <w:r>
              <w:rPr>
                <w:sz w:val="24"/>
                <w:szCs w:val="24"/>
              </w:rPr>
              <w:t xml:space="preserve">1.2 м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Режим энергосбережения - </w:t>
            </w: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Потребляемая мощность - </w:t>
            </w:r>
            <w:r>
              <w:rPr>
                <w:sz w:val="24"/>
                <w:szCs w:val="24"/>
              </w:rPr>
              <w:t xml:space="preserve">1500 Вт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Цвет - </w:t>
            </w:r>
            <w:r>
              <w:rPr>
                <w:sz w:val="24"/>
                <w:szCs w:val="24"/>
              </w:rPr>
              <w:t xml:space="preserve">антрацит/ серебристый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Габаритные размеры (В*Ш*Г) - </w:t>
            </w:r>
            <w:r>
              <w:rPr>
                <w:sz w:val="24"/>
                <w:szCs w:val="24"/>
              </w:rPr>
              <w:t xml:space="preserve">383*262*448 мм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</w:rPr>
              <w:t xml:space="preserve">Гарантийный срок - 24 месяца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01804" cy="2263038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478478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701804" cy="22630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34.00pt;height:178.19pt;mso-wrap-distance-left:0.00pt;mso-wrap-distance-top:0.00pt;mso-wrap-distance-right:0.00pt;mso-wrap-distance-bottom:0.00pt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шт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left="1635"/>
        <w:jc w:val="both"/>
        <w:rPr>
          <w:b/>
          <w:bCs/>
          <w:lang w:bidi="en-US"/>
        </w:rPr>
      </w:pPr>
      <w:r>
        <w:rPr>
          <w:b/>
          <w:bCs/>
          <w:lang w:bidi="en-US"/>
        </w:rPr>
      </w:r>
      <w:r>
        <w:rPr>
          <w:b/>
          <w:bCs/>
          <w:lang w:bidi="en-US"/>
        </w:rPr>
      </w:r>
      <w:r>
        <w:rPr>
          <w:b/>
          <w:bCs/>
          <w:lang w:bidi="en-US"/>
        </w:rPr>
      </w:r>
    </w:p>
    <w:p>
      <w:pPr>
        <w:contextualSpacing/>
        <w:ind w:left="1635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bidi="en-US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bidi="en-US"/>
        </w:rPr>
        <w:t xml:space="preserve">2. Общие требования к Товару: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0" w:right="-1" w:firstLine="567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Поставляемый </w:t>
      </w:r>
      <w:r>
        <w:rPr>
          <w:sz w:val="24"/>
          <w:szCs w:val="24"/>
        </w:rPr>
        <w:t xml:space="preserve">Товар должен быть новым </w:t>
      </w:r>
      <w:r>
        <w:rPr>
          <w:sz w:val="24"/>
          <w:szCs w:val="24"/>
        </w:rPr>
        <w:t xml:space="preserve">(товаром, который не был в употреблении, в ремонте, в том </w:t>
      </w:r>
      <w:r>
        <w:rPr>
          <w:sz w:val="24"/>
          <w:szCs w:val="24"/>
        </w:rPr>
        <w:t xml:space="preserve">числе</w:t>
      </w:r>
      <w:r>
        <w:rPr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</w:t>
      </w:r>
      <w:r>
        <w:rPr>
          <w:sz w:val="24"/>
          <w:szCs w:val="24"/>
        </w:rPr>
        <w:t xml:space="preserve">и произведен </w:t>
      </w:r>
      <w:r>
        <w:rPr>
          <w:b/>
          <w:sz w:val="24"/>
          <w:szCs w:val="24"/>
        </w:rPr>
        <w:t xml:space="preserve">не ранее 2025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lang w:bidi="en-US"/>
        </w:rPr>
        <w:t xml:space="preserve">Товар должен полностью соответствовать характеристикам, указанным в табличной части Технического задания.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bidi="en-US"/>
        </w:rPr>
        <w:t xml:space="preserve">3. Требования к упаковке: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Товар должен пос</w:t>
      </w:r>
      <w:r>
        <w:rPr>
          <w:sz w:val="24"/>
          <w:szCs w:val="24"/>
        </w:rPr>
        <w:t xml:space="preserve">тавляться в оригинальной заводской упаковке, обеспечивающей его сохранность, товарный вид, предохраняющей от всякого рода повреждений при транспор</w:t>
      </w:r>
      <w:r>
        <w:rPr>
          <w:sz w:val="24"/>
          <w:szCs w:val="24"/>
          <w:highlight w:val="none"/>
        </w:rPr>
        <w:t xml:space="preserve">тировке и хранении, погрузочно-разгрузочных работах, исключающей порчу и (или) уничтожение его до приемки Зака</w:t>
      </w:r>
      <w:r>
        <w:rPr>
          <w:sz w:val="24"/>
          <w:szCs w:val="24"/>
          <w:highlight w:val="none"/>
        </w:rPr>
        <w:t xml:space="preserve">зчиком.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bidi="en-US"/>
        </w:rPr>
        <w:t xml:space="preserve">4</w:t>
      </w:r>
      <w:r>
        <w:rPr>
          <w:b/>
          <w:sz w:val="24"/>
          <w:szCs w:val="24"/>
          <w:highlight w:val="none"/>
          <w:lang w:bidi="en-US"/>
        </w:rPr>
        <w:t xml:space="preserve">. Требования к маркировк</w:t>
      </w:r>
      <w:r>
        <w:rPr>
          <w:b/>
          <w:sz w:val="24"/>
          <w:szCs w:val="24"/>
          <w:highlight w:val="none"/>
          <w:lang w:bidi="en-US"/>
        </w:rPr>
        <w:t xml:space="preserve">е</w:t>
      </w:r>
      <w:r>
        <w:rPr>
          <w:b/>
          <w:sz w:val="24"/>
          <w:szCs w:val="24"/>
          <w:highlight w:val="none"/>
          <w:lang w:bidi="en-US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М</w:t>
      </w:r>
      <w:r>
        <w:rPr>
          <w:color w:val="000000"/>
          <w:sz w:val="24"/>
          <w:szCs w:val="24"/>
          <w:highlight w:val="none"/>
        </w:rPr>
        <w:t xml:space="preserve">аркировка Товара должны соответствовать требованиям действующих нормативных документов Российской Федерации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567" w:firstLine="0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bidi="en-US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567" w:firstLine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  <w:lang w:bidi="en-US"/>
        </w:rPr>
        <w:t xml:space="preserve">5. </w:t>
      </w:r>
      <w:r>
        <w:rPr>
          <w:b/>
          <w:sz w:val="24"/>
          <w:szCs w:val="24"/>
          <w:highlight w:val="none"/>
          <w:lang w:bidi="en-US"/>
        </w:rPr>
        <w:t xml:space="preserve">Требования к гарантии качества Товара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right="-1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На поставляемый Товар Поставщик предоставляет гарантию качества в соответствии с </w:t>
      </w:r>
      <w:r>
        <w:rPr>
          <w:sz w:val="24"/>
          <w:szCs w:val="24"/>
          <w:highlight w:val="white"/>
        </w:rPr>
        <w:t xml:space="preserve">нормативными документами на данный вид Товара, который исчисляется </w:t>
      </w:r>
      <w:r>
        <w:rPr>
          <w:sz w:val="24"/>
          <w:szCs w:val="24"/>
          <w:highlight w:val="white"/>
        </w:rPr>
        <w:t xml:space="preserve">с даты подписания</w:t>
      </w:r>
      <w:r>
        <w:rPr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товарной накладной (ТОРГ-12)/универсального передаточного документа (УПД)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  <w:lang w:bidi="en-US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bidi="en-US"/>
        </w:rPr>
        <w:t xml:space="preserve">6. Условия</w:t>
      </w:r>
      <w:r>
        <w:rPr>
          <w:b/>
          <w:bCs/>
          <w:sz w:val="24"/>
          <w:szCs w:val="24"/>
          <w:lang w:bidi="en-US"/>
        </w:rPr>
        <w:t xml:space="preserve"> поставки Товара: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en-US"/>
        </w:rPr>
        <w:t xml:space="preserve">Поставка Товара осуществляется Поставщиком в рабочие дни по адресу: 109028,</w:t>
      </w:r>
      <w:r>
        <w:rPr>
          <w:sz w:val="24"/>
          <w:szCs w:val="24"/>
          <w:lang w:bidi="en-US"/>
        </w:rPr>
        <w:br/>
        <w:t xml:space="preserve"> г. Москва, </w:t>
      </w:r>
      <w:r>
        <w:rPr>
          <w:sz w:val="24"/>
          <w:szCs w:val="24"/>
          <w:lang w:bidi="en-US"/>
        </w:rPr>
        <w:t xml:space="preserve">Хохловский</w:t>
      </w:r>
      <w:r>
        <w:rPr>
          <w:sz w:val="24"/>
          <w:szCs w:val="24"/>
          <w:lang w:bidi="en-US"/>
        </w:rPr>
        <w:t xml:space="preserve"> пер., д. 10, стр. 5, -1 этаж.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en-US"/>
        </w:rPr>
        <w:t xml:space="preserve">Срок поставки Това</w:t>
      </w:r>
      <w:r>
        <w:rPr>
          <w:sz w:val="24"/>
          <w:szCs w:val="24"/>
          <w:highlight w:val="none"/>
          <w:lang w:bidi="en-US"/>
        </w:rPr>
        <w:t xml:space="preserve">ра –</w:t>
      </w:r>
      <w:r>
        <w:rPr>
          <w:sz w:val="24"/>
          <w:szCs w:val="24"/>
          <w:highlight w:val="none"/>
        </w:rPr>
        <w:t xml:space="preserve"> в течение </w:t>
      </w:r>
      <w:r>
        <w:rPr>
          <w:b/>
          <w:bCs/>
          <w:sz w:val="24"/>
          <w:szCs w:val="24"/>
          <w:highlight w:val="none"/>
        </w:rPr>
        <w:t xml:space="preserve">7</w:t>
      </w:r>
      <w:r>
        <w:rPr>
          <w:b/>
          <w:bCs/>
          <w:sz w:val="24"/>
          <w:szCs w:val="24"/>
          <w:highlight w:val="none"/>
          <w:lang w:bidi="en-US"/>
        </w:rPr>
        <w:t xml:space="preserve"> (Семи) рабочих </w:t>
      </w:r>
      <w:r>
        <w:rPr>
          <w:b/>
          <w:bCs/>
          <w:sz w:val="24"/>
          <w:szCs w:val="24"/>
          <w:highlight w:val="none"/>
        </w:rPr>
        <w:t xml:space="preserve">дней </w:t>
      </w:r>
      <w:r>
        <w:rPr>
          <w:b/>
          <w:bCs/>
          <w:sz w:val="24"/>
          <w:szCs w:val="24"/>
          <w:highlight w:val="none"/>
        </w:rPr>
        <w:t xml:space="preserve">с</w:t>
      </w:r>
      <w:r>
        <w:rPr>
          <w:sz w:val="24"/>
          <w:szCs w:val="24"/>
          <w:highlight w:val="none"/>
        </w:rPr>
        <w:t xml:space="preserve"> даты з</w:t>
      </w:r>
      <w:r>
        <w:rPr>
          <w:sz w:val="24"/>
          <w:szCs w:val="24"/>
        </w:rPr>
        <w:t xml:space="preserve">аключения</w:t>
      </w:r>
      <w:r>
        <w:rPr>
          <w:sz w:val="24"/>
          <w:szCs w:val="24"/>
        </w:rPr>
        <w:t xml:space="preserve">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поставки: рабочие часы Заказчика с учетом обеденного времени (рабочие часы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</w:t>
      </w:r>
      <w:r>
        <w:rPr>
          <w:sz w:val="24"/>
          <w:szCs w:val="24"/>
        </w:rPr>
        <w:t xml:space="preserve">вскому времени) и не позднее, чем за 2 (Два) часа до окончания рабочего времени</w:t>
      </w:r>
      <w:r>
        <w:rPr>
          <w:sz w:val="24"/>
          <w:szCs w:val="24"/>
        </w:rPr>
        <w:t xml:space="preserve">, с учетом выходных и праздничных дней.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Подписи Сторон: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1008"/>
              <w:ind w:left="0" w:right="-1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br w:type="page" w:clear="all"/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922"/>
        <w:gridCol w:w="1418"/>
        <w:gridCol w:w="1207"/>
        <w:gridCol w:w="1627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64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3922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0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62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НДС__ %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НДС__ %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369"/>
        </w:trPr>
        <w:tc>
          <w:tcPr>
            <w:shd w:val="clear" w:color="auto" w:fill="auto"/>
            <w:tcW w:w="6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922" w:type="dxa"/>
            <w:textDirection w:val="lrTb"/>
            <w:noWrap w:val="false"/>
          </w:tcPr>
          <w:p>
            <w:pPr>
              <w:ind w:right="-1" w:firstLine="0"/>
              <w:jc w:val="left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Кофемашина автоматическая Saeco SM6582/30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ind w:right="-1" w:firstLine="0"/>
              <w:jc w:val="center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207" w:type="dxa"/>
            <w:vAlign w:val="center"/>
            <w:textDirection w:val="lrTb"/>
            <w:noWrap/>
          </w:tcPr>
          <w:p>
            <w:pPr>
              <w:ind w:right="-1" w:firstLine="0"/>
              <w:jc w:val="center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шт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auto"/>
            <w:tcW w:w="1627" w:type="dxa"/>
            <w:vAlign w:val="center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jc w:val="center"/>
          <w:trHeight w:val="513"/>
        </w:trPr>
        <w:tc>
          <w:tcPr>
            <w:gridSpan w:val="5"/>
            <w:shd w:val="clear" w:color="auto" w:fill="auto"/>
            <w:tcW w:w="8818" w:type="dxa"/>
            <w:vAlign w:val="center"/>
            <w:textDirection w:val="lrTb"/>
            <w:noWrap/>
          </w:tcPr>
          <w:p>
            <w:pPr>
              <w:ind w:right="-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1008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1008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num w:numId="1">
    <w:abstractNumId w:val="37"/>
  </w:num>
  <w:num w:numId="2">
    <w:abstractNumId w:val="41"/>
  </w:num>
  <w:num w:numId="3">
    <w:abstractNumId w:val="2"/>
  </w:num>
  <w:num w:numId="4">
    <w:abstractNumId w:val="17"/>
  </w:num>
  <w:num w:numId="5">
    <w:abstractNumId w:val="43"/>
  </w:num>
  <w:num w:numId="6">
    <w:abstractNumId w:val="10"/>
  </w:num>
  <w:num w:numId="7">
    <w:abstractNumId w:val="25"/>
  </w:num>
  <w:num w:numId="8">
    <w:abstractNumId w:val="39"/>
  </w:num>
  <w:num w:numId="9">
    <w:abstractNumId w:val="15"/>
  </w:num>
  <w:num w:numId="10">
    <w:abstractNumId w:val="45"/>
  </w:num>
  <w:num w:numId="11">
    <w:abstractNumId w:val="20"/>
  </w:num>
  <w:num w:numId="12">
    <w:abstractNumId w:val="8"/>
  </w:num>
  <w:num w:numId="13">
    <w:abstractNumId w:val="33"/>
  </w:num>
  <w:num w:numId="14">
    <w:abstractNumId w:val="32"/>
  </w:num>
  <w:num w:numId="15">
    <w:abstractNumId w:val="4"/>
  </w:num>
  <w:num w:numId="16">
    <w:abstractNumId w:val="30"/>
  </w:num>
  <w:num w:numId="17">
    <w:abstractNumId w:val="24"/>
  </w:num>
  <w:num w:numId="18">
    <w:abstractNumId w:val="36"/>
  </w:num>
  <w:num w:numId="19">
    <w:abstractNumId w:val="7"/>
  </w:num>
  <w:num w:numId="20">
    <w:abstractNumId w:val="28"/>
  </w:num>
  <w:num w:numId="21">
    <w:abstractNumId w:val="13"/>
  </w:num>
  <w:num w:numId="22">
    <w:abstractNumId w:val="34"/>
  </w:num>
  <w:num w:numId="23">
    <w:abstractNumId w:val="18"/>
  </w:num>
  <w:num w:numId="24">
    <w:abstractNumId w:val="5"/>
  </w:num>
  <w:num w:numId="25">
    <w:abstractNumId w:val="9"/>
  </w:num>
  <w:num w:numId="26">
    <w:abstractNumId w:val="6"/>
  </w:num>
  <w:num w:numId="27">
    <w:abstractNumId w:val="46"/>
  </w:num>
  <w:num w:numId="28">
    <w:abstractNumId w:val="22"/>
  </w:num>
  <w:num w:numId="29">
    <w:abstractNumId w:val="11"/>
  </w:num>
  <w:num w:numId="30">
    <w:abstractNumId w:val="12"/>
  </w:num>
  <w:num w:numId="31">
    <w:abstractNumId w:val="1"/>
  </w:num>
  <w:num w:numId="32">
    <w:abstractNumId w:val="38"/>
  </w:num>
  <w:num w:numId="33">
    <w:abstractNumId w:val="21"/>
  </w:num>
  <w:num w:numId="34">
    <w:abstractNumId w:val="31"/>
  </w:num>
  <w:num w:numId="35">
    <w:abstractNumId w:val="26"/>
  </w:num>
  <w:num w:numId="36">
    <w:abstractNumId w:val="40"/>
  </w:num>
  <w:num w:numId="37">
    <w:abstractNumId w:val="19"/>
  </w:num>
  <w:num w:numId="38">
    <w:abstractNumId w:val="44"/>
  </w:num>
  <w:num w:numId="39">
    <w:abstractNumId w:val="35"/>
  </w:num>
  <w:num w:numId="40">
    <w:abstractNumId w:val="0"/>
  </w:num>
  <w:num w:numId="41">
    <w:abstractNumId w:val="29"/>
  </w:num>
  <w:num w:numId="42">
    <w:abstractNumId w:val="23"/>
  </w:num>
  <w:num w:numId="43">
    <w:abstractNumId w:val="14"/>
  </w:num>
  <w:num w:numId="44">
    <w:abstractNumId w:val="42"/>
  </w:num>
  <w:num w:numId="45">
    <w:abstractNumId w:val="16"/>
  </w:num>
  <w:num w:numId="46">
    <w:abstractNumId w:val="27"/>
  </w:num>
  <w:num w:numId="47">
    <w:abstractNumId w:val="3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 w:default="1">
    <w:name w:val="Normal"/>
    <w:qFormat/>
  </w:style>
  <w:style w:type="paragraph" w:styleId="799">
    <w:name w:val="Heading 1"/>
    <w:basedOn w:val="798"/>
    <w:next w:val="798"/>
    <w:link w:val="977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800">
    <w:name w:val="Heading 2"/>
    <w:basedOn w:val="798"/>
    <w:next w:val="798"/>
    <w:link w:val="978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01">
    <w:name w:val="Heading 3"/>
    <w:basedOn w:val="798"/>
    <w:next w:val="798"/>
    <w:link w:val="979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802">
    <w:name w:val="Heading 4"/>
    <w:basedOn w:val="798"/>
    <w:next w:val="798"/>
    <w:link w:val="980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803">
    <w:name w:val="Heading 5"/>
    <w:basedOn w:val="798"/>
    <w:next w:val="798"/>
    <w:link w:val="981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04">
    <w:name w:val="Heading 6"/>
    <w:basedOn w:val="798"/>
    <w:next w:val="798"/>
    <w:link w:val="982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805">
    <w:name w:val="Heading 7"/>
    <w:basedOn w:val="798"/>
    <w:next w:val="798"/>
    <w:link w:val="983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806">
    <w:name w:val="Heading 8"/>
    <w:basedOn w:val="798"/>
    <w:next w:val="798"/>
    <w:link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798"/>
    <w:next w:val="798"/>
    <w:link w:val="984"/>
    <w:uiPriority w:val="99"/>
    <w:qFormat/>
    <w:pPr>
      <w:keepNext/>
      <w:outlineLvl w:val="8"/>
    </w:pPr>
    <w:rPr>
      <w:rFonts w:ascii="Cambria" w:hAnsi="Cambria"/>
    </w:rPr>
  </w:style>
  <w:style w:type="character" w:styleId="808" w:default="1">
    <w:name w:val="Default Paragraph Font"/>
    <w:uiPriority w:val="1"/>
    <w:semiHidden/>
    <w:unhideWhenUsed/>
  </w:style>
  <w:style w:type="table" w:styleId="8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0" w:default="1">
    <w:name w:val="No List"/>
    <w:uiPriority w:val="99"/>
    <w:semiHidden/>
    <w:unhideWhenUsed/>
  </w:style>
  <w:style w:type="character" w:styleId="811" w:customStyle="1">
    <w:name w:val="Heading 8 Char"/>
    <w:basedOn w:val="808"/>
    <w:uiPriority w:val="9"/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Subtitle Char"/>
    <w:basedOn w:val="808"/>
    <w:uiPriority w:val="11"/>
    <w:rPr>
      <w:sz w:val="24"/>
      <w:szCs w:val="24"/>
    </w:rPr>
  </w:style>
  <w:style w:type="character" w:styleId="813" w:customStyle="1">
    <w:name w:val="Quote Char"/>
    <w:uiPriority w:val="29"/>
    <w:rPr>
      <w:i/>
    </w:rPr>
  </w:style>
  <w:style w:type="character" w:styleId="814" w:customStyle="1">
    <w:name w:val="Intense Quote Char"/>
    <w:uiPriority w:val="30"/>
    <w:rPr>
      <w:i/>
    </w:rPr>
  </w:style>
  <w:style w:type="character" w:styleId="815" w:customStyle="1">
    <w:name w:val="Endnote Text Char"/>
    <w:uiPriority w:val="99"/>
    <w:rPr>
      <w:sz w:val="20"/>
    </w:rPr>
  </w:style>
  <w:style w:type="character" w:styleId="816" w:customStyle="1">
    <w:name w:val="Heading 1 Char"/>
    <w:basedOn w:val="808"/>
    <w:uiPriority w:val="9"/>
    <w:rPr>
      <w:rFonts w:ascii="Arial" w:hAnsi="Arial" w:eastAsia="Arial" w:cs="Arial"/>
      <w:sz w:val="40"/>
      <w:szCs w:val="40"/>
    </w:rPr>
  </w:style>
  <w:style w:type="character" w:styleId="817" w:customStyle="1">
    <w:name w:val="Heading 2 Char"/>
    <w:basedOn w:val="808"/>
    <w:uiPriority w:val="9"/>
    <w:rPr>
      <w:rFonts w:ascii="Arial" w:hAnsi="Arial" w:eastAsia="Arial" w:cs="Arial"/>
      <w:sz w:val="34"/>
    </w:rPr>
  </w:style>
  <w:style w:type="character" w:styleId="818" w:customStyle="1">
    <w:name w:val="Heading 3 Char"/>
    <w:basedOn w:val="808"/>
    <w:uiPriority w:val="9"/>
    <w:rPr>
      <w:rFonts w:ascii="Arial" w:hAnsi="Arial" w:eastAsia="Arial" w:cs="Arial"/>
      <w:sz w:val="30"/>
      <w:szCs w:val="30"/>
    </w:rPr>
  </w:style>
  <w:style w:type="character" w:styleId="819" w:customStyle="1">
    <w:name w:val="Heading 4 Char"/>
    <w:basedOn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Heading 5 Char"/>
    <w:basedOn w:val="808"/>
    <w:uiPriority w:val="9"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Heading 6 Char"/>
    <w:basedOn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Heading 7 Char"/>
    <w:basedOn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basedOn w:val="808"/>
    <w:link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Heading 9 Char"/>
    <w:basedOn w:val="808"/>
    <w:uiPriority w:val="9"/>
    <w:rPr>
      <w:rFonts w:ascii="Arial" w:hAnsi="Arial" w:eastAsia="Arial" w:cs="Arial"/>
      <w:i/>
      <w:iCs/>
      <w:sz w:val="21"/>
      <w:szCs w:val="21"/>
    </w:rPr>
  </w:style>
  <w:style w:type="character" w:styleId="825" w:customStyle="1">
    <w:name w:val="Title Char"/>
    <w:basedOn w:val="808"/>
    <w:uiPriority w:val="10"/>
    <w:rPr>
      <w:sz w:val="48"/>
      <w:szCs w:val="48"/>
    </w:rPr>
  </w:style>
  <w:style w:type="paragraph" w:styleId="826">
    <w:name w:val="Subtitle"/>
    <w:basedOn w:val="798"/>
    <w:next w:val="798"/>
    <w:link w:val="827"/>
    <w:uiPriority w:val="11"/>
    <w:qFormat/>
    <w:pPr>
      <w:spacing w:before="200" w:after="200"/>
    </w:pPr>
    <w:rPr>
      <w:sz w:val="24"/>
      <w:szCs w:val="24"/>
    </w:rPr>
  </w:style>
  <w:style w:type="character" w:styleId="827" w:customStyle="1">
    <w:name w:val="Подзаголовок Знак"/>
    <w:basedOn w:val="808"/>
    <w:link w:val="826"/>
    <w:uiPriority w:val="11"/>
    <w:rPr>
      <w:sz w:val="24"/>
      <w:szCs w:val="24"/>
    </w:rPr>
  </w:style>
  <w:style w:type="paragraph" w:styleId="828">
    <w:name w:val="Quote"/>
    <w:basedOn w:val="798"/>
    <w:next w:val="798"/>
    <w:link w:val="829"/>
    <w:uiPriority w:val="29"/>
    <w:qFormat/>
    <w:pPr>
      <w:ind w:left="720" w:right="720"/>
    </w:pPr>
    <w:rPr>
      <w:i/>
    </w:rPr>
  </w:style>
  <w:style w:type="character" w:styleId="829" w:customStyle="1">
    <w:name w:val="Цитата 2 Знак"/>
    <w:link w:val="828"/>
    <w:uiPriority w:val="29"/>
    <w:rPr>
      <w:i/>
    </w:rPr>
  </w:style>
  <w:style w:type="paragraph" w:styleId="830">
    <w:name w:val="Intense Quote"/>
    <w:basedOn w:val="798"/>
    <w:next w:val="798"/>
    <w:link w:val="8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1" w:customStyle="1">
    <w:name w:val="Выделенная цитата Знак"/>
    <w:link w:val="830"/>
    <w:uiPriority w:val="30"/>
    <w:rPr>
      <w:i/>
    </w:rPr>
  </w:style>
  <w:style w:type="character" w:styleId="832" w:customStyle="1">
    <w:name w:val="Header Char"/>
    <w:basedOn w:val="808"/>
    <w:uiPriority w:val="99"/>
  </w:style>
  <w:style w:type="character" w:styleId="833" w:customStyle="1">
    <w:name w:val="Footer Char"/>
    <w:basedOn w:val="808"/>
    <w:uiPriority w:val="99"/>
  </w:style>
  <w:style w:type="paragraph" w:styleId="834">
    <w:name w:val="Caption"/>
    <w:basedOn w:val="798"/>
    <w:next w:val="798"/>
    <w:link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5" w:customStyle="1">
    <w:name w:val="Caption Char"/>
    <w:uiPriority w:val="99"/>
  </w:style>
  <w:style w:type="table" w:styleId="836" w:customStyle="1">
    <w:name w:val="Table Grid Light"/>
    <w:basedOn w:val="8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7" w:customStyle="1">
    <w:name w:val="Plain Table 1"/>
    <w:basedOn w:val="8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 w:customStyle="1">
    <w:name w:val="Plain Table 2"/>
    <w:basedOn w:val="8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 w:customStyle="1">
    <w:name w:val="Plain Table 3"/>
    <w:basedOn w:val="8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0" w:customStyle="1">
    <w:name w:val="Plain Table 4"/>
    <w:basedOn w:val="8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Plain Table 5"/>
    <w:basedOn w:val="8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1 Light"/>
    <w:basedOn w:val="8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1"/>
    <w:basedOn w:val="80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2"/>
    <w:basedOn w:val="80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3"/>
    <w:basedOn w:val="80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4"/>
    <w:basedOn w:val="80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5"/>
    <w:basedOn w:val="80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6"/>
    <w:basedOn w:val="80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2"/>
    <w:basedOn w:val="8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1"/>
    <w:basedOn w:val="80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2"/>
    <w:basedOn w:val="80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3"/>
    <w:basedOn w:val="80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4"/>
    <w:basedOn w:val="80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5"/>
    <w:basedOn w:val="80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6"/>
    <w:basedOn w:val="80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"/>
    <w:basedOn w:val="8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1"/>
    <w:basedOn w:val="80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2"/>
    <w:basedOn w:val="80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3"/>
    <w:basedOn w:val="80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4"/>
    <w:basedOn w:val="80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5"/>
    <w:basedOn w:val="80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6"/>
    <w:basedOn w:val="80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4"/>
    <w:basedOn w:val="8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4" w:customStyle="1">
    <w:name w:val="Grid Table 4 - Accent 1"/>
    <w:basedOn w:val="80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5" w:customStyle="1">
    <w:name w:val="Grid Table 4 - Accent 2"/>
    <w:basedOn w:val="80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Grid Table 4 - Accent 3"/>
    <w:basedOn w:val="80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7" w:customStyle="1">
    <w:name w:val="Grid Table 4 - Accent 4"/>
    <w:basedOn w:val="80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Grid Table 4 - Accent 5"/>
    <w:basedOn w:val="80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9" w:customStyle="1">
    <w:name w:val="Grid Table 4 - Accent 6"/>
    <w:basedOn w:val="80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0" w:customStyle="1">
    <w:name w:val="Grid Table 5 Dark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1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2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3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4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5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6"/>
    <w:basedOn w:val="8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6 Colorful"/>
    <w:basedOn w:val="8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8" w:customStyle="1">
    <w:name w:val="Grid Table 6 Colorful - Accent 1"/>
    <w:basedOn w:val="80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9" w:customStyle="1">
    <w:name w:val="Grid Table 6 Colorful - Accent 2"/>
    <w:basedOn w:val="80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0" w:customStyle="1">
    <w:name w:val="Grid Table 6 Colorful - Accent 3"/>
    <w:basedOn w:val="80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1" w:customStyle="1">
    <w:name w:val="Grid Table 6 Colorful - Accent 4"/>
    <w:basedOn w:val="80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2" w:customStyle="1">
    <w:name w:val="Grid Table 6 Colorful - Accent 5"/>
    <w:basedOn w:val="80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3" w:customStyle="1">
    <w:name w:val="Grid Table 6 Colorful - Accent 6"/>
    <w:basedOn w:val="80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4" w:customStyle="1">
    <w:name w:val="Grid Table 7 Colorful"/>
    <w:basedOn w:val="8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1"/>
    <w:basedOn w:val="80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2"/>
    <w:basedOn w:val="80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3"/>
    <w:basedOn w:val="80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4"/>
    <w:basedOn w:val="80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Grid Table 7 Colorful - Accent 5"/>
    <w:basedOn w:val="80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Grid Table 7 Colorful - Accent 6"/>
    <w:basedOn w:val="80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1 Light"/>
    <w:basedOn w:val="80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1"/>
    <w:basedOn w:val="80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2"/>
    <w:basedOn w:val="80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3"/>
    <w:basedOn w:val="80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4"/>
    <w:basedOn w:val="80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5"/>
    <w:basedOn w:val="80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6"/>
    <w:basedOn w:val="80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2"/>
    <w:basedOn w:val="8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1"/>
    <w:basedOn w:val="80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2"/>
    <w:basedOn w:val="80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3"/>
    <w:basedOn w:val="80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4"/>
    <w:basedOn w:val="80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5"/>
    <w:basedOn w:val="80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6"/>
    <w:basedOn w:val="80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5" w:customStyle="1">
    <w:name w:val="List Table 3"/>
    <w:basedOn w:val="8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1"/>
    <w:basedOn w:val="80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2"/>
    <w:basedOn w:val="80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3"/>
    <w:basedOn w:val="80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4"/>
    <w:basedOn w:val="80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5"/>
    <w:basedOn w:val="80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6"/>
    <w:basedOn w:val="80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"/>
    <w:basedOn w:val="8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1"/>
    <w:basedOn w:val="80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2"/>
    <w:basedOn w:val="80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3"/>
    <w:basedOn w:val="80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4"/>
    <w:basedOn w:val="80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5"/>
    <w:basedOn w:val="80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6"/>
    <w:basedOn w:val="80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5 Dark"/>
    <w:basedOn w:val="8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1"/>
    <w:basedOn w:val="80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2"/>
    <w:basedOn w:val="80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3"/>
    <w:basedOn w:val="80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4"/>
    <w:basedOn w:val="80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5"/>
    <w:basedOn w:val="80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6"/>
    <w:basedOn w:val="80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6 Colorful"/>
    <w:basedOn w:val="8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7" w:customStyle="1">
    <w:name w:val="List Table 6 Colorful - Accent 1"/>
    <w:basedOn w:val="80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8" w:customStyle="1">
    <w:name w:val="List Table 6 Colorful - Accent 2"/>
    <w:basedOn w:val="80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9" w:customStyle="1">
    <w:name w:val="List Table 6 Colorful - Accent 3"/>
    <w:basedOn w:val="80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0" w:customStyle="1">
    <w:name w:val="List Table 6 Colorful - Accent 4"/>
    <w:basedOn w:val="80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1" w:customStyle="1">
    <w:name w:val="List Table 6 Colorful - Accent 5"/>
    <w:basedOn w:val="80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2" w:customStyle="1">
    <w:name w:val="List Table 6 Colorful - Accent 6"/>
    <w:basedOn w:val="80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3" w:customStyle="1">
    <w:name w:val="List Table 7 Colorful"/>
    <w:basedOn w:val="8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1"/>
    <w:basedOn w:val="80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2"/>
    <w:basedOn w:val="80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3"/>
    <w:basedOn w:val="80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4"/>
    <w:basedOn w:val="80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st Table 7 Colorful - Accent 5"/>
    <w:basedOn w:val="80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9" w:customStyle="1">
    <w:name w:val="List Table 7 Colorful - Accent 6"/>
    <w:basedOn w:val="80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0" w:customStyle="1">
    <w:name w:val="Lined - Accent"/>
    <w:basedOn w:val="8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Lined - Accent 1"/>
    <w:basedOn w:val="8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2" w:customStyle="1">
    <w:name w:val="Lined - Accent 2"/>
    <w:basedOn w:val="8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3" w:customStyle="1">
    <w:name w:val="Lined - Accent 3"/>
    <w:basedOn w:val="8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4" w:customStyle="1">
    <w:name w:val="Lined - Accent 4"/>
    <w:basedOn w:val="8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5" w:customStyle="1">
    <w:name w:val="Lined - Accent 5"/>
    <w:basedOn w:val="8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6" w:customStyle="1">
    <w:name w:val="Lined - Accent 6"/>
    <w:basedOn w:val="8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7" w:customStyle="1">
    <w:name w:val="Bordered &amp; Lined - Accent"/>
    <w:basedOn w:val="80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Bordered &amp; Lined - Accent 1"/>
    <w:basedOn w:val="80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9" w:customStyle="1">
    <w:name w:val="Bordered &amp; Lined - Accent 2"/>
    <w:basedOn w:val="80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0" w:customStyle="1">
    <w:name w:val="Bordered &amp; Lined - Accent 3"/>
    <w:basedOn w:val="80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1" w:customStyle="1">
    <w:name w:val="Bordered &amp; Lined - Accent 4"/>
    <w:basedOn w:val="80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2" w:customStyle="1">
    <w:name w:val="Bordered &amp; Lined - Accent 5"/>
    <w:basedOn w:val="80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3" w:customStyle="1">
    <w:name w:val="Bordered &amp; Lined - Accent 6"/>
    <w:basedOn w:val="80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4" w:customStyle="1">
    <w:name w:val="Bordered"/>
    <w:basedOn w:val="80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5" w:customStyle="1">
    <w:name w:val="Bordered - Accent 1"/>
    <w:basedOn w:val="80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6" w:customStyle="1">
    <w:name w:val="Bordered - Accent 2"/>
    <w:basedOn w:val="80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7" w:customStyle="1">
    <w:name w:val="Bordered - Accent 3"/>
    <w:basedOn w:val="80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8" w:customStyle="1">
    <w:name w:val="Bordered - Accent 4"/>
    <w:basedOn w:val="80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9" w:customStyle="1">
    <w:name w:val="Bordered - Accent 5"/>
    <w:basedOn w:val="80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0" w:customStyle="1">
    <w:name w:val="Bordered - Accent 6"/>
    <w:basedOn w:val="80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1" w:customStyle="1">
    <w:name w:val="Footnote Text Char"/>
    <w:uiPriority w:val="99"/>
    <w:rPr>
      <w:sz w:val="18"/>
    </w:rPr>
  </w:style>
  <w:style w:type="character" w:styleId="962">
    <w:name w:val="footnote reference"/>
    <w:basedOn w:val="808"/>
    <w:uiPriority w:val="99"/>
    <w:unhideWhenUsed/>
    <w:rPr>
      <w:vertAlign w:val="superscript"/>
    </w:rPr>
  </w:style>
  <w:style w:type="paragraph" w:styleId="963">
    <w:name w:val="endnote text"/>
    <w:basedOn w:val="798"/>
    <w:link w:val="964"/>
    <w:uiPriority w:val="99"/>
    <w:semiHidden/>
    <w:unhideWhenUsed/>
  </w:style>
  <w:style w:type="character" w:styleId="964" w:customStyle="1">
    <w:name w:val="Текст концевой сноски Знак"/>
    <w:link w:val="963"/>
    <w:uiPriority w:val="99"/>
    <w:rPr>
      <w:sz w:val="20"/>
    </w:rPr>
  </w:style>
  <w:style w:type="character" w:styleId="965">
    <w:name w:val="endnote reference"/>
    <w:basedOn w:val="808"/>
    <w:uiPriority w:val="99"/>
    <w:semiHidden/>
    <w:unhideWhenUsed/>
    <w:rPr>
      <w:vertAlign w:val="superscript"/>
    </w:rPr>
  </w:style>
  <w:style w:type="paragraph" w:styleId="966">
    <w:name w:val="toc 1"/>
    <w:basedOn w:val="798"/>
    <w:next w:val="798"/>
    <w:uiPriority w:val="39"/>
    <w:unhideWhenUsed/>
    <w:pPr>
      <w:spacing w:after="57"/>
    </w:pPr>
  </w:style>
  <w:style w:type="paragraph" w:styleId="967">
    <w:name w:val="toc 2"/>
    <w:basedOn w:val="798"/>
    <w:next w:val="798"/>
    <w:uiPriority w:val="39"/>
    <w:unhideWhenUsed/>
    <w:pPr>
      <w:ind w:left="283"/>
      <w:spacing w:after="57"/>
    </w:pPr>
  </w:style>
  <w:style w:type="paragraph" w:styleId="968">
    <w:name w:val="toc 3"/>
    <w:basedOn w:val="798"/>
    <w:next w:val="798"/>
    <w:uiPriority w:val="39"/>
    <w:unhideWhenUsed/>
    <w:pPr>
      <w:ind w:left="567"/>
      <w:spacing w:after="57"/>
    </w:pPr>
  </w:style>
  <w:style w:type="paragraph" w:styleId="969">
    <w:name w:val="toc 4"/>
    <w:basedOn w:val="798"/>
    <w:next w:val="798"/>
    <w:uiPriority w:val="39"/>
    <w:unhideWhenUsed/>
    <w:pPr>
      <w:ind w:left="850"/>
      <w:spacing w:after="57"/>
    </w:pPr>
  </w:style>
  <w:style w:type="paragraph" w:styleId="970">
    <w:name w:val="toc 5"/>
    <w:basedOn w:val="798"/>
    <w:next w:val="798"/>
    <w:uiPriority w:val="39"/>
    <w:unhideWhenUsed/>
    <w:pPr>
      <w:ind w:left="1134"/>
      <w:spacing w:after="57"/>
    </w:pPr>
  </w:style>
  <w:style w:type="paragraph" w:styleId="971">
    <w:name w:val="toc 6"/>
    <w:basedOn w:val="798"/>
    <w:next w:val="798"/>
    <w:uiPriority w:val="39"/>
    <w:unhideWhenUsed/>
    <w:pPr>
      <w:ind w:left="1417"/>
      <w:spacing w:after="57"/>
    </w:pPr>
  </w:style>
  <w:style w:type="paragraph" w:styleId="972">
    <w:name w:val="toc 7"/>
    <w:basedOn w:val="798"/>
    <w:next w:val="798"/>
    <w:uiPriority w:val="39"/>
    <w:unhideWhenUsed/>
    <w:pPr>
      <w:ind w:left="1701"/>
      <w:spacing w:after="57"/>
    </w:pPr>
  </w:style>
  <w:style w:type="paragraph" w:styleId="973">
    <w:name w:val="toc 8"/>
    <w:basedOn w:val="798"/>
    <w:next w:val="798"/>
    <w:uiPriority w:val="39"/>
    <w:unhideWhenUsed/>
    <w:pPr>
      <w:ind w:left="1984"/>
      <w:spacing w:after="57"/>
    </w:pPr>
  </w:style>
  <w:style w:type="paragraph" w:styleId="974">
    <w:name w:val="toc 9"/>
    <w:basedOn w:val="798"/>
    <w:next w:val="798"/>
    <w:uiPriority w:val="39"/>
    <w:unhideWhenUsed/>
    <w:pPr>
      <w:ind w:left="2268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798"/>
    <w:next w:val="798"/>
    <w:uiPriority w:val="99"/>
    <w:unhideWhenUsed/>
  </w:style>
  <w:style w:type="character" w:styleId="977" w:customStyle="1">
    <w:name w:val="Заголовок 1 Знак"/>
    <w:basedOn w:val="808"/>
    <w:link w:val="799"/>
    <w:uiPriority w:val="99"/>
    <w:rPr>
      <w:rFonts w:ascii="Cambria" w:hAnsi="Cambria" w:cs="Times New Roman"/>
      <w:b/>
      <w:sz w:val="32"/>
    </w:rPr>
  </w:style>
  <w:style w:type="character" w:styleId="978" w:customStyle="1">
    <w:name w:val="Заголовок 2 Знак"/>
    <w:basedOn w:val="808"/>
    <w:link w:val="800"/>
    <w:uiPriority w:val="99"/>
    <w:semiHidden/>
    <w:rPr>
      <w:rFonts w:ascii="Cambria" w:hAnsi="Cambria" w:cs="Times New Roman"/>
      <w:b/>
      <w:i/>
      <w:sz w:val="28"/>
    </w:rPr>
  </w:style>
  <w:style w:type="character" w:styleId="979" w:customStyle="1">
    <w:name w:val="Заголовок 3 Знак"/>
    <w:basedOn w:val="808"/>
    <w:link w:val="801"/>
    <w:uiPriority w:val="99"/>
    <w:semiHidden/>
    <w:rPr>
      <w:rFonts w:ascii="Cambria" w:hAnsi="Cambria" w:cs="Times New Roman"/>
      <w:b/>
      <w:sz w:val="26"/>
    </w:rPr>
  </w:style>
  <w:style w:type="character" w:styleId="980" w:customStyle="1">
    <w:name w:val="Заголовок 4 Знак"/>
    <w:basedOn w:val="808"/>
    <w:link w:val="802"/>
    <w:uiPriority w:val="99"/>
    <w:semiHidden/>
    <w:rPr>
      <w:rFonts w:ascii="Calibri" w:hAnsi="Calibri" w:cs="Times New Roman"/>
      <w:b/>
      <w:sz w:val="28"/>
    </w:rPr>
  </w:style>
  <w:style w:type="character" w:styleId="981" w:customStyle="1">
    <w:name w:val="Заголовок 5 Знак"/>
    <w:basedOn w:val="808"/>
    <w:link w:val="803"/>
    <w:uiPriority w:val="99"/>
    <w:semiHidden/>
    <w:rPr>
      <w:rFonts w:ascii="Calibri" w:hAnsi="Calibri" w:cs="Times New Roman"/>
      <w:b/>
      <w:i/>
      <w:sz w:val="26"/>
    </w:rPr>
  </w:style>
  <w:style w:type="character" w:styleId="982" w:customStyle="1">
    <w:name w:val="Заголовок 6 Знак"/>
    <w:basedOn w:val="808"/>
    <w:link w:val="804"/>
    <w:uiPriority w:val="99"/>
    <w:semiHidden/>
    <w:rPr>
      <w:rFonts w:ascii="Calibri" w:hAnsi="Calibri" w:cs="Times New Roman"/>
      <w:b/>
    </w:rPr>
  </w:style>
  <w:style w:type="character" w:styleId="983" w:customStyle="1">
    <w:name w:val="Заголовок 7 Знак"/>
    <w:basedOn w:val="808"/>
    <w:link w:val="805"/>
    <w:uiPriority w:val="99"/>
    <w:semiHidden/>
    <w:rPr>
      <w:rFonts w:ascii="Calibri" w:hAnsi="Calibri" w:cs="Times New Roman"/>
      <w:sz w:val="24"/>
    </w:rPr>
  </w:style>
  <w:style w:type="character" w:styleId="984" w:customStyle="1">
    <w:name w:val="Заголовок 9 Знак"/>
    <w:basedOn w:val="808"/>
    <w:link w:val="807"/>
    <w:uiPriority w:val="99"/>
    <w:semiHidden/>
    <w:rPr>
      <w:rFonts w:ascii="Cambria" w:hAnsi="Cambria" w:cs="Times New Roman"/>
    </w:rPr>
  </w:style>
  <w:style w:type="character" w:styleId="985">
    <w:name w:val="Hyperlink"/>
    <w:basedOn w:val="808"/>
    <w:uiPriority w:val="99"/>
    <w:semiHidden/>
    <w:rPr>
      <w:rFonts w:cs="Times New Roman"/>
      <w:color w:val="0000ff"/>
      <w:u w:val="single"/>
    </w:rPr>
  </w:style>
  <w:style w:type="paragraph" w:styleId="986">
    <w:name w:val="Body Text"/>
    <w:basedOn w:val="798"/>
    <w:link w:val="987"/>
    <w:uiPriority w:val="99"/>
    <w:pPr>
      <w:jc w:val="both"/>
    </w:pPr>
  </w:style>
  <w:style w:type="character" w:styleId="987" w:customStyle="1">
    <w:name w:val="Основной текст Знак"/>
    <w:basedOn w:val="808"/>
    <w:link w:val="986"/>
    <w:uiPriority w:val="99"/>
    <w:semiHidden/>
    <w:rPr>
      <w:rFonts w:cs="Times New Roman"/>
      <w:sz w:val="20"/>
    </w:rPr>
  </w:style>
  <w:style w:type="paragraph" w:styleId="988">
    <w:name w:val="Title"/>
    <w:basedOn w:val="798"/>
    <w:link w:val="989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89" w:customStyle="1">
    <w:name w:val="Название Знак"/>
    <w:basedOn w:val="808"/>
    <w:link w:val="988"/>
    <w:uiPriority w:val="99"/>
    <w:rPr>
      <w:rFonts w:ascii="Cambria" w:hAnsi="Cambria" w:cs="Times New Roman"/>
      <w:b/>
      <w:sz w:val="32"/>
    </w:rPr>
  </w:style>
  <w:style w:type="paragraph" w:styleId="990">
    <w:name w:val="No Spacing"/>
    <w:link w:val="1016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91" w:customStyle="1">
    <w:name w:val="микротекст"/>
    <w:basedOn w:val="986"/>
    <w:qFormat/>
    <w:pPr>
      <w:spacing w:after="120"/>
    </w:pPr>
    <w:rPr>
      <w:rFonts w:ascii="NTHelvetica/Cyrillic" w:hAnsi="NTHelvetica/Cyrillic"/>
    </w:rPr>
  </w:style>
  <w:style w:type="paragraph" w:styleId="992">
    <w:name w:val="Balloon Text"/>
    <w:basedOn w:val="798"/>
    <w:link w:val="993"/>
    <w:uiPriority w:val="99"/>
    <w:semiHidden/>
    <w:rPr>
      <w:sz w:val="2"/>
    </w:rPr>
  </w:style>
  <w:style w:type="character" w:styleId="993" w:customStyle="1">
    <w:name w:val="Текст выноски Знак"/>
    <w:basedOn w:val="808"/>
    <w:link w:val="992"/>
    <w:uiPriority w:val="99"/>
    <w:semiHidden/>
    <w:rPr>
      <w:rFonts w:cs="Times New Roman"/>
      <w:sz w:val="2"/>
    </w:rPr>
  </w:style>
  <w:style w:type="paragraph" w:styleId="994" w:customStyle="1">
    <w:name w:val="Готовый"/>
    <w:basedOn w:val="798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95">
    <w:name w:val="Body Text 2"/>
    <w:basedOn w:val="798"/>
    <w:link w:val="996"/>
    <w:uiPriority w:val="99"/>
    <w:pPr>
      <w:spacing w:after="120" w:line="480" w:lineRule="auto"/>
    </w:pPr>
  </w:style>
  <w:style w:type="character" w:styleId="996" w:customStyle="1">
    <w:name w:val="Основной текст 2 Знак"/>
    <w:basedOn w:val="808"/>
    <w:link w:val="995"/>
    <w:uiPriority w:val="99"/>
    <w:rPr>
      <w:rFonts w:cs="Times New Roman"/>
    </w:rPr>
  </w:style>
  <w:style w:type="paragraph" w:styleId="997">
    <w:name w:val="Body Text Indent 2"/>
    <w:basedOn w:val="798"/>
    <w:link w:val="998"/>
    <w:uiPriority w:val="99"/>
    <w:pPr>
      <w:ind w:left="283"/>
      <w:spacing w:after="120" w:line="480" w:lineRule="auto"/>
    </w:pPr>
  </w:style>
  <w:style w:type="character" w:styleId="998" w:customStyle="1">
    <w:name w:val="Основной текст с отступом 2 Знак"/>
    <w:basedOn w:val="808"/>
    <w:link w:val="997"/>
    <w:uiPriority w:val="99"/>
    <w:rPr>
      <w:rFonts w:cs="Times New Roman"/>
    </w:rPr>
  </w:style>
  <w:style w:type="paragraph" w:styleId="999">
    <w:name w:val="Body Text 3"/>
    <w:basedOn w:val="798"/>
    <w:link w:val="1000"/>
    <w:uiPriority w:val="99"/>
    <w:pPr>
      <w:jc w:val="both"/>
    </w:pPr>
  </w:style>
  <w:style w:type="character" w:styleId="1000" w:customStyle="1">
    <w:name w:val="Основной текст 3 Знак"/>
    <w:basedOn w:val="808"/>
    <w:link w:val="999"/>
    <w:uiPriority w:val="99"/>
    <w:qFormat/>
    <w:rPr>
      <w:rFonts w:cs="Times New Roman"/>
    </w:rPr>
  </w:style>
  <w:style w:type="paragraph" w:styleId="1001">
    <w:name w:val="Plain Text"/>
    <w:basedOn w:val="798"/>
    <w:link w:val="1002"/>
    <w:uiPriority w:val="99"/>
    <w:rPr>
      <w:rFonts w:ascii="Calibri" w:hAnsi="Calibri"/>
      <w:sz w:val="21"/>
      <w:lang w:eastAsia="en-US"/>
    </w:rPr>
  </w:style>
  <w:style w:type="character" w:styleId="1002" w:customStyle="1">
    <w:name w:val="Текст Знак"/>
    <w:basedOn w:val="808"/>
    <w:link w:val="1001"/>
    <w:uiPriority w:val="99"/>
    <w:rPr>
      <w:rFonts w:ascii="Calibri" w:hAnsi="Calibri" w:cs="Times New Roman"/>
      <w:sz w:val="21"/>
      <w:lang w:eastAsia="en-US"/>
    </w:rPr>
  </w:style>
  <w:style w:type="paragraph" w:styleId="1003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1004">
    <w:name w:val="Header"/>
    <w:basedOn w:val="798"/>
    <w:link w:val="1005"/>
    <w:uiPriority w:val="99"/>
    <w:pPr>
      <w:tabs>
        <w:tab w:val="center" w:pos="4677" w:leader="none"/>
        <w:tab w:val="right" w:pos="9355" w:leader="none"/>
      </w:tabs>
    </w:pPr>
  </w:style>
  <w:style w:type="character" w:styleId="1005" w:customStyle="1">
    <w:name w:val="Верхний колонтитул Знак"/>
    <w:basedOn w:val="808"/>
    <w:link w:val="1004"/>
    <w:uiPriority w:val="99"/>
    <w:rPr>
      <w:rFonts w:cs="Times New Roman"/>
    </w:rPr>
  </w:style>
  <w:style w:type="paragraph" w:styleId="1006">
    <w:name w:val="Footer"/>
    <w:basedOn w:val="798"/>
    <w:link w:val="1007"/>
    <w:uiPriority w:val="99"/>
    <w:pPr>
      <w:tabs>
        <w:tab w:val="center" w:pos="4677" w:leader="none"/>
        <w:tab w:val="right" w:pos="9355" w:leader="none"/>
      </w:tabs>
    </w:pPr>
  </w:style>
  <w:style w:type="character" w:styleId="1007" w:customStyle="1">
    <w:name w:val="Нижний колонтитул Знак"/>
    <w:basedOn w:val="808"/>
    <w:link w:val="1006"/>
    <w:uiPriority w:val="99"/>
    <w:rPr>
      <w:rFonts w:cs="Times New Roman"/>
    </w:rPr>
  </w:style>
  <w:style w:type="paragraph" w:styleId="1008">
    <w:name w:val="List Paragraph"/>
    <w:basedOn w:val="798"/>
    <w:link w:val="1027"/>
    <w:uiPriority w:val="99"/>
    <w:qFormat/>
    <w:pPr>
      <w:contextualSpacing/>
      <w:ind w:left="720"/>
    </w:pPr>
  </w:style>
  <w:style w:type="character" w:styleId="1009">
    <w:name w:val="annotation reference"/>
    <w:basedOn w:val="808"/>
    <w:uiPriority w:val="99"/>
    <w:semiHidden/>
    <w:rPr>
      <w:rFonts w:cs="Times New Roman"/>
      <w:sz w:val="16"/>
    </w:rPr>
  </w:style>
  <w:style w:type="paragraph" w:styleId="1010">
    <w:name w:val="annotation text"/>
    <w:basedOn w:val="798"/>
    <w:link w:val="1011"/>
    <w:uiPriority w:val="99"/>
    <w:semiHidden/>
  </w:style>
  <w:style w:type="character" w:styleId="1011" w:customStyle="1">
    <w:name w:val="Текст примечания Знак"/>
    <w:basedOn w:val="808"/>
    <w:link w:val="1010"/>
    <w:uiPriority w:val="99"/>
    <w:semiHidden/>
    <w:rPr>
      <w:rFonts w:cs="Times New Roman"/>
      <w:sz w:val="20"/>
    </w:rPr>
  </w:style>
  <w:style w:type="paragraph" w:styleId="1012">
    <w:name w:val="annotation subject"/>
    <w:basedOn w:val="1010"/>
    <w:next w:val="1010"/>
    <w:link w:val="1013"/>
    <w:uiPriority w:val="99"/>
    <w:semiHidden/>
    <w:rPr>
      <w:b/>
      <w:bCs/>
    </w:rPr>
  </w:style>
  <w:style w:type="character" w:styleId="1013" w:customStyle="1">
    <w:name w:val="Тема примечания Знак"/>
    <w:basedOn w:val="1011"/>
    <w:link w:val="1012"/>
    <w:uiPriority w:val="99"/>
    <w:semiHidden/>
    <w:rPr>
      <w:rFonts w:cs="Times New Roman"/>
      <w:b/>
      <w:sz w:val="20"/>
    </w:rPr>
  </w:style>
  <w:style w:type="paragraph" w:styleId="1014">
    <w:name w:val="List 2"/>
    <w:basedOn w:val="1015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1015">
    <w:name w:val="List"/>
    <w:basedOn w:val="798"/>
    <w:uiPriority w:val="99"/>
    <w:semiHidden/>
    <w:pPr>
      <w:contextualSpacing/>
      <w:ind w:left="283" w:hanging="283"/>
    </w:pPr>
  </w:style>
  <w:style w:type="character" w:styleId="1016" w:customStyle="1">
    <w:name w:val="Без интервала Знак"/>
    <w:basedOn w:val="808"/>
    <w:link w:val="990"/>
    <w:uiPriority w:val="1"/>
    <w:rPr>
      <w:rFonts w:ascii="Arial" w:hAnsi="Arial"/>
      <w:lang w:val="ru-RU" w:eastAsia="ru-RU" w:bidi="ar-SA"/>
    </w:rPr>
  </w:style>
  <w:style w:type="character" w:styleId="1017" w:customStyle="1">
    <w:name w:val="Font Style24"/>
    <w:basedOn w:val="808"/>
    <w:qFormat/>
    <w:rPr>
      <w:rFonts w:ascii="Times New Roman" w:hAnsi="Times New Roman" w:cs="Times New Roman"/>
      <w:sz w:val="22"/>
      <w:szCs w:val="22"/>
    </w:rPr>
  </w:style>
  <w:style w:type="character" w:styleId="1018" w:customStyle="1">
    <w:name w:val="Интернет-ссылка"/>
    <w:basedOn w:val="808"/>
    <w:rPr>
      <w:rFonts w:cs="Times New Roman"/>
      <w:color w:val="0000ff"/>
      <w:u w:val="single"/>
    </w:rPr>
  </w:style>
  <w:style w:type="paragraph" w:styleId="1019" w:customStyle="1">
    <w:name w:val="Style19"/>
    <w:basedOn w:val="798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1020">
    <w:name w:val="footnote text"/>
    <w:basedOn w:val="798"/>
    <w:link w:val="1021"/>
    <w:uiPriority w:val="99"/>
    <w:semiHidden/>
    <w:unhideWhenUsed/>
  </w:style>
  <w:style w:type="character" w:styleId="1021" w:customStyle="1">
    <w:name w:val="Текст сноски Знак"/>
    <w:basedOn w:val="808"/>
    <w:link w:val="1020"/>
    <w:uiPriority w:val="99"/>
    <w:semiHidden/>
  </w:style>
  <w:style w:type="paragraph" w:styleId="1022" w:customStyle="1">
    <w:name w:val="large-accordion__text"/>
    <w:basedOn w:val="798"/>
    <w:pPr>
      <w:spacing w:before="100" w:beforeAutospacing="1" w:after="100" w:afterAutospacing="1"/>
    </w:pPr>
    <w:rPr>
      <w:sz w:val="24"/>
      <w:szCs w:val="24"/>
    </w:rPr>
  </w:style>
  <w:style w:type="character" w:styleId="1023" w:customStyle="1">
    <w:name w:val="large-accordion__title"/>
    <w:basedOn w:val="808"/>
  </w:style>
  <w:style w:type="paragraph" w:styleId="1024">
    <w:name w:val="Normal (Web)"/>
    <w:basedOn w:val="79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25" w:customStyle="1">
    <w:name w:val="h3"/>
    <w:basedOn w:val="808"/>
  </w:style>
  <w:style w:type="character" w:styleId="1026" w:customStyle="1">
    <w:name w:val="property_name"/>
    <w:basedOn w:val="808"/>
  </w:style>
  <w:style w:type="character" w:styleId="1027" w:customStyle="1">
    <w:name w:val="Абзац списка Знак"/>
    <w:link w:val="1008"/>
    <w:uiPriority w:val="99"/>
    <w:qFormat/>
  </w:style>
  <w:style w:type="character" w:styleId="1028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1029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1030">
    <w:name w:val="Table Grid"/>
    <w:basedOn w:val="80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1" w:customStyle="1">
    <w:name w:val="b-col"/>
    <w:basedOn w:val="808"/>
  </w:style>
  <w:style w:type="character" w:styleId="1032" w:customStyle="1">
    <w:name w:val="i-dib"/>
    <w:basedOn w:val="808"/>
  </w:style>
  <w:style w:type="character" w:styleId="1033" w:customStyle="1">
    <w:name w:val="i-pl5"/>
    <w:basedOn w:val="808"/>
  </w:style>
  <w:style w:type="character" w:styleId="1034" w:customStyle="1">
    <w:name w:val="i-text-lowcase"/>
    <w:basedOn w:val="808"/>
  </w:style>
  <w:style w:type="character" w:styleId="1035" w:customStyle="1">
    <w:name w:val="lots-wrap-content__body__val"/>
    <w:basedOn w:val="808"/>
  </w:style>
  <w:style w:type="character" w:styleId="1036" w:customStyle="1">
    <w:name w:val="product-features__name"/>
    <w:basedOn w:val="808"/>
  </w:style>
  <w:style w:type="character" w:styleId="1037" w:customStyle="1">
    <w:name w:val="product-features__text-lowcase"/>
    <w:basedOn w:val="808"/>
  </w:style>
  <w:style w:type="character" w:styleId="1038" w:customStyle="1">
    <w:name w:val="product-classification__values"/>
    <w:basedOn w:val="80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Relationship Id="rId16" Type="http://schemas.openxmlformats.org/officeDocument/2006/relationships/hyperlink" Target="https://www.mvideo.ru/prigotovlenie-kofe-29/avtomaticheskie-kofemashiny-569/f/vstroennaya-kofemolka=da" TargetMode="External"/><Relationship Id="rId17" Type="http://schemas.openxmlformats.org/officeDocument/2006/relationships/hyperlink" Target="https://www.mvideo.ru/prigotovlenie-kofe-29/avtomaticheskie-kofemashiny-569/f/protivokapelnaya-sistema=da" TargetMode="External"/><Relationship Id="rId18" Type="http://schemas.openxmlformats.org/officeDocument/2006/relationships/hyperlink" Target="https://www.mvideo.ru/prigotovlenie-kofe-29/avtomaticheskie-kofemashiny-569/f/obem-rezervuara-dlya-vody=1---19-l" TargetMode="External"/><Relationship Id="rId19" Type="http://schemas.openxmlformats.org/officeDocument/2006/relationships/hyperlink" Target="https://www.mvideo.ru/prigotovlenie-kofe-29/avtomaticheskie-kofemashiny-569/f/taimer=da" TargetMode="External"/><Relationship Id="rId20" Type="http://schemas.openxmlformats.org/officeDocument/2006/relationships/hyperlink" Target="https://www.mvideo.ru/prigotovlenie-kofe-29/avtomaticheskie-kofemashiny-569/f/taimer-vklucheniya=da" TargetMode="External"/><Relationship Id="rId21" Type="http://schemas.openxmlformats.org/officeDocument/2006/relationships/hyperlink" Target="https://www.mvideo.ru/prigotovlenie-kofe-29/avtomaticheskie-kofemashiny-569/f/vstroennaya-kofemolka=da" TargetMode="External"/><Relationship Id="rId22" Type="http://schemas.openxmlformats.org/officeDocument/2006/relationships/hyperlink" Target="https://www.mvideo.ru/prigotovlenie-kofe-29/avtomaticheskie-kofemashiny-569/f/material-zhernovov=keramika" TargetMode="External"/><Relationship Id="rId2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8EAD-B68E-4E73-AA4D-95617D02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111</cp:revision>
  <dcterms:created xsi:type="dcterms:W3CDTF">2022-11-07T11:55:00Z</dcterms:created>
  <dcterms:modified xsi:type="dcterms:W3CDTF">2026-07-03T07:30:32Z</dcterms:modified>
</cp:coreProperties>
</file>