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w:t>
      </w:r>
      <w:r>
        <w:rPr>
          <w:rFonts w:eastAsia="Times New Roman" w:cs="PT Astra Serif;Times New Roman" w:ascii="PT Astra Serif" w:hAnsi="PT Astra Serif"/>
          <w:b/>
          <w:bCs/>
          <w:i w:val="false"/>
          <w:color w:val="000000"/>
          <w:sz w:val="20"/>
          <w:szCs w:val="20"/>
          <w:lang w:val="ru-RU" w:eastAsia="ru-RU"/>
        </w:rPr>
        <w:t xml:space="preserve">Малонагаткинская </w:t>
      </w:r>
      <w:r>
        <w:rPr>
          <w:rFonts w:eastAsia="Times New Roman" w:cs="PT Astra Serif;Times New Roman" w:ascii="PT Astra Serif" w:hAnsi="PT Astra Serif"/>
          <w:b/>
          <w:bCs/>
          <w:i w:val="false"/>
          <w:color w:val="000000"/>
          <w:sz w:val="20"/>
          <w:szCs w:val="20"/>
          <w:lang w:val="ru-RU" w:eastAsia="ru-RU"/>
        </w:rPr>
        <w:t xml:space="preserve">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w:t>
      </w:r>
      <w:r>
        <w:rPr>
          <w:rFonts w:eastAsia="Times New Roman" w:cs="PT Astra Serif;Times New Roman" w:ascii="PT Astra Serif" w:hAnsi="PT Astra Serif"/>
          <w:bCs/>
          <w:i w:val="false"/>
          <w:color w:val="000000"/>
          <w:sz w:val="20"/>
          <w:szCs w:val="20"/>
          <w:lang w:val="ru-RU" w:eastAsia="ru-RU"/>
        </w:rPr>
        <w:t xml:space="preserve">Вражкиной Ирины Николаевны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ascii="Times New Roman" w:hAnsi="Times New Roman"/>
          <w:b/>
          <w:bCs/>
          <w:sz w:val="20"/>
          <w:szCs w:val="20"/>
          <w:shd w:fill="FFFFFF" w:val="clear"/>
        </w:rPr>
        <w:t xml:space="preserve">Ульяновская область, Цильнинский район, </w:t>
      </w:r>
      <w:r>
        <w:rPr>
          <w:rFonts w:eastAsia="Times New Roman" w:cs="Times New Roman" w:ascii="Times New Roman" w:hAnsi="Times New Roman"/>
          <w:b/>
          <w:bCs/>
          <w:sz w:val="20"/>
          <w:szCs w:val="20"/>
          <w:shd w:fill="FFFFFF" w:val="clear"/>
          <w:lang w:val="ru-RU" w:eastAsia="ru-RU"/>
        </w:rPr>
        <w:t>село Малое Нагаткино,  улица  Новый порядок, дом 5</w:t>
      </w:r>
    </w:p>
    <w:p>
      <w:pPr>
        <w:pStyle w:val="Normal"/>
        <w:widowControl w:val="false"/>
        <w:shd w:val="clear" w:fill="FFFFFF"/>
        <w:suppressAutoHyphens w:val="true"/>
        <w:overflowPunct w:val="false"/>
        <w:snapToGrid w:val="false"/>
        <w:spacing w:lineRule="auto" w:line="240" w:before="0" w:after="0"/>
        <w:ind w:hanging="0" w:left="0" w:right="0"/>
        <w:contextualSpacing/>
        <w:jc w:val="both"/>
        <w:textAlignment w:val="baseline"/>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поселок Новая Воля, улица Вольская, дом 21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село Орловка улица Молодежная дом 6</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6">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fals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ascii="Times New Roman" w:hAnsi="Times New Roman"/>
                <w:color w:val="000000"/>
                <w:sz w:val="18"/>
                <w:szCs w:val="18"/>
                <w:u w:val="none"/>
                <w:shd w:fill="FFFFFF" w:val="clear"/>
                <w:lang w:val="ru-RU" w:bidi="ar-SA"/>
              </w:rPr>
              <w:t>Директор                            Вражкина И.Н.</w:t>
            </w:r>
          </w:p>
          <w:p>
            <w:pPr>
              <w:pStyle w:val="Normal"/>
              <w:widowControl w:val="false"/>
              <w:overflowPunct w:val="true"/>
              <w:spacing w:lineRule="auto" w:line="240" w:before="0" w:after="200"/>
              <w:jc w:val="left"/>
              <w:textAlignment w:val="baseline"/>
              <w:rPr>
                <w:rFonts w:ascii="Times New Roman" w:hAnsi="Times New Roman"/>
                <w:sz w:val="18"/>
                <w:szCs w:val="18"/>
              </w:rPr>
            </w:pPr>
            <w:r>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8" w:name="P326_Копия_1"/>
      <w:bookmarkEnd w:id="18"/>
      <w:r>
        <w:rPr>
          <w:rFonts w:ascii="PT Astra Serif" w:hAnsi="PT Astra Serif"/>
          <w:sz w:val="20"/>
          <w:szCs w:val="20"/>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2097"/>
        <w:gridCol w:w="3754"/>
        <w:gridCol w:w="730"/>
        <w:gridCol w:w="736"/>
        <w:gridCol w:w="1079"/>
        <w:gridCol w:w="1430"/>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Наименование Товара</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Характеристики товара</w:t>
            </w:r>
          </w:p>
        </w:tc>
        <w:tc>
          <w:tcPr>
            <w:tcW w:w="7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r>
          </w:p>
          <w:p>
            <w:pPr>
              <w:pStyle w:val="ConsPlusNormal1"/>
              <w:widowControl w:val="false"/>
              <w:jc w:val="center"/>
              <w:rPr>
                <w:sz w:val="20"/>
                <w:szCs w:val="20"/>
              </w:rPr>
            </w:pPr>
            <w:r>
              <w:rPr>
                <w:sz w:val="20"/>
                <w:szCs w:val="20"/>
              </w:rPr>
              <w:t>Единицы измерения</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Кол-во</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Цена за ед., руб.</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7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19" w:name="P342"/>
            <w:bookmarkStart w:id="20" w:name="P341"/>
            <w:bookmarkEnd w:id="19"/>
            <w:bookmarkEnd w:id="20"/>
            <w:r>
              <w:rPr>
                <w:rFonts w:ascii="PT Astra Serif" w:hAnsi="PT Astra Serif"/>
                <w:sz w:val="20"/>
                <w:szCs w:val="20"/>
              </w:rPr>
              <w:t>4</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10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4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4"/>
            <w:bookmarkStart w:id="22" w:name="P345"/>
            <w:bookmarkEnd w:id="21"/>
            <w:bookmarkEnd w:id="22"/>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вермишель</w:t>
            </w:r>
          </w:p>
        </w:tc>
        <w:tc>
          <w:tcPr>
            <w:tcW w:w="3754"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w:t>
            </w:r>
          </w:p>
        </w:tc>
        <w:tc>
          <w:tcPr>
            <w:tcW w:w="730"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t>6</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2097"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горошек консервированный</w:t>
            </w:r>
          </w:p>
        </w:tc>
        <w:tc>
          <w:tcPr>
            <w:tcW w:w="3754"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Горох, консервированный без уксуса или уксусной кислоты Товарный сорт: Первый Фасовка : банка вес 0,420кг</w:t>
            </w:r>
          </w:p>
        </w:tc>
        <w:tc>
          <w:tcPr>
            <w:tcW w:w="73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2097"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горох шлифованный</w:t>
            </w:r>
          </w:p>
        </w:tc>
        <w:tc>
          <w:tcPr>
            <w:tcW w:w="3754"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tc>
        <w:tc>
          <w:tcPr>
            <w:tcW w:w="73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16</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2097"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геркулес</w:t>
            </w:r>
          </w:p>
        </w:tc>
        <w:tc>
          <w:tcPr>
            <w:tcW w:w="3754"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Геркулес. Фасовка:по согласованию с Заказчиком</w:t>
            </w:r>
          </w:p>
        </w:tc>
        <w:tc>
          <w:tcPr>
            <w:tcW w:w="73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9</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top w:val="single" w:sz="4" w:space="0" w:color="000000"/>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5</w:t>
            </w:r>
          </w:p>
        </w:tc>
        <w:tc>
          <w:tcPr>
            <w:tcW w:w="2097" w:type="dxa"/>
            <w:tcBorders>
              <w:top w:val="single" w:sz="4" w:space="0" w:color="000000"/>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крупа гречневая</w:t>
            </w:r>
          </w:p>
        </w:tc>
        <w:tc>
          <w:tcPr>
            <w:tcW w:w="3754" w:type="dxa"/>
            <w:tcBorders>
              <w:top w:val="single" w:sz="4" w:space="0" w:color="000000"/>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tc>
        <w:tc>
          <w:tcPr>
            <w:tcW w:w="730" w:type="dxa"/>
            <w:tcBorders>
              <w:top w:val="single" w:sz="4" w:space="0" w:color="000000"/>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top w:val="single" w:sz="4" w:space="0" w:color="000000"/>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29</w:t>
            </w:r>
          </w:p>
        </w:tc>
        <w:tc>
          <w:tcPr>
            <w:tcW w:w="1079"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6</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крупа манная</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Марка крупы:МТ фасовка:по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13</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7</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крупа перловая</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Номер крупы :2 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8</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крупа пшено шлифованное</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Сорт :высший , Фасовка:по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16</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9</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какао порошок</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10</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макароны</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30</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rHeight w:val="1020" w:hRule="atLeast"/>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11</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мука пшеничная хлебопекарская</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Сорт муки: Не ниже высшего, Вид муки :Хлебопекарная Фасовка: по 2-5 кг</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22</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12</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масло растительное</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0,9л-1л</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13</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рис</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44</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14</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соль пищевая поваренная йодированная</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9</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15</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Смесь сушеных фруктов (сухой компот)</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33</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16</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паста томатная</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Вес товара в единице потребительской тары (упаковки) - 0,5 кг — 1 кг</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17</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Чай черный (ферментированный)</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22</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rHeight w:val="3246" w:hRule="atLeast"/>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18</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сок фруктовый</w:t>
            </w:r>
          </w:p>
        </w:tc>
        <w:tc>
          <w:tcPr>
            <w:tcW w:w="3754" w:type="dxa"/>
            <w:tcBorders>
              <w:left w:val="single" w:sz="4" w:space="0" w:color="000000"/>
              <w:bottom w:val="single" w:sz="4" w:space="0" w:color="000000"/>
            </w:tcBorders>
          </w:tcPr>
          <w:p>
            <w:pPr>
              <w:pStyle w:val="Normal"/>
              <w:bidi w:val="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Вид сока – фруктовый</w:t>
            </w:r>
          </w:p>
          <w:p>
            <w:pPr>
              <w:pStyle w:val="Normal"/>
              <w:bidi w:val="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Вид сока по технологии производства - восстановленный</w:t>
            </w:r>
          </w:p>
          <w:p>
            <w:pPr>
              <w:pStyle w:val="Normal"/>
              <w:bidi w:val="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Вид сока по способу обработки - пастеризованный</w:t>
            </w:r>
          </w:p>
          <w:p>
            <w:pPr>
              <w:pStyle w:val="Normal"/>
              <w:bidi w:val="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Фасовка  0,2 л</w:t>
            </w:r>
          </w:p>
          <w:p>
            <w:pPr>
              <w:pStyle w:val="Normal"/>
              <w:bidi w:val="0"/>
              <w:spacing w:before="0" w:after="20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 xml:space="preserve">Остаточный срок годности на момент поставки 6 месяцев. Происхождение Россия </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425</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19</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кисель плодово-ягодный</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кисель плодово-ягодный ,фасовка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8</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20</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Витамин С</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Упаковка 2,5 гр</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86</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21</w:t>
            </w:r>
          </w:p>
        </w:tc>
        <w:tc>
          <w:tcPr>
            <w:tcW w:w="2097"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color w:val="000000"/>
                <w:sz w:val="20"/>
                <w:szCs w:val="20"/>
              </w:rPr>
              <w:t>вафли ,весовые</w:t>
            </w:r>
          </w:p>
        </w:tc>
        <w:tc>
          <w:tcPr>
            <w:tcW w:w="3754" w:type="dxa"/>
            <w:tcBorders>
              <w:left w:val="single" w:sz="4" w:space="0" w:color="000000"/>
              <w:bottom w:val="single" w:sz="4" w:space="0" w:color="000000"/>
            </w:tcBorders>
          </w:tcPr>
          <w:p>
            <w:pPr>
              <w:pStyle w:val="user5"/>
              <w:spacing w:before="0" w:after="200"/>
              <w:ind w:hanging="0" w:left="0" w:right="0"/>
              <w:jc w:val="left"/>
              <w:rPr>
                <w:sz w:val="20"/>
                <w:szCs w:val="20"/>
              </w:rPr>
            </w:pPr>
            <w:r>
              <w:rPr>
                <w:rFonts w:ascii="PT Astra Serif" w:hAnsi="PT Astra Serif"/>
                <w:sz w:val="20"/>
                <w:szCs w:val="20"/>
              </w:rPr>
              <w:t>Вид продукта:Вафли, Начика:да,Фасовка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19</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22</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печенье</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печенья: сахарное,фасовка : по согласованию с Заказчиком</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15</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23</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Пряники</w:t>
            </w:r>
          </w:p>
        </w:tc>
        <w:tc>
          <w:tcPr>
            <w:tcW w:w="3754"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продукта по рецептуре : Без начинки ;мятные   Фасовка по согласованию</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33</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24</w:t>
            </w:r>
          </w:p>
        </w:tc>
        <w:tc>
          <w:tcPr>
            <w:tcW w:w="2097"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Дрожжи хлебопекарные прессованные</w:t>
            </w:r>
          </w:p>
        </w:tc>
        <w:tc>
          <w:tcPr>
            <w:tcW w:w="3754" w:type="dxa"/>
            <w:tcBorders>
              <w:left w:val="single" w:sz="4" w:space="0" w:color="000000"/>
              <w:bottom w:val="single" w:sz="4" w:space="0" w:color="000000"/>
            </w:tcBorders>
          </w:tcPr>
          <w:p>
            <w:pPr>
              <w:pStyle w:val="user5"/>
              <w:spacing w:before="0" w:after="200"/>
              <w:jc w:val="left"/>
              <w:rPr>
                <w:rFonts w:ascii="PT Astra Serif" w:hAnsi="PT Astra Serif"/>
                <w:sz w:val="20"/>
                <w:szCs w:val="20"/>
              </w:rPr>
            </w:pPr>
            <w:r>
              <w:rPr>
                <w:rFonts w:ascii="PT Astra Serif" w:hAnsi="PT Astra Serif"/>
                <w:color w:val="000000"/>
                <w:sz w:val="20"/>
                <w:szCs w:val="20"/>
              </w:rPr>
              <w:t>сорт первый высший ,Фасовка 0,100-0,200</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2</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25</w:t>
            </w:r>
          </w:p>
        </w:tc>
        <w:tc>
          <w:tcPr>
            <w:tcW w:w="2097" w:type="dxa"/>
            <w:tcBorders>
              <w:left w:val="single" w:sz="4" w:space="0" w:color="000000"/>
              <w:bottom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крупа пшеничная </w:t>
            </w:r>
          </w:p>
        </w:tc>
        <w:tc>
          <w:tcPr>
            <w:tcW w:w="3754" w:type="dxa"/>
            <w:tcBorders>
              <w:left w:val="single" w:sz="4" w:space="0" w:color="000000"/>
              <w:bottom w:val="single" w:sz="4" w:space="0" w:color="000000"/>
            </w:tcBorders>
          </w:tcPr>
          <w:p>
            <w:pPr>
              <w:pStyle w:val="Style43"/>
              <w:spacing w:before="0" w:after="200"/>
              <w:jc w:val="left"/>
              <w:rPr>
                <w:rFonts w:ascii="PT Astra Serif" w:hAnsi="PT Astra Serif"/>
              </w:rPr>
            </w:pPr>
            <w:r>
              <w:rPr>
                <w:rFonts w:ascii="PT Astra Serif" w:hAnsi="PT Astra Serif"/>
              </w:rPr>
              <w:t xml:space="preserve">Вид крупы: Полтавская </w:t>
              <w:br/>
              <w:t xml:space="preserve">Номер крупы: Средняя № 2,фасовка 1-5 кг </w:t>
            </w:r>
          </w:p>
        </w:tc>
        <w:tc>
          <w:tcPr>
            <w:tcW w:w="730"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tcBorders>
          </w:tcPr>
          <w:p>
            <w:pPr>
              <w:pStyle w:val="Normal"/>
              <w:tabs>
                <w:tab w:val="clear" w:pos="708"/>
              </w:tabs>
              <w:spacing w:before="0" w:after="200"/>
              <w:jc w:val="left"/>
              <w:rPr/>
            </w:pPr>
            <w:r>
              <w:rPr/>
              <w:t>3</w:t>
            </w:r>
          </w:p>
        </w:tc>
        <w:tc>
          <w:tcPr>
            <w:tcW w:w="107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ConsPlusNormal1"/>
        <w:jc w:val="center"/>
        <w:rPr>
          <w:rFonts w:ascii="PT Astra Serif" w:hAnsi="PT Astra Serif"/>
          <w:sz w:val="20"/>
          <w:szCs w:val="20"/>
        </w:rPr>
      </w:pPr>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Pr>
      <w:tblGrid>
        <w:gridCol w:w="5086"/>
        <w:gridCol w:w="4784"/>
      </w:tblGrid>
      <w:tr>
        <w:trPr/>
        <w:tc>
          <w:tcPr>
            <w:tcW w:w="5086" w:type="dxa"/>
            <w:tcBorders/>
          </w:tcPr>
          <w:p>
            <w:pPr>
              <w:pStyle w:val="ConsPlusNormal1"/>
              <w:widowControl w:val="false"/>
              <w:rPr>
                <w:rFonts w:ascii="PT Astra Serif" w:hAnsi="PT Astra Serif"/>
                <w:sz w:val="20"/>
                <w:szCs w:val="20"/>
              </w:rPr>
            </w:pPr>
            <w:r>
              <w:rPr>
                <w:rFonts w:ascii="PT Astra Serif" w:hAnsi="PT Astra Serif"/>
                <w:sz w:val="20"/>
                <w:szCs w:val="20"/>
              </w:rPr>
              <w:t>Заказчика:</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7">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fals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bCs/>
                <w:color w:val="000000"/>
                <w:kern w:val="2"/>
                <w:sz w:val="18"/>
                <w:szCs w:val="18"/>
                <w:u w:val="none"/>
                <w:shd w:fill="FFFFFF" w:val="clear"/>
                <w:lang w:val="ru-RU" w:eastAsia="ru-RU" w:bidi="ar-SA"/>
              </w:rPr>
              <w:t>Директор                            Вражкина И.Н.</w:t>
            </w:r>
          </w:p>
          <w:p>
            <w:pPr>
              <w:pStyle w:val="Normal"/>
              <w:spacing w:lineRule="auto" w:line="240" w:before="0" w:after="200"/>
              <w:ind w:right="-6"/>
              <w:rPr>
                <w:rFonts w:ascii="PT Astra Serif" w:hAnsi="PT Astra Serif"/>
                <w:sz w:val="20"/>
                <w:szCs w:val="20"/>
              </w:rPr>
            </w:pPr>
            <w:r>
              <w:rPr>
                <w:rFonts w:ascii="PT Astra Serif" w:hAnsi="PT Astra Serif"/>
                <w:sz w:val="20"/>
                <w:szCs w:val="20"/>
              </w:rPr>
            </w:r>
          </w:p>
        </w:tc>
        <w:tc>
          <w:tcPr>
            <w:tcW w:w="4784" w:type="dxa"/>
            <w:tcBorders/>
          </w:tcPr>
          <w:p>
            <w:pPr>
              <w:pStyle w:val="ConsPlusNormal1"/>
              <w:widowControl w:val="false"/>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jc w:val="left"/>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cc"/>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numbering" w:styleId="Style4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alon_shk@mail.ru" TargetMode="External"/><Relationship Id="rId17" Type="http://schemas.openxmlformats.org/officeDocument/2006/relationships/hyperlink" Target="mailto:malon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231</TotalTime>
  <Application>LibreOffice/26.2.4.2$Windows_X86_64 LibreOffice_project/0229ac93fcf0d7cbc6376066c6f35021cef002dc</Application>
  <AppVersion>15.0000</AppVersion>
  <Pages>12</Pages>
  <Words>4755</Words>
  <Characters>33546</Characters>
  <CharactersWithSpaces>38256</CharactersWithSpaces>
  <Paragraphs>337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2026-08-07T11:12:18Z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