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 4 ч. 1 ст.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w:t>
      </w:r>
      <w:r>
        <w:rPr>
          <w:rFonts w:eastAsia="Times New Roman" w:cs="Times New Roman"/>
          <w:color w:val="auto"/>
          <w:kern w:val="0"/>
          <w:sz w:val="20"/>
          <w:szCs w:val="20"/>
          <w:lang w:val="ru-RU" w:eastAsia="ru-RU" w:bidi="ar-SA"/>
        </w:rPr>
        <w:t xml:space="preserve">вар: </w:t>
      </w:r>
      <w:r>
        <w:rPr>
          <w:rFonts w:eastAsia="Times New Roman" w:cs="Times New Roman"/>
          <w:b/>
          <w:bCs/>
          <w:color w:val="auto"/>
          <w:kern w:val="0"/>
          <w:sz w:val="20"/>
          <w:szCs w:val="20"/>
          <w:lang w:val="ru-RU" w:eastAsia="ru-RU" w:bidi="ar-SA"/>
        </w:rPr>
        <w:t>расходные материалы для стенда циклостойкости AWT-2000</w:t>
      </w:r>
      <w:r>
        <w:rPr>
          <w:rFonts w:eastAsia="Times New Roman" w:cs="Times New Roman"/>
          <w:color w:val="auto"/>
          <w:kern w:val="0"/>
          <w:sz w:val="20"/>
          <w:szCs w:val="20"/>
          <w:lang w:val="ru-RU" w:eastAsia="ru-RU" w:bidi="ar-SA"/>
        </w:rPr>
        <w:t xml:space="preserve"> 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Товара устанавливается настоящим Контрактом 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w:t>
      </w:r>
      <w:r>
        <w:rPr>
          <w:rFonts w:eastAsia="Times New Roman" w:cs="Times New Roman"/>
          <w:bCs/>
          <w:color w:val="auto"/>
          <w:kern w:val="0"/>
          <w:sz w:val="20"/>
          <w:szCs w:val="20"/>
          <w:lang w:val="ru-RU" w:eastAsia="ru-RU" w:bidi="ar-SA"/>
        </w:rPr>
        <w:t>а осуществляется в течении 60 рабочих дней с момента заключения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6.3. Гарантийный срок — не менее 4 месяцев с момента подписания документов о приемке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Контракт вступает в силу с момента заключения и действует до 15.12.2026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3"/>
        <w:gridCol w:w="4823"/>
      </w:tblGrid>
      <w:tr>
        <w:trPr>
          <w:trHeight w:val="7632" w:hRule="atLeast"/>
        </w:trPr>
        <w:tc>
          <w:tcPr>
            <w:tcW w:w="5633"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3"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0" w:type="dxa"/>
        <w:tblLayout w:type="fixed"/>
        <w:tblCellMar>
          <w:top w:w="0" w:type="dxa"/>
          <w:start w:w="0" w:type="dxa"/>
          <w:bottom w:w="0" w:type="dxa"/>
          <w:end w:w="0" w:type="dxa"/>
        </w:tblCellMar>
      </w:tblPr>
      <w:tblGrid>
        <w:gridCol w:w="788"/>
        <w:gridCol w:w="5962"/>
        <w:gridCol w:w="1529"/>
        <w:gridCol w:w="1301"/>
        <w:gridCol w:w="1309"/>
        <w:gridCol w:w="1409"/>
        <w:gridCol w:w="1421"/>
        <w:gridCol w:w="1679"/>
      </w:tblGrid>
      <w:tr>
        <w:trPr/>
        <w:tc>
          <w:tcPr>
            <w:tcW w:w="788" w:type="dxa"/>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962" w:type="dxa"/>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529" w:type="dxa"/>
            <w:tcBorders/>
          </w:tcPr>
          <w:p>
            <w:pPr>
              <w:pStyle w:val="Normal"/>
              <w:widowControl w:val="false"/>
              <w:bidi w:val="0"/>
              <w:spacing w:before="0" w:after="0"/>
              <w:ind w:hanging="0" w:start="0" w:end="0"/>
              <w:jc w:val="center"/>
              <w:rPr/>
            </w:pPr>
            <w:r>
              <w:rPr/>
              <w:t>Страна происхождения товара</w:t>
            </w:r>
          </w:p>
        </w:tc>
        <w:tc>
          <w:tcPr>
            <w:tcW w:w="1301" w:type="dxa"/>
            <w:tcBorders/>
          </w:tcPr>
          <w:p>
            <w:pPr>
              <w:pStyle w:val="Normal"/>
              <w:widowControl w:val="false"/>
              <w:bidi w:val="0"/>
              <w:spacing w:before="0" w:after="0"/>
              <w:ind w:hanging="0" w:start="57" w:end="0"/>
              <w:jc w:val="center"/>
              <w:rPr/>
            </w:pPr>
            <w:r>
              <w:rPr/>
              <w:t>Кол-во</w:t>
            </w:r>
          </w:p>
        </w:tc>
        <w:tc>
          <w:tcPr>
            <w:tcW w:w="1309" w:type="dxa"/>
            <w:tcBorders/>
          </w:tcPr>
          <w:p>
            <w:pPr>
              <w:pStyle w:val="Normal"/>
              <w:widowControl w:val="false"/>
              <w:bidi w:val="0"/>
              <w:spacing w:before="0" w:after="0"/>
              <w:ind w:hanging="0" w:start="0" w:end="0"/>
              <w:jc w:val="center"/>
              <w:rPr/>
            </w:pPr>
            <w:r>
              <w:rPr/>
              <w:t>Ед. изм.</w:t>
            </w:r>
          </w:p>
        </w:tc>
        <w:tc>
          <w:tcPr>
            <w:tcW w:w="1409" w:type="dxa"/>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421" w:type="dxa"/>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79" w:type="dxa"/>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788" w:type="dxa"/>
            <w:tcBorders/>
          </w:tcPr>
          <w:p>
            <w:pPr>
              <w:pStyle w:val="Normal"/>
              <w:bidi w:val="0"/>
              <w:spacing w:before="0" w:after="0"/>
              <w:ind w:hanging="0" w:start="170" w:end="0"/>
              <w:jc w:val="start"/>
              <w:rPr/>
            </w:pPr>
            <w:r>
              <w:rPr/>
              <w:t>1</w:t>
            </w:r>
          </w:p>
        </w:tc>
        <w:tc>
          <w:tcPr>
            <w:tcW w:w="5962" w:type="dxa"/>
            <w:tcBorders/>
          </w:tcPr>
          <w:p>
            <w:pPr>
              <w:pStyle w:val="Normal"/>
              <w:jc w:val="start"/>
              <w:rPr>
                <w:b/>
                <w:bCs/>
                <w:color w:val="000000"/>
                <w:lang w:bidi="ru-RU"/>
              </w:rPr>
            </w:pPr>
            <w:r>
              <w:rPr>
                <w:b/>
                <w:bCs/>
                <w:color w:val="000000"/>
                <w:lang w:bidi="ru-RU"/>
              </w:rPr>
              <w:t>Винты нержавеющие для монтажа элементов, 40 мм</w:t>
            </w:r>
          </w:p>
          <w:p>
            <w:pPr>
              <w:pStyle w:val="Normal"/>
              <w:jc w:val="start"/>
              <w:rPr/>
            </w:pPr>
            <w:r>
              <w:rPr>
                <w:sz w:val="22"/>
                <w:szCs w:val="22"/>
              </w:rPr>
              <w:t>Нержавеющая сталь A2/A4</w:t>
            </w:r>
          </w:p>
          <w:p>
            <w:pPr>
              <w:pStyle w:val="Normal"/>
              <w:jc w:val="start"/>
              <w:rPr/>
            </w:pPr>
            <w:r>
              <w:rPr>
                <w:sz w:val="22"/>
                <w:szCs w:val="22"/>
              </w:rPr>
              <w:t xml:space="preserve"> </w:t>
            </w:r>
            <w:r>
              <w:rPr>
                <w:sz w:val="22"/>
                <w:szCs w:val="22"/>
              </w:rPr>
              <w:t>Резьба метрическая М4</w:t>
            </w:r>
          </w:p>
          <w:p>
            <w:pPr>
              <w:pStyle w:val="Normal"/>
              <w:jc w:val="start"/>
              <w:rPr/>
            </w:pPr>
            <w:r>
              <w:rPr>
                <w:sz w:val="22"/>
                <w:szCs w:val="22"/>
              </w:rPr>
              <w:t>Длина 40 мм</w:t>
            </w:r>
          </w:p>
          <w:p>
            <w:pPr>
              <w:pStyle w:val="Normal"/>
              <w:jc w:val="start"/>
              <w:rPr/>
            </w:pPr>
            <w:r>
              <w:rPr>
                <w:sz w:val="22"/>
                <w:szCs w:val="22"/>
              </w:rPr>
              <w:t>Комплект 15 шт.</w:t>
            </w:r>
          </w:p>
          <w:p>
            <w:pPr>
              <w:pStyle w:val="Normal"/>
              <w:jc w:val="start"/>
              <w:rPr/>
            </w:pPr>
            <w:r>
              <w:rPr>
                <w:sz w:val="22"/>
                <w:szCs w:val="22"/>
              </w:rPr>
              <w:t>Антикоррозионные: да</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1</w:t>
            </w:r>
          </w:p>
        </w:tc>
        <w:tc>
          <w:tcPr>
            <w:tcW w:w="1309" w:type="dxa"/>
            <w:tcBorders/>
          </w:tcPr>
          <w:p>
            <w:pPr>
              <w:pStyle w:val="Normal"/>
              <w:bidi w:val="0"/>
              <w:spacing w:before="0" w:after="0"/>
              <w:ind w:hanging="0" w:start="0" w:end="0"/>
              <w:jc w:val="center"/>
              <w:rPr/>
            </w:pPr>
            <w:r>
              <w:rPr/>
              <w:t>упак</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788" w:type="dxa"/>
            <w:tcBorders/>
          </w:tcPr>
          <w:p>
            <w:pPr>
              <w:pStyle w:val="Normal"/>
              <w:bidi w:val="0"/>
              <w:spacing w:before="0" w:after="0"/>
              <w:ind w:hanging="0" w:start="170" w:end="0"/>
              <w:jc w:val="start"/>
              <w:rPr/>
            </w:pPr>
            <w:r>
              <w:rPr/>
              <w:t>2</w:t>
            </w:r>
          </w:p>
        </w:tc>
        <w:tc>
          <w:tcPr>
            <w:tcW w:w="5962" w:type="dxa"/>
            <w:tcBorders/>
          </w:tcPr>
          <w:p>
            <w:pPr>
              <w:pStyle w:val="Normal"/>
              <w:jc w:val="start"/>
              <w:rPr>
                <w:b/>
                <w:bCs/>
                <w:color w:val="000000"/>
                <w:lang w:bidi="ru-RU"/>
              </w:rPr>
            </w:pPr>
            <w:r>
              <w:rPr>
                <w:b/>
                <w:bCs/>
                <w:color w:val="000000"/>
                <w:lang w:bidi="ru-RU"/>
              </w:rPr>
              <w:t>Винты нержавеющие для монтажа элементов, 11 мм</w:t>
            </w:r>
          </w:p>
          <w:p>
            <w:pPr>
              <w:pStyle w:val="Normal"/>
              <w:jc w:val="start"/>
              <w:rPr/>
            </w:pPr>
            <w:r>
              <w:rPr>
                <w:sz w:val="22"/>
                <w:szCs w:val="22"/>
              </w:rPr>
              <w:t>Нержавеющая сталь A2/A4</w:t>
            </w:r>
          </w:p>
          <w:p>
            <w:pPr>
              <w:pStyle w:val="Normal"/>
              <w:jc w:val="start"/>
              <w:rPr/>
            </w:pPr>
            <w:r>
              <w:rPr>
                <w:sz w:val="22"/>
                <w:szCs w:val="22"/>
              </w:rPr>
              <w:t>Резьба метрическая М4</w:t>
            </w:r>
          </w:p>
          <w:p>
            <w:pPr>
              <w:pStyle w:val="Normal"/>
              <w:jc w:val="start"/>
              <w:rPr/>
            </w:pPr>
            <w:r>
              <w:rPr>
                <w:sz w:val="22"/>
                <w:szCs w:val="22"/>
              </w:rPr>
              <w:t>Длина 11 мм</w:t>
            </w:r>
          </w:p>
          <w:p>
            <w:pPr>
              <w:pStyle w:val="Normal"/>
              <w:jc w:val="start"/>
              <w:rPr/>
            </w:pPr>
            <w:r>
              <w:rPr>
                <w:sz w:val="22"/>
                <w:szCs w:val="22"/>
              </w:rPr>
              <w:t>Комплект 40 шт.</w:t>
            </w:r>
          </w:p>
          <w:p>
            <w:pPr>
              <w:pStyle w:val="Normal"/>
              <w:jc w:val="start"/>
              <w:rPr/>
            </w:pPr>
            <w:r>
              <w:rPr>
                <w:sz w:val="22"/>
                <w:szCs w:val="22"/>
              </w:rPr>
              <w:t>Точная резьба ISO</w:t>
            </w:r>
          </w:p>
          <w:p>
            <w:pPr>
              <w:pStyle w:val="Normal"/>
              <w:jc w:val="start"/>
              <w:rPr/>
            </w:pPr>
            <w:r>
              <w:rPr>
                <w:sz w:val="22"/>
                <w:szCs w:val="22"/>
              </w:rPr>
              <w:t>Антикоррозионные: да</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1</w:t>
            </w:r>
          </w:p>
        </w:tc>
        <w:tc>
          <w:tcPr>
            <w:tcW w:w="1309" w:type="dxa"/>
            <w:tcBorders/>
          </w:tcPr>
          <w:p>
            <w:pPr>
              <w:pStyle w:val="Normal"/>
              <w:bidi w:val="0"/>
              <w:spacing w:before="0" w:after="0"/>
              <w:ind w:hanging="0" w:start="0" w:end="0"/>
              <w:jc w:val="center"/>
              <w:rPr/>
            </w:pPr>
            <w:r>
              <w:rPr/>
              <w:t>упак</w:t>
            </w:r>
          </w:p>
        </w:tc>
        <w:tc>
          <w:tcPr>
            <w:tcW w:w="1409" w:type="dxa"/>
            <w:tcBorders/>
          </w:tcPr>
          <w:p>
            <w:pPr>
              <w:pStyle w:val="user6"/>
              <w:rPr/>
            </w:pPr>
            <w:r>
              <w:rPr/>
            </w:r>
          </w:p>
        </w:tc>
        <w:tc>
          <w:tcPr>
            <w:tcW w:w="1421" w:type="dxa"/>
            <w:tcBorders/>
          </w:tcPr>
          <w:p>
            <w:pPr>
              <w:pStyle w:val="user6"/>
              <w:rPr/>
            </w:pPr>
            <w:r>
              <w:rPr/>
            </w:r>
          </w:p>
        </w:tc>
        <w:tc>
          <w:tcPr>
            <w:tcW w:w="1679" w:type="dxa"/>
            <w:tcBorders/>
          </w:tcPr>
          <w:p>
            <w:pPr>
              <w:pStyle w:val="user6"/>
              <w:rPr/>
            </w:pPr>
            <w:r>
              <w:rPr/>
            </w:r>
          </w:p>
        </w:tc>
      </w:tr>
      <w:tr>
        <w:trPr/>
        <w:tc>
          <w:tcPr>
            <w:tcW w:w="788" w:type="dxa"/>
            <w:tcBorders/>
          </w:tcPr>
          <w:p>
            <w:pPr>
              <w:pStyle w:val="user6"/>
              <w:rPr/>
            </w:pPr>
            <w:r>
              <w:rPr/>
            </w:r>
          </w:p>
        </w:tc>
        <w:tc>
          <w:tcPr>
            <w:tcW w:w="5962" w:type="dxa"/>
            <w:tcBorders/>
          </w:tcPr>
          <w:p>
            <w:pPr>
              <w:pStyle w:val="user6"/>
              <w:rPr/>
            </w:pPr>
            <w:r>
              <w:rPr/>
            </w:r>
          </w:p>
        </w:tc>
        <w:tc>
          <w:tcPr>
            <w:tcW w:w="1529" w:type="dxa"/>
            <w:tcBorders/>
          </w:tcPr>
          <w:p>
            <w:pPr>
              <w:pStyle w:val="user6"/>
              <w:rPr/>
            </w:pPr>
            <w:r>
              <w:rPr/>
            </w:r>
          </w:p>
        </w:tc>
        <w:tc>
          <w:tcPr>
            <w:tcW w:w="1301" w:type="dxa"/>
            <w:tcBorders/>
          </w:tcPr>
          <w:p>
            <w:pPr>
              <w:pStyle w:val="user6"/>
              <w:rPr/>
            </w:pPr>
            <w:r>
              <w:rPr/>
            </w:r>
          </w:p>
        </w:tc>
        <w:tc>
          <w:tcPr>
            <w:tcW w:w="1309" w:type="dxa"/>
            <w:tcBorders/>
          </w:tcPr>
          <w:p>
            <w:pPr>
              <w:pStyle w:val="user6"/>
              <w:rPr/>
            </w:pPr>
            <w:r>
              <w:rPr/>
            </w:r>
          </w:p>
        </w:tc>
        <w:tc>
          <w:tcPr>
            <w:tcW w:w="1409" w:type="dxa"/>
            <w:tcBorders/>
          </w:tcPr>
          <w:p>
            <w:pPr>
              <w:pStyle w:val="user6"/>
              <w:rPr/>
            </w:pPr>
            <w:r>
              <w:rPr/>
            </w:r>
          </w:p>
        </w:tc>
        <w:tc>
          <w:tcPr>
            <w:tcW w:w="1421" w:type="dxa"/>
            <w:tcBorders/>
          </w:tcPr>
          <w:p>
            <w:pPr>
              <w:pStyle w:val="user6"/>
              <w:jc w:val="end"/>
              <w:rPr/>
            </w:pPr>
            <w:r>
              <w:rPr/>
              <w:t>ИТОГО</w:t>
            </w:r>
          </w:p>
        </w:tc>
        <w:tc>
          <w:tcPr>
            <w:tcW w:w="1679" w:type="dxa"/>
            <w:tcBorders/>
          </w:tcPr>
          <w:p>
            <w:pPr>
              <w:pStyle w:val="user6"/>
              <w:rPr/>
            </w:pPr>
            <w:r>
              <w:rPr/>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156083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156096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122.85pt;mso-wrap-style:square;v-text-anchor:top;mso-position-horizontal-relative:page">
                <v:fill o:detectmouseclick="t" on="false"/>
                <v:stroke color="#3465a4" joinstyle="round" endcap="flat"/>
                <v:textbo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Содержимое врезки"/>
    <w:basedOn w:val="Normal"/>
    <w:qFormat/>
    <w:pPr/>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TotalTime>
  <Application>LibreOffice/25.8.3.2$Linux_X86_64 LibreOffice_project/580$Build-2</Application>
  <AppVersion>15.0000</AppVersion>
  <Pages>6</Pages>
  <Words>3028</Words>
  <Characters>21863</Characters>
  <CharactersWithSpaces>25546</CharactersWithSpaces>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2026-08-12T11:45:20Z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