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44A3" w14:textId="44D4B232" w:rsidR="00A4302D" w:rsidRPr="008B356F" w:rsidRDefault="009B74E9" w:rsidP="00D31577">
      <w:pPr>
        <w:ind w:right="-1"/>
        <w:jc w:val="center"/>
        <w:outlineLvl w:val="0"/>
        <w:rPr>
          <w:b/>
          <w:sz w:val="24"/>
          <w:szCs w:val="24"/>
        </w:rPr>
      </w:pPr>
      <w:r w:rsidRPr="008B356F">
        <w:rPr>
          <w:b/>
          <w:sz w:val="24"/>
          <w:szCs w:val="24"/>
        </w:rPr>
        <w:t xml:space="preserve">ДОГОВОР № </w:t>
      </w:r>
    </w:p>
    <w:p w14:paraId="43CEB592" w14:textId="2EE988FB" w:rsidR="008B356F" w:rsidRPr="008B356F" w:rsidRDefault="008B356F" w:rsidP="00D31577">
      <w:pPr>
        <w:ind w:right="-1"/>
        <w:jc w:val="center"/>
        <w:outlineLvl w:val="0"/>
        <w:rPr>
          <w:b/>
          <w:sz w:val="24"/>
          <w:szCs w:val="24"/>
        </w:rPr>
      </w:pPr>
      <w:r w:rsidRPr="00D31577">
        <w:rPr>
          <w:b/>
          <w:bCs/>
          <w:sz w:val="24"/>
          <w:szCs w:val="24"/>
          <w:lang w:eastAsia="en-US"/>
        </w:rPr>
        <w:t>ИКЗ 261519380014451900100100070000000244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5416"/>
      </w:tblGrid>
      <w:tr w:rsidR="00A4302D" w14:paraId="41CC673F" w14:textId="77777777" w:rsidTr="00D31577">
        <w:tc>
          <w:tcPr>
            <w:tcW w:w="4790" w:type="dxa"/>
            <w:shd w:val="clear" w:color="auto" w:fill="auto"/>
          </w:tcPr>
          <w:p w14:paraId="301C01A6" w14:textId="77777777" w:rsidR="00A4302D" w:rsidRDefault="009B74E9" w:rsidP="00D31577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Мурманск</w:t>
            </w:r>
          </w:p>
        </w:tc>
        <w:tc>
          <w:tcPr>
            <w:tcW w:w="5416" w:type="dxa"/>
            <w:shd w:val="clear" w:color="auto" w:fill="auto"/>
          </w:tcPr>
          <w:p w14:paraId="3D780E61" w14:textId="7D714994" w:rsidR="00A4302D" w:rsidRDefault="00D31577" w:rsidP="00D31577">
            <w:pPr>
              <w:spacing w:before="240" w:after="2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"     "                            2026 года </w:t>
            </w:r>
          </w:p>
        </w:tc>
      </w:tr>
    </w:tbl>
    <w:p w14:paraId="59A1A4B7" w14:textId="7BE67B3F" w:rsidR="00A4302D" w:rsidRPr="008B356F" w:rsidRDefault="009B74E9" w:rsidP="00D31577">
      <w:pPr>
        <w:ind w:firstLine="709"/>
        <w:jc w:val="both"/>
        <w:rPr>
          <w:iCs/>
          <w:sz w:val="24"/>
          <w:szCs w:val="24"/>
        </w:rPr>
      </w:pPr>
      <w:r w:rsidRPr="008B356F">
        <w:rPr>
          <w:bCs/>
          <w:iCs/>
          <w:sz w:val="24"/>
          <w:szCs w:val="24"/>
        </w:rPr>
        <w:t>Федеральное государственное бюджетное учреждение науки Мурманский морской биологический институт Российской академии наук (ММБИ РАН)</w:t>
      </w:r>
      <w:r w:rsidRPr="008B356F">
        <w:rPr>
          <w:iCs/>
          <w:sz w:val="24"/>
          <w:szCs w:val="24"/>
        </w:rPr>
        <w:t xml:space="preserve">, именуемое в дальнейшем «Заказчик», в лице директора Макарова Михаила Владимировича, действующего на основании Приказа Минобрнауки России № 10-3/216 п-о от 24.08.2022 и Устава ММБИ РАН, с одной стороны и </w:t>
      </w:r>
      <w:r w:rsidR="00D31577">
        <w:rPr>
          <w:iCs/>
          <w:sz w:val="24"/>
          <w:szCs w:val="24"/>
        </w:rPr>
        <w:t>________________________________________________</w:t>
      </w:r>
      <w:r w:rsidRPr="008B356F">
        <w:rPr>
          <w:iCs/>
          <w:sz w:val="24"/>
          <w:szCs w:val="24"/>
        </w:rPr>
        <w:t xml:space="preserve">, именуемое в дальнейшем «Исполнитель», в лице </w:t>
      </w:r>
      <w:r w:rsidR="00D31577">
        <w:rPr>
          <w:iCs/>
          <w:sz w:val="24"/>
          <w:szCs w:val="24"/>
        </w:rPr>
        <w:t>______________________________________</w:t>
      </w:r>
      <w:r w:rsidRPr="008B356F">
        <w:rPr>
          <w:iCs/>
          <w:sz w:val="24"/>
          <w:szCs w:val="24"/>
        </w:rPr>
        <w:t>, действующего на основании Устава, с другой стороны, вместе именуемые «</w:t>
      </w:r>
      <w:r w:rsidRPr="00D31577">
        <w:rPr>
          <w:iCs/>
          <w:sz w:val="24"/>
          <w:szCs w:val="24"/>
        </w:rPr>
        <w:t xml:space="preserve">Стороны», </w:t>
      </w:r>
      <w:r w:rsidR="008B356F" w:rsidRPr="00D31577">
        <w:rPr>
          <w:sz w:val="24"/>
          <w:szCs w:val="24"/>
          <w:lang w:eastAsia="en-US"/>
        </w:rPr>
        <w:t>на основании пункта 4 части 1 статьи 93 Федерального закона от 05.04.2013</w:t>
      </w:r>
      <w:r w:rsidR="008B356F" w:rsidRPr="00D31577">
        <w:rPr>
          <w:color w:val="000000"/>
          <w:sz w:val="24"/>
          <w:szCs w:val="24"/>
          <w:lang w:eastAsia="en-US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Pr="00D31577">
        <w:rPr>
          <w:color w:val="000000"/>
          <w:sz w:val="24"/>
          <w:szCs w:val="24"/>
          <w:lang w:eastAsia="en-US"/>
        </w:rPr>
        <w:t>,</w:t>
      </w:r>
      <w:r w:rsidR="008B356F" w:rsidRPr="00D31577">
        <w:rPr>
          <w:color w:val="000000"/>
          <w:sz w:val="24"/>
          <w:szCs w:val="24"/>
          <w:lang w:eastAsia="en-US"/>
        </w:rPr>
        <w:t xml:space="preserve"> </w:t>
      </w:r>
      <w:r w:rsidRPr="00D31577">
        <w:rPr>
          <w:iCs/>
          <w:sz w:val="24"/>
          <w:szCs w:val="24"/>
        </w:rPr>
        <w:t>заключили настоящий Договор о нижеследующем:</w:t>
      </w:r>
    </w:p>
    <w:p w14:paraId="2938EF9A" w14:textId="77777777" w:rsidR="00A4302D" w:rsidRDefault="009B74E9" w:rsidP="00D3157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Предмет договора</w:t>
      </w:r>
    </w:p>
    <w:p w14:paraId="084CA8BC" w14:textId="77777777" w:rsidR="00A4302D" w:rsidRDefault="009B74E9" w:rsidP="008B356F">
      <w:pPr>
        <w:pStyle w:val="af1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szCs w:val="24"/>
        </w:rPr>
      </w:pPr>
      <w:r>
        <w:rPr>
          <w:szCs w:val="24"/>
        </w:rPr>
        <w:t>Исполнитель обязуется выполнить по заданию Заказчика работы, указанные в п. 1.2 настоящего Договора, и сдать результат Заказчику, а Заказчик обязуется принять результат и оплатить его.</w:t>
      </w:r>
    </w:p>
    <w:p w14:paraId="7FF1FA34" w14:textId="77777777" w:rsidR="00A4302D" w:rsidRDefault="009B74E9" w:rsidP="008B356F">
      <w:pPr>
        <w:pStyle w:val="af1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rPr>
          <w:szCs w:val="24"/>
        </w:rPr>
        <w:t>Исполнитель</w:t>
      </w:r>
      <w:r>
        <w:rPr>
          <w:b/>
          <w:szCs w:val="24"/>
        </w:rPr>
        <w:t xml:space="preserve"> </w:t>
      </w:r>
      <w:r>
        <w:rPr>
          <w:szCs w:val="24"/>
        </w:rPr>
        <w:t>обязуется выполнить кадастровые работы по подготовке актов обследования 2 (двух) объектов недвижимости:</w:t>
      </w:r>
    </w:p>
    <w:p w14:paraId="011888CB" w14:textId="5A0CE3DB" w:rsidR="00A4302D" w:rsidRDefault="009B74E9" w:rsidP="008B356F">
      <w:pPr>
        <w:pStyle w:val="af1"/>
        <w:numPr>
          <w:ilvl w:val="0"/>
          <w:numId w:val="5"/>
        </w:numPr>
        <w:tabs>
          <w:tab w:val="left" w:pos="850"/>
        </w:tabs>
        <w:ind w:left="0" w:firstLine="709"/>
        <w:jc w:val="both"/>
      </w:pPr>
      <w:r>
        <w:rPr>
          <w:szCs w:val="24"/>
        </w:rPr>
        <w:t xml:space="preserve">здание с кадастровым номером 51:07:0000000:51, расположенное по адресу Мурманская обл., Кольский р-н, МО </w:t>
      </w:r>
      <w:proofErr w:type="spellStart"/>
      <w:r>
        <w:rPr>
          <w:szCs w:val="24"/>
        </w:rPr>
        <w:t>с.п</w:t>
      </w:r>
      <w:proofErr w:type="spellEnd"/>
      <w:r>
        <w:rPr>
          <w:szCs w:val="24"/>
        </w:rPr>
        <w:t xml:space="preserve">. Териберка, </w:t>
      </w:r>
      <w:proofErr w:type="spellStart"/>
      <w:r>
        <w:rPr>
          <w:szCs w:val="24"/>
        </w:rPr>
        <w:t>н.п</w:t>
      </w:r>
      <w:proofErr w:type="spellEnd"/>
      <w:r>
        <w:rPr>
          <w:szCs w:val="24"/>
        </w:rPr>
        <w:t>. Дальние Зеленцы, ул. Рабочая, д. 1;</w:t>
      </w:r>
    </w:p>
    <w:p w14:paraId="25447671" w14:textId="59EF5084" w:rsidR="00A4302D" w:rsidRDefault="009B74E9" w:rsidP="008B356F">
      <w:pPr>
        <w:pStyle w:val="af1"/>
        <w:numPr>
          <w:ilvl w:val="0"/>
          <w:numId w:val="6"/>
        </w:numPr>
        <w:tabs>
          <w:tab w:val="left" w:pos="850"/>
        </w:tabs>
        <w:ind w:left="0" w:firstLine="709"/>
        <w:jc w:val="both"/>
      </w:pPr>
      <w:r>
        <w:rPr>
          <w:szCs w:val="24"/>
        </w:rPr>
        <w:t xml:space="preserve">здание с кадастровым номером 51:07:0000000:52, расположенное по адресу Мурманская обл., Кольский р-н, МО </w:t>
      </w:r>
      <w:proofErr w:type="spellStart"/>
      <w:r>
        <w:rPr>
          <w:szCs w:val="24"/>
        </w:rPr>
        <w:t>с.п</w:t>
      </w:r>
      <w:proofErr w:type="spellEnd"/>
      <w:r>
        <w:rPr>
          <w:szCs w:val="24"/>
        </w:rPr>
        <w:t xml:space="preserve">. Териберка, </w:t>
      </w:r>
      <w:proofErr w:type="spellStart"/>
      <w:r>
        <w:rPr>
          <w:szCs w:val="24"/>
        </w:rPr>
        <w:t>н.п</w:t>
      </w:r>
      <w:proofErr w:type="spellEnd"/>
      <w:r>
        <w:rPr>
          <w:szCs w:val="24"/>
        </w:rPr>
        <w:t>. Дальние Зеленцы, ул. Рабочая, д. 3.</w:t>
      </w:r>
    </w:p>
    <w:p w14:paraId="4E808459" w14:textId="77777777" w:rsidR="00A4302D" w:rsidRDefault="009B74E9" w:rsidP="008B356F">
      <w:pPr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 считаются выполненными после подписания акта сдачи-приемки выполненных работ Заказчиком или его уполномоченным представителем.</w:t>
      </w:r>
    </w:p>
    <w:p w14:paraId="3362319F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Права и обязанности Сторон</w:t>
      </w:r>
    </w:p>
    <w:p w14:paraId="5916767A" w14:textId="77777777" w:rsidR="00A4302D" w:rsidRDefault="009B74E9" w:rsidP="008B356F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обязан:</w:t>
      </w:r>
    </w:p>
    <w:p w14:paraId="4DCC1EBB" w14:textId="77777777" w:rsidR="00A4302D" w:rsidRDefault="009B74E9" w:rsidP="008B356F">
      <w:pPr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Исполнителю копии документов, являющиеся основанием для выполнения работ по настоящему Договору.</w:t>
      </w:r>
    </w:p>
    <w:p w14:paraId="2AC3C1CE" w14:textId="77777777" w:rsidR="00A4302D" w:rsidRDefault="009B74E9" w:rsidP="008B356F">
      <w:pPr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Оказывать содействие Исполнителю при выполнении работ в рамках настоящего Договора.</w:t>
      </w:r>
    </w:p>
    <w:p w14:paraId="32EEB575" w14:textId="77777777" w:rsidR="00A4302D" w:rsidRDefault="009B74E9" w:rsidP="008B356F">
      <w:pPr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Принять надлежащим образом выполненные работы от Исполнителя по акту сдачи-приемки в срок, установленный настоящим Договором.</w:t>
      </w:r>
    </w:p>
    <w:p w14:paraId="0AB41722" w14:textId="77777777" w:rsidR="00A4302D" w:rsidRDefault="009B74E9" w:rsidP="008B356F">
      <w:pPr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Оплатить Исполнителю стоимость выполненных работ в соответствии с разделом 3 настоящего Договора.</w:t>
      </w:r>
    </w:p>
    <w:p w14:paraId="39E82DB9" w14:textId="77777777" w:rsidR="00A4302D" w:rsidRDefault="009B74E9" w:rsidP="008B356F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 имеет право:</w:t>
      </w:r>
    </w:p>
    <w:p w14:paraId="1B2ED8CB" w14:textId="77777777" w:rsidR="00A4302D" w:rsidRDefault="009B74E9" w:rsidP="008B356F">
      <w:pPr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Исполнителя на любом этапе выполнения работ информацию о ходе ее выполнения.</w:t>
      </w:r>
    </w:p>
    <w:p w14:paraId="6F3F9B44" w14:textId="77777777" w:rsidR="00A4302D" w:rsidRDefault="009B74E9" w:rsidP="008B356F">
      <w:pPr>
        <w:keepNext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14:paraId="76347064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работы по настоящему Договору в полном объеме своими силами и средствами, в соответствии с предоставленными Заказчиком исходными данными, а также согласно сведениям, полученным Исполнителем из государственного кадастра недвижимости, и результатам проведенных Исполнителем измерений.</w:t>
      </w:r>
    </w:p>
    <w:p w14:paraId="54C8B3B9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Передать Заказчику результаты выполненных работ с приложением подписанного со своей стороны акта сдачи-приемки выполненных работ в сроки и в порядке, предусмотренные настоящим Договором. </w:t>
      </w:r>
    </w:p>
    <w:p w14:paraId="32A3A2BD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Использовать полученные от Заказчика исходные данные, а также другую документацию и информацию только для достижения целей, предусмотренных настоящим Договором, не разглашать и не передавать их третьим лицам без письменного согласия Заказчика.</w:t>
      </w:r>
    </w:p>
    <w:p w14:paraId="4AA70107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Безвозмездно, в течение согласованного с Заказчиком срока, либо в течение 15 (пятнадцати) календарных дней с момента получения замечаний, откорректировать документацию по замечаниям Заказчика при обнаружении недостатков в документации и (или) необходимости выполнения дополнительных работ.</w:t>
      </w:r>
    </w:p>
    <w:p w14:paraId="03DF579E" w14:textId="77777777" w:rsidR="00A4302D" w:rsidRDefault="009B74E9" w:rsidP="008B356F">
      <w:pPr>
        <w:pStyle w:val="25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имеет право:</w:t>
      </w:r>
    </w:p>
    <w:p w14:paraId="2A30F55B" w14:textId="77777777" w:rsidR="00A4302D" w:rsidRDefault="009B74E9" w:rsidP="008B356F">
      <w:pPr>
        <w:pStyle w:val="aff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szCs w:val="24"/>
        </w:rPr>
      </w:pPr>
      <w:r>
        <w:rPr>
          <w:szCs w:val="24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14:paraId="33417D4D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и сдать работы по настоящему Договору досрочно.</w:t>
      </w:r>
    </w:p>
    <w:p w14:paraId="7270B342" w14:textId="77777777" w:rsidR="00A4302D" w:rsidRDefault="009B74E9" w:rsidP="008B356F">
      <w:pPr>
        <w:pStyle w:val="2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приступать к работам, а начатые работы приостановить в случаях, если нарушение Заказчиком обязанностей по Договору препятствует исполнению Договора Исполнителем, а также при наличии обстоятельств, очевидно свидетельствующих о том, что указанные обязанности не будут исполнены в установленный срок.</w:t>
      </w:r>
    </w:p>
    <w:p w14:paraId="6899E555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Цена договора и порядок расчетов</w:t>
      </w:r>
    </w:p>
    <w:p w14:paraId="72FFDF8B" w14:textId="77777777" w:rsidR="00A4302D" w:rsidRDefault="009B74E9" w:rsidP="008B356F">
      <w:pPr>
        <w:numPr>
          <w:ilvl w:val="1"/>
          <w:numId w:val="3"/>
        </w:numPr>
        <w:tabs>
          <w:tab w:val="left" w:pos="1276"/>
        </w:tabs>
        <w:spacing w:line="100" w:lineRule="atLeast"/>
        <w:ind w:left="0" w:firstLine="709"/>
        <w:jc w:val="both"/>
      </w:pPr>
      <w:r>
        <w:rPr>
          <w:sz w:val="24"/>
          <w:szCs w:val="24"/>
        </w:rPr>
        <w:t>Стоимость поручаемых Исполнителю работ по настоящему Договору составляет 30 000,00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>руб. (Тридцать тысяч рублей 00 копеек), НДС не облагается на основании ст. 346.11 НК РФ, ст. 145 НК РФ в связи с применением Исполнителем упрощенной системы налогообложения и получения освобождения от исчисления НДС.</w:t>
      </w:r>
    </w:p>
    <w:p w14:paraId="5D2FC663" w14:textId="77777777" w:rsidR="00A4302D" w:rsidRPr="00D31577" w:rsidRDefault="009B74E9" w:rsidP="008B356F">
      <w:pPr>
        <w:numPr>
          <w:ilvl w:val="1"/>
          <w:numId w:val="3"/>
        </w:numPr>
        <w:tabs>
          <w:tab w:val="left" w:pos="1276"/>
        </w:tabs>
        <w:spacing w:line="100" w:lineRule="atLeast"/>
        <w:ind w:left="0" w:firstLine="709"/>
        <w:jc w:val="both"/>
      </w:pPr>
      <w:r>
        <w:rPr>
          <w:sz w:val="24"/>
          <w:szCs w:val="24"/>
        </w:rPr>
        <w:t xml:space="preserve">При завершении работ Исполнитель предоставляет Заказчику акт сдачи-приемки выполненных работ; счет на оплату выполненных работ предоставляется Заказчику в течение 5 дней со дня подписания </w:t>
      </w:r>
      <w:r w:rsidRPr="00D31577">
        <w:rPr>
          <w:sz w:val="24"/>
          <w:szCs w:val="24"/>
        </w:rPr>
        <w:t>акта сдачи-приемки выполненных работ.</w:t>
      </w:r>
    </w:p>
    <w:p w14:paraId="0CDABD94" w14:textId="55787AC6" w:rsidR="00A4302D" w:rsidRPr="00D31577" w:rsidRDefault="009B74E9" w:rsidP="008B356F">
      <w:pPr>
        <w:numPr>
          <w:ilvl w:val="1"/>
          <w:numId w:val="3"/>
        </w:numPr>
        <w:tabs>
          <w:tab w:val="left" w:pos="1276"/>
        </w:tabs>
        <w:spacing w:line="100" w:lineRule="atLeast"/>
        <w:ind w:left="0" w:firstLine="709"/>
        <w:jc w:val="both"/>
      </w:pPr>
      <w:r w:rsidRPr="00D31577">
        <w:rPr>
          <w:sz w:val="24"/>
          <w:szCs w:val="24"/>
        </w:rPr>
        <w:t>Оплата работы производится Заказчиком путем перечисления денежных средств на расчетный счет Исполнителя в течение 7 рабочих дней со дня</w:t>
      </w:r>
      <w:r w:rsidR="008B356F" w:rsidRPr="00D31577">
        <w:rPr>
          <w:sz w:val="24"/>
          <w:szCs w:val="24"/>
        </w:rPr>
        <w:t xml:space="preserve"> подписания Заказчиком </w:t>
      </w:r>
      <w:r w:rsidRPr="00D31577">
        <w:rPr>
          <w:sz w:val="24"/>
          <w:szCs w:val="24"/>
        </w:rPr>
        <w:t>предоставле</w:t>
      </w:r>
      <w:r w:rsidR="008B356F" w:rsidRPr="00D31577">
        <w:rPr>
          <w:sz w:val="24"/>
          <w:szCs w:val="24"/>
        </w:rPr>
        <w:t>н</w:t>
      </w:r>
      <w:r w:rsidRPr="00D31577">
        <w:rPr>
          <w:sz w:val="24"/>
          <w:szCs w:val="24"/>
        </w:rPr>
        <w:t>н</w:t>
      </w:r>
      <w:r w:rsidR="008B356F" w:rsidRPr="00D31577">
        <w:rPr>
          <w:sz w:val="24"/>
          <w:szCs w:val="24"/>
        </w:rPr>
        <w:t>ого</w:t>
      </w:r>
      <w:r w:rsidRPr="00D31577">
        <w:rPr>
          <w:sz w:val="24"/>
          <w:szCs w:val="24"/>
        </w:rPr>
        <w:t xml:space="preserve"> Исполнителем акта сдачи-приемки выполненных работ, счета на оплату.</w:t>
      </w:r>
    </w:p>
    <w:p w14:paraId="3EA782AD" w14:textId="77777777" w:rsidR="00A4302D" w:rsidRPr="00D31577" w:rsidRDefault="009B74E9" w:rsidP="00AA0037">
      <w:pPr>
        <w:pStyle w:val="1"/>
        <w:numPr>
          <w:ilvl w:val="0"/>
          <w:numId w:val="3"/>
        </w:numPr>
        <w:rPr>
          <w:szCs w:val="24"/>
        </w:rPr>
      </w:pPr>
      <w:r w:rsidRPr="00D31577">
        <w:rPr>
          <w:szCs w:val="24"/>
        </w:rPr>
        <w:t>Сроки и условия выполнения работ</w:t>
      </w:r>
    </w:p>
    <w:p w14:paraId="3B4CEB42" w14:textId="2BE0F067" w:rsidR="00A4302D" w:rsidRPr="00D31577" w:rsidRDefault="009B74E9" w:rsidP="008B356F">
      <w:pPr>
        <w:pStyle w:val="af2"/>
        <w:numPr>
          <w:ilvl w:val="1"/>
          <w:numId w:val="3"/>
        </w:numPr>
        <w:tabs>
          <w:tab w:val="left" w:pos="1276"/>
        </w:tabs>
        <w:ind w:left="0" w:firstLine="709"/>
        <w:jc w:val="both"/>
      </w:pPr>
      <w:r w:rsidRPr="00D31577">
        <w:rPr>
          <w:szCs w:val="24"/>
        </w:rPr>
        <w:t>Срок выполнения кадастровых работ по подготовке актов обследования и предъявления результата выполненных работ к сдаче Заказчику составляет 15 (Пятнадцать) рабочих дней</w:t>
      </w:r>
      <w:r w:rsidR="008B356F" w:rsidRPr="00D31577">
        <w:rPr>
          <w:szCs w:val="24"/>
        </w:rPr>
        <w:t xml:space="preserve"> с даты заключения настоящего Договора</w:t>
      </w:r>
      <w:r w:rsidRPr="00D31577">
        <w:rPr>
          <w:szCs w:val="24"/>
        </w:rPr>
        <w:t>.</w:t>
      </w:r>
    </w:p>
    <w:p w14:paraId="10EA169A" w14:textId="77777777" w:rsidR="00A4302D" w:rsidRDefault="009B74E9" w:rsidP="00AA0037">
      <w:pPr>
        <w:pStyle w:val="1"/>
        <w:keepNext w:val="0"/>
        <w:widowControl w:val="0"/>
        <w:numPr>
          <w:ilvl w:val="0"/>
          <w:numId w:val="3"/>
        </w:numPr>
        <w:rPr>
          <w:szCs w:val="24"/>
        </w:rPr>
      </w:pPr>
      <w:r>
        <w:rPr>
          <w:szCs w:val="24"/>
        </w:rPr>
        <w:t>Приемка выполненных</w:t>
      </w:r>
      <w:bookmarkStart w:id="0" w:name="_ref_21960627"/>
      <w:r>
        <w:rPr>
          <w:szCs w:val="24"/>
        </w:rPr>
        <w:t xml:space="preserve"> работ</w:t>
      </w:r>
    </w:p>
    <w:p w14:paraId="7F71BA54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По окончании работ Исполнитель направляет Заказчику акт сдачи-приемки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выполненных работ и Документацию, являющуюся результатом выполненных работ.</w:t>
      </w:r>
    </w:p>
    <w:p w14:paraId="4906250C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Документацией, являющейся результатом выполненных работ, является акт обследования на каждый объект, выполненный в соответствии с Приказом Росреестра от 24.05.2021 № П/0217 «Об установлении формы и состава сведений акта обследования, а также требований к его подготовке» (Зарегистрировано в Минюсте России 09.09.2021 № 64961), предоставляемый Заказчику на бумажном носителе в 1 (одном) экземпляре и в форме электронного документа.</w:t>
      </w:r>
    </w:p>
    <w:p w14:paraId="0BC81302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Приемка выполненных работ Заказчиком осуществляется в течение 10 (десяти) рабочих дней с момента получения всей необходимой документации. В указанный срок Заказчик обязан принять выполненные работы и подписать акт сдачи-приемки выполненных работ, либо направить Исполнителю перечень замечаний и мотивированный отказ от приемки работ.</w:t>
      </w:r>
    </w:p>
    <w:p w14:paraId="158DD872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Основаниями для отказа от приемки работ является несоответствие документации требованиям законодательства Российской Федерации, государственным стандартам, требованиям и указаниям Заказчика, изложенным в настоящем Договоре.</w:t>
      </w:r>
    </w:p>
    <w:p w14:paraId="7DB54109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В случае отказа Заказчика от приемки работ, Сторонами в течение 5 (пяти) дней с момента получения Исполнителем мотивированного отказа составляется двусторонний акт с перечнем необходимых доработок и сроков их устранения. Для участия в составлении акта, </w:t>
      </w: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фиксирующего недостатки, согласования порядка и сроков их устранения Исполнитель обязан направить своего представителя не позднее 10 (десяти) календарных дней со дня получения письменного извещения Заказчика. В случае если Исполнитель своевременно не направит своего представителя, то Заказчик самостоятельно составляет и подписывает акт о выявленных недостатках и стороны настоящего Договора признают его действительным, не требующим подтверждения подписью и печатью Исполнителя.</w:t>
      </w:r>
    </w:p>
    <w:p w14:paraId="2D8CFC3E" w14:textId="77777777" w:rsidR="00A4302D" w:rsidRDefault="009B74E9" w:rsidP="009B74E9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Исполнитель обязан переделать Документацию, являющуюся результатом выполнения работ по настоящему Договору и (или) провести все необходимые дополнительные работы для устранения замечаний и претензий Заказчика. После устранения Исполнителем всех замечаний, претензий, в согласованные сторонами сроки, Заказчик подписывает Акт сдачи-приемки выполненных работ и направляет его Исполнителю для оформления счета на оплату.</w:t>
      </w:r>
    </w:p>
    <w:p w14:paraId="14B5A7AC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Датой исполнения обязательств Исполнителя по Договору является дата подписания обеими сторонами Акта сдачи-приемки выполненных работ после устранения замечаний Заказчика.</w:t>
      </w:r>
    </w:p>
    <w:p w14:paraId="17EE4076" w14:textId="77777777" w:rsidR="00A4302D" w:rsidRDefault="009B74E9" w:rsidP="008B356F">
      <w:pPr>
        <w:pStyle w:val="2"/>
        <w:keepNext w:val="0"/>
        <w:widowControl w:val="0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Если в процессе выполнения работа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поставив об этом в известность Заказчика в 10-дневный срок после приостановления работы. В этом случае стороны обязаны в 5-дневный срок рассмотреть вопрос о целесообразности и дальнейшего продолжения работ.</w:t>
      </w:r>
      <w:bookmarkEnd w:id="0"/>
    </w:p>
    <w:p w14:paraId="2A2BB394" w14:textId="77777777" w:rsidR="00A4302D" w:rsidRDefault="009B74E9" w:rsidP="008B356F">
      <w:pPr>
        <w:pStyle w:val="2"/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Риск случайной гибели или случайного повреждения результата выполненной работы до ее приемки Заказчиком несет Исполнитель.</w:t>
      </w:r>
    </w:p>
    <w:p w14:paraId="6994FDE5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Ответственность сторон</w:t>
      </w:r>
    </w:p>
    <w:p w14:paraId="13DD1ED3" w14:textId="77777777" w:rsidR="00A4302D" w:rsidRPr="00D31577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невыполнение или ненадлежащее выполнение обязательств по настоящему Договору стороны несут ответственность, </w:t>
      </w:r>
      <w:r w:rsidRPr="00D31577">
        <w:rPr>
          <w:sz w:val="24"/>
          <w:szCs w:val="24"/>
        </w:rPr>
        <w:t>предусмотренную действующим законодательством.</w:t>
      </w:r>
    </w:p>
    <w:p w14:paraId="24F435F5" w14:textId="033FF236" w:rsidR="00A4302D" w:rsidRPr="00D31577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31577">
        <w:rPr>
          <w:sz w:val="24"/>
          <w:szCs w:val="24"/>
        </w:rPr>
        <w:t xml:space="preserve">В случае нарушения одной из Сторон сроков исполнения своих обязательств по настоящему Договору такая Сторона обязана оплатить другой Стороне </w:t>
      </w:r>
      <w:r w:rsidR="00297F86" w:rsidRPr="00D31577">
        <w:rPr>
          <w:sz w:val="24"/>
          <w:szCs w:val="24"/>
        </w:rPr>
        <w:t>пени</w:t>
      </w:r>
      <w:r w:rsidRPr="00D31577">
        <w:rPr>
          <w:sz w:val="24"/>
          <w:szCs w:val="24"/>
        </w:rPr>
        <w:t xml:space="preserve"> в размере 1/300 </w:t>
      </w:r>
      <w:r w:rsidR="00297F86" w:rsidRPr="00D31577">
        <w:rPr>
          <w:sz w:val="24"/>
          <w:szCs w:val="24"/>
        </w:rPr>
        <w:t xml:space="preserve">ключевой </w:t>
      </w:r>
      <w:r w:rsidRPr="00D31577">
        <w:rPr>
          <w:sz w:val="24"/>
          <w:szCs w:val="24"/>
        </w:rPr>
        <w:t xml:space="preserve">ставки Центрального банка Российской Федерации, действующей на дату </w:t>
      </w:r>
      <w:r w:rsidR="00297F86" w:rsidRPr="00D31577">
        <w:rPr>
          <w:sz w:val="24"/>
          <w:szCs w:val="24"/>
        </w:rPr>
        <w:t>уплаты пеней</w:t>
      </w:r>
      <w:r w:rsidRPr="00D31577">
        <w:rPr>
          <w:sz w:val="24"/>
          <w:szCs w:val="24"/>
        </w:rPr>
        <w:t>, от цены Договора за каждый день просрочки, начиная со следующего дня после дня наступления установленного срока исполнения обязательства по день фактического исполнения обязательства.</w:t>
      </w:r>
    </w:p>
    <w:p w14:paraId="47C6BF69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Форс-мажор</w:t>
      </w:r>
    </w:p>
    <w:p w14:paraId="2EA9FCF5" w14:textId="77777777" w:rsidR="00A4302D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</w:t>
      </w:r>
      <w:r>
        <w:rPr>
          <w:iCs/>
          <w:color w:val="000000"/>
          <w:sz w:val="24"/>
          <w:szCs w:val="24"/>
        </w:rPr>
        <w:t xml:space="preserve"> 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>
        <w:rPr>
          <w:sz w:val="24"/>
          <w:szCs w:val="24"/>
        </w:rPr>
        <w:t>.</w:t>
      </w:r>
    </w:p>
    <w:p w14:paraId="4A5A065D" w14:textId="77777777" w:rsidR="00A4302D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наступления этих обстоятельств Сторона обязана в течение 5 дней уведомить об этом другую Сторону.</w:t>
      </w:r>
    </w:p>
    <w:p w14:paraId="7AB302EF" w14:textId="77777777" w:rsidR="00A4302D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обстоятельства непреодолимой силы продолжают действовать более 1 месяца, то каждая Сторона вправе расторгнуть Договор в одностороннем порядке.</w:t>
      </w:r>
    </w:p>
    <w:p w14:paraId="40849345" w14:textId="77777777" w:rsidR="00A4302D" w:rsidRDefault="009B74E9" w:rsidP="00AA0037">
      <w:pPr>
        <w:pStyle w:val="1"/>
        <w:numPr>
          <w:ilvl w:val="0"/>
          <w:numId w:val="3"/>
        </w:numPr>
        <w:ind w:left="714" w:hanging="357"/>
        <w:rPr>
          <w:szCs w:val="24"/>
        </w:rPr>
      </w:pPr>
      <w:r>
        <w:rPr>
          <w:szCs w:val="24"/>
        </w:rPr>
        <w:t>Срок действия договора</w:t>
      </w:r>
    </w:p>
    <w:p w14:paraId="39128F11" w14:textId="77777777" w:rsidR="00A4302D" w:rsidRDefault="009B74E9" w:rsidP="00297F86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Договора: со дня подписания сторонами до момента исполнения сторонами обязательств по настоящему Договору.</w:t>
      </w:r>
    </w:p>
    <w:p w14:paraId="18074037" w14:textId="77777777" w:rsidR="00A4302D" w:rsidRDefault="009B74E9" w:rsidP="00297F8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14:paraId="69374AEE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Порядок разрешения споров</w:t>
      </w:r>
    </w:p>
    <w:p w14:paraId="09427B35" w14:textId="77777777" w:rsidR="00A4302D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567D6590" w14:textId="77777777" w:rsidR="00A4302D" w:rsidRDefault="009B74E9" w:rsidP="00297F86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23AE1FD4" w14:textId="77777777" w:rsidR="00A4302D" w:rsidRDefault="009B74E9" w:rsidP="00AA0037">
      <w:pPr>
        <w:pStyle w:val="1"/>
        <w:numPr>
          <w:ilvl w:val="0"/>
          <w:numId w:val="3"/>
        </w:numPr>
        <w:rPr>
          <w:szCs w:val="24"/>
        </w:rPr>
      </w:pPr>
      <w:r>
        <w:rPr>
          <w:szCs w:val="24"/>
        </w:rPr>
        <w:t>Заключительные положения</w:t>
      </w:r>
    </w:p>
    <w:p w14:paraId="6A07CBAC" w14:textId="77777777" w:rsidR="00A4302D" w:rsidRDefault="009B74E9" w:rsidP="00297F8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Любые изменения и дополнения к настоящему Договору действительны при условии, что они совершены в письменной форме и подписаны представителями сторон.</w:t>
      </w:r>
    </w:p>
    <w:p w14:paraId="481D8683" w14:textId="15EE99A6" w:rsidR="00A4302D" w:rsidRDefault="009B74E9" w:rsidP="00297F8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7D8933F1" w14:textId="77777777" w:rsidR="00297F86" w:rsidRDefault="00297F86" w:rsidP="00297F86">
      <w:pPr>
        <w:tabs>
          <w:tab w:val="left" w:pos="1134"/>
        </w:tabs>
        <w:jc w:val="both"/>
        <w:rPr>
          <w:sz w:val="24"/>
          <w:szCs w:val="24"/>
        </w:rPr>
      </w:pPr>
    </w:p>
    <w:p w14:paraId="2FBE2130" w14:textId="77777777" w:rsidR="00A4302D" w:rsidRDefault="009B74E9" w:rsidP="00297F86">
      <w:pPr>
        <w:pStyle w:val="1"/>
        <w:numPr>
          <w:ilvl w:val="0"/>
          <w:numId w:val="3"/>
        </w:numPr>
        <w:spacing w:before="0" w:after="0"/>
        <w:ind w:left="0" w:firstLine="709"/>
        <w:rPr>
          <w:szCs w:val="24"/>
        </w:rPr>
      </w:pPr>
      <w:r>
        <w:rPr>
          <w:szCs w:val="24"/>
        </w:rPr>
        <w:t>Адреса, банковские реквизиты и подписи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645"/>
      </w:tblGrid>
      <w:tr w:rsidR="00A4302D" w:rsidRPr="00AA0037" w14:paraId="43AD49CD" w14:textId="77777777">
        <w:tc>
          <w:tcPr>
            <w:tcW w:w="4927" w:type="dxa"/>
            <w:shd w:val="clear" w:color="FFFFFF" w:fill="FFFFFF"/>
          </w:tcPr>
          <w:p w14:paraId="2C0C00DC" w14:textId="77777777" w:rsidR="00A4302D" w:rsidRPr="00297F86" w:rsidRDefault="009B74E9" w:rsidP="00297F86">
            <w:pPr>
              <w:jc w:val="both"/>
              <w:rPr>
                <w:sz w:val="24"/>
                <w:szCs w:val="24"/>
              </w:rPr>
            </w:pPr>
            <w:r w:rsidRPr="00297F86">
              <w:rPr>
                <w:b/>
                <w:sz w:val="24"/>
                <w:szCs w:val="24"/>
              </w:rPr>
              <w:t xml:space="preserve">Заказчик: </w:t>
            </w:r>
          </w:p>
          <w:p w14:paraId="629B331F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bCs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b/>
                <w:bCs/>
                <w:kern w:val="28"/>
                <w:sz w:val="24"/>
                <w:szCs w:val="24"/>
                <w:lang w:eastAsia="en-US"/>
              </w:rPr>
              <w:t xml:space="preserve">Федеральное государственное бюджетное учреждение науки Мурманский морской биологический институт Российской академии наук </w:t>
            </w:r>
            <w:r w:rsidRPr="00297F86">
              <w:rPr>
                <w:rFonts w:eastAsia="SimSun"/>
                <w:bCs/>
                <w:kern w:val="28"/>
                <w:sz w:val="24"/>
                <w:szCs w:val="24"/>
                <w:lang w:eastAsia="en-US"/>
              </w:rPr>
              <w:t>(ММБИ РАН)</w:t>
            </w:r>
          </w:p>
          <w:p w14:paraId="7705154F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Юридический и почтовый адрес: </w:t>
            </w:r>
          </w:p>
          <w:p w14:paraId="190F6ADE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183038, г"/>
              </w:smartTagPr>
              <w:r w:rsidRPr="00297F86">
                <w:rPr>
                  <w:rFonts w:eastAsia="SimSun"/>
                  <w:kern w:val="28"/>
                  <w:sz w:val="24"/>
                  <w:szCs w:val="24"/>
                  <w:lang w:eastAsia="en-US"/>
                </w:rPr>
                <w:t>183038, г</w:t>
              </w:r>
            </w:smartTag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. Мурманск, ул. Владимирская, 17 </w:t>
            </w:r>
          </w:p>
          <w:p w14:paraId="7F83812A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(он же почтовый)</w:t>
            </w:r>
          </w:p>
          <w:p w14:paraId="72FF2323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ИНН 5193800144/ КПП 519001001</w:t>
            </w:r>
          </w:p>
          <w:p w14:paraId="40F3F1B9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ОКПО 02699872, ОКОНХ 95110</w:t>
            </w:r>
          </w:p>
          <w:p w14:paraId="698D115C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proofErr w:type="gramStart"/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ОГРН  1025100842370</w:t>
            </w:r>
            <w:proofErr w:type="gramEnd"/>
          </w:p>
          <w:p w14:paraId="63DFD761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ОКАТО 47401000000</w:t>
            </w:r>
          </w:p>
          <w:p w14:paraId="1D567FBA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ОКТМО 47701000</w:t>
            </w:r>
          </w:p>
          <w:p w14:paraId="1A6ED418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Казначейский счет </w:t>
            </w:r>
            <w:r w:rsidRPr="00297F86">
              <w:rPr>
                <w:rFonts w:eastAsia="Arial Unicode MS"/>
                <w:b/>
                <w:bCs/>
                <w:color w:val="000000"/>
                <w:sz w:val="24"/>
                <w:szCs w:val="24"/>
              </w:rPr>
              <w:t>03214643000000013212</w:t>
            </w:r>
          </w:p>
          <w:p w14:paraId="28CB682C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БИК </w:t>
            </w:r>
            <w:r w:rsidRPr="00297F86">
              <w:rPr>
                <w:rFonts w:eastAsia="Arial Unicode MS"/>
                <w:b/>
                <w:bCs/>
                <w:color w:val="000000"/>
                <w:sz w:val="24"/>
                <w:szCs w:val="24"/>
              </w:rPr>
              <w:t xml:space="preserve">012202102 </w:t>
            </w:r>
          </w:p>
          <w:p w14:paraId="1E683674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Корреспондентский счет банка получателя средств </w:t>
            </w:r>
            <w:r w:rsidRPr="00297F86">
              <w:rPr>
                <w:rFonts w:eastAsia="Arial Unicode MS"/>
                <w:b/>
                <w:bCs/>
                <w:color w:val="000000"/>
                <w:sz w:val="24"/>
                <w:szCs w:val="24"/>
              </w:rPr>
              <w:t>40102810745370000024</w:t>
            </w:r>
          </w:p>
          <w:p w14:paraId="1EFDCB25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Наименование получателя средств:  </w:t>
            </w:r>
          </w:p>
          <w:p w14:paraId="09671D77" w14:textId="77777777" w:rsidR="00297F86" w:rsidRPr="00297F86" w:rsidRDefault="00297F86" w:rsidP="00297F86">
            <w:pPr>
              <w:widowControl w:val="0"/>
              <w:overflowPunct w:val="0"/>
              <w:autoSpaceDE w:val="0"/>
              <w:adjustRightInd w:val="0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297F86">
              <w:rPr>
                <w:rFonts w:eastAsia="Arial Unicode MS"/>
                <w:b/>
                <w:bCs/>
                <w:color w:val="000000"/>
                <w:sz w:val="24"/>
                <w:szCs w:val="24"/>
              </w:rPr>
              <w:t>ОКЦ№1 ВВГУ Банка России//УФК по Нижегородской области, г. Нижний Новгород</w:t>
            </w:r>
          </w:p>
          <w:p w14:paraId="53E21B99" w14:textId="77777777" w:rsidR="00297F86" w:rsidRPr="00297F86" w:rsidRDefault="00297F86" w:rsidP="00297F86">
            <w:pPr>
              <w:rPr>
                <w:rFonts w:eastAsia="SimSun"/>
                <w:kern w:val="28"/>
                <w:sz w:val="24"/>
                <w:szCs w:val="24"/>
                <w:lang w:eastAsia="en-US"/>
              </w:rPr>
            </w:pPr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Л/</w:t>
            </w:r>
            <w:proofErr w:type="spellStart"/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>сч</w:t>
            </w:r>
            <w:proofErr w:type="spellEnd"/>
            <w:r w:rsidRPr="00297F86">
              <w:rPr>
                <w:rFonts w:eastAsia="SimSun"/>
                <w:kern w:val="28"/>
                <w:sz w:val="24"/>
                <w:szCs w:val="24"/>
                <w:lang w:eastAsia="en-US"/>
              </w:rPr>
              <w:t xml:space="preserve"> № 20496Ц67840   </w:t>
            </w:r>
          </w:p>
          <w:p w14:paraId="24498D5B" w14:textId="77777777" w:rsidR="00297F86" w:rsidRPr="00297F86" w:rsidRDefault="00297F86" w:rsidP="00297F86">
            <w:pPr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297F86">
              <w:rPr>
                <w:color w:val="000000"/>
                <w:spacing w:val="-6"/>
                <w:sz w:val="24"/>
                <w:szCs w:val="24"/>
                <w:lang w:eastAsia="en-US"/>
              </w:rPr>
              <w:t>Тел. 8(8152) 23-00-32 – контрактная служба,</w:t>
            </w:r>
          </w:p>
          <w:p w14:paraId="34C0AE8E" w14:textId="77777777" w:rsidR="00297F86" w:rsidRPr="00297F86" w:rsidRDefault="00297F86" w:rsidP="00297F86">
            <w:pPr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297F86">
              <w:rPr>
                <w:color w:val="000000"/>
                <w:spacing w:val="-6"/>
                <w:sz w:val="24"/>
                <w:szCs w:val="24"/>
                <w:lang w:eastAsia="en-US"/>
              </w:rPr>
              <w:t>8(8152) 25-89-14 – бухгалтерия</w:t>
            </w:r>
          </w:p>
          <w:p w14:paraId="44E4A9CF" w14:textId="77777777" w:rsidR="00A4302D" w:rsidRPr="00D31577" w:rsidRDefault="009B74E9" w:rsidP="00297F86">
            <w:pPr>
              <w:pStyle w:val="af2"/>
              <w:tabs>
                <w:tab w:val="left" w:pos="1134"/>
              </w:tabs>
              <w:jc w:val="both"/>
              <w:rPr>
                <w:szCs w:val="24"/>
              </w:rPr>
            </w:pPr>
            <w:r w:rsidRPr="00297F86">
              <w:rPr>
                <w:szCs w:val="24"/>
                <w:lang w:val="en-US"/>
              </w:rPr>
              <w:t>E</w:t>
            </w:r>
            <w:r w:rsidRPr="00D31577">
              <w:rPr>
                <w:szCs w:val="24"/>
              </w:rPr>
              <w:t>-</w:t>
            </w:r>
            <w:r w:rsidRPr="00297F86">
              <w:rPr>
                <w:szCs w:val="24"/>
                <w:lang w:val="en-US"/>
              </w:rPr>
              <w:t>mail</w:t>
            </w:r>
            <w:r w:rsidRPr="00D31577">
              <w:rPr>
                <w:szCs w:val="24"/>
              </w:rPr>
              <w:t xml:space="preserve">: </w:t>
            </w:r>
            <w:hyperlink r:id="rId8" w:tooltip="http://zakupki@mmbi.info" w:history="1">
              <w:r w:rsidRPr="00297F86">
                <w:rPr>
                  <w:rStyle w:val="aff1"/>
                  <w:szCs w:val="24"/>
                  <w:lang w:val="en-US"/>
                </w:rPr>
                <w:t>zakupki</w:t>
              </w:r>
              <w:r w:rsidRPr="00D31577">
                <w:rPr>
                  <w:rStyle w:val="aff1"/>
                  <w:szCs w:val="24"/>
                </w:rPr>
                <w:t>@</w:t>
              </w:r>
              <w:r w:rsidRPr="00297F86">
                <w:rPr>
                  <w:rStyle w:val="aff1"/>
                  <w:szCs w:val="24"/>
                  <w:lang w:val="en-US"/>
                </w:rPr>
                <w:t>mmbi</w:t>
              </w:r>
              <w:r w:rsidRPr="00D31577">
                <w:rPr>
                  <w:rStyle w:val="aff1"/>
                  <w:szCs w:val="24"/>
                </w:rPr>
                <w:t>.</w:t>
              </w:r>
              <w:r w:rsidRPr="00297F86">
                <w:rPr>
                  <w:rStyle w:val="aff1"/>
                  <w:szCs w:val="24"/>
                  <w:lang w:val="en-US"/>
                </w:rPr>
                <w:t>info</w:t>
              </w:r>
            </w:hyperlink>
            <w:r w:rsidRPr="00D31577">
              <w:rPr>
                <w:szCs w:val="24"/>
              </w:rPr>
              <w:t xml:space="preserve">; </w:t>
            </w:r>
            <w:hyperlink r:id="rId9" w:tooltip="http://mmbi@mmbi.info" w:history="1">
              <w:r w:rsidRPr="00297F86">
                <w:rPr>
                  <w:rStyle w:val="aff1"/>
                  <w:szCs w:val="24"/>
                  <w:lang w:val="en-US"/>
                </w:rPr>
                <w:t>mmbi</w:t>
              </w:r>
              <w:r w:rsidRPr="00D31577">
                <w:rPr>
                  <w:rStyle w:val="aff1"/>
                  <w:szCs w:val="24"/>
                </w:rPr>
                <w:t>@</w:t>
              </w:r>
              <w:r w:rsidRPr="00297F86">
                <w:rPr>
                  <w:rStyle w:val="aff1"/>
                  <w:szCs w:val="24"/>
                  <w:lang w:val="en-US"/>
                </w:rPr>
                <w:t>mmbi</w:t>
              </w:r>
              <w:r w:rsidRPr="00D31577">
                <w:rPr>
                  <w:rStyle w:val="aff1"/>
                  <w:szCs w:val="24"/>
                </w:rPr>
                <w:t>.</w:t>
              </w:r>
              <w:r w:rsidRPr="00297F86">
                <w:rPr>
                  <w:rStyle w:val="aff1"/>
                  <w:szCs w:val="24"/>
                  <w:lang w:val="en-US"/>
                </w:rPr>
                <w:t>info</w:t>
              </w:r>
            </w:hyperlink>
            <w:r w:rsidRPr="00D31577">
              <w:rPr>
                <w:szCs w:val="24"/>
              </w:rPr>
              <w:t xml:space="preserve"> </w:t>
            </w:r>
          </w:p>
          <w:p w14:paraId="135338A7" w14:textId="77777777" w:rsidR="00A4302D" w:rsidRPr="00D31577" w:rsidRDefault="00A4302D" w:rsidP="00297F86">
            <w:pPr>
              <w:pStyle w:val="af2"/>
              <w:tabs>
                <w:tab w:val="left" w:pos="1134"/>
              </w:tabs>
              <w:jc w:val="both"/>
              <w:rPr>
                <w:szCs w:val="24"/>
              </w:rPr>
            </w:pPr>
          </w:p>
          <w:p w14:paraId="7AB118F5" w14:textId="77777777" w:rsidR="00A4302D" w:rsidRPr="00D31577" w:rsidRDefault="009B74E9" w:rsidP="00297F86">
            <w:pPr>
              <w:pStyle w:val="af2"/>
              <w:tabs>
                <w:tab w:val="left" w:pos="1134"/>
              </w:tabs>
              <w:jc w:val="both"/>
              <w:rPr>
                <w:szCs w:val="24"/>
              </w:rPr>
            </w:pPr>
            <w:r w:rsidRPr="00D31577">
              <w:rPr>
                <w:szCs w:val="24"/>
              </w:rPr>
              <w:t xml:space="preserve"> </w:t>
            </w:r>
          </w:p>
        </w:tc>
        <w:tc>
          <w:tcPr>
            <w:tcW w:w="4645" w:type="dxa"/>
            <w:shd w:val="clear" w:color="FFFFFF" w:fill="FFFFFF"/>
          </w:tcPr>
          <w:p w14:paraId="77177B57" w14:textId="77777777" w:rsidR="00A4302D" w:rsidRPr="00297F86" w:rsidRDefault="009B74E9" w:rsidP="00297F86">
            <w:pPr>
              <w:jc w:val="both"/>
              <w:rPr>
                <w:sz w:val="24"/>
                <w:szCs w:val="24"/>
              </w:rPr>
            </w:pPr>
            <w:r w:rsidRPr="00297F86">
              <w:rPr>
                <w:b/>
                <w:sz w:val="24"/>
                <w:szCs w:val="24"/>
              </w:rPr>
              <w:t xml:space="preserve">Исполнитель: </w:t>
            </w:r>
          </w:p>
          <w:p w14:paraId="55E4C02C" w14:textId="77777777" w:rsidR="00A4302D" w:rsidRPr="00D31577" w:rsidRDefault="00A4302D" w:rsidP="00D315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302D" w14:paraId="5F5588D5" w14:textId="77777777">
        <w:tc>
          <w:tcPr>
            <w:tcW w:w="4927" w:type="dxa"/>
            <w:shd w:val="clear" w:color="FFFFFF" w:fill="FFFFFF"/>
          </w:tcPr>
          <w:p w14:paraId="69F513F0" w14:textId="77777777" w:rsidR="00A4302D" w:rsidRPr="00297F86" w:rsidRDefault="009B74E9" w:rsidP="00297F86">
            <w:pPr>
              <w:outlineLvl w:val="0"/>
              <w:rPr>
                <w:sz w:val="24"/>
                <w:szCs w:val="24"/>
              </w:rPr>
            </w:pPr>
            <w:r w:rsidRPr="00297F86">
              <w:rPr>
                <w:sz w:val="24"/>
                <w:szCs w:val="24"/>
              </w:rPr>
              <w:t>Директор</w:t>
            </w:r>
          </w:p>
          <w:p w14:paraId="7A0ACF8D" w14:textId="77777777" w:rsidR="00A4302D" w:rsidRPr="00297F86" w:rsidRDefault="00A4302D" w:rsidP="00297F86">
            <w:pPr>
              <w:outlineLvl w:val="0"/>
              <w:rPr>
                <w:sz w:val="24"/>
                <w:szCs w:val="24"/>
              </w:rPr>
            </w:pPr>
          </w:p>
          <w:p w14:paraId="0BC94D9C" w14:textId="77777777" w:rsidR="00A4302D" w:rsidRPr="00297F86" w:rsidRDefault="009B74E9" w:rsidP="00297F86">
            <w:pPr>
              <w:outlineLvl w:val="0"/>
              <w:rPr>
                <w:sz w:val="24"/>
                <w:szCs w:val="24"/>
              </w:rPr>
            </w:pPr>
            <w:r w:rsidRPr="00297F86">
              <w:rPr>
                <w:sz w:val="24"/>
                <w:szCs w:val="24"/>
              </w:rPr>
              <w:t>__________________М.В. Макаров</w:t>
            </w:r>
          </w:p>
          <w:p w14:paraId="44B3170A" w14:textId="77777777" w:rsidR="00A4302D" w:rsidRPr="00297F86" w:rsidRDefault="009B74E9" w:rsidP="00297F86">
            <w:pPr>
              <w:pStyle w:val="af2"/>
              <w:tabs>
                <w:tab w:val="left" w:pos="1134"/>
              </w:tabs>
              <w:jc w:val="both"/>
              <w:rPr>
                <w:szCs w:val="24"/>
              </w:rPr>
            </w:pPr>
            <w:r w:rsidRPr="00297F86">
              <w:rPr>
                <w:szCs w:val="24"/>
              </w:rPr>
              <w:t>М.П.</w:t>
            </w:r>
          </w:p>
        </w:tc>
        <w:tc>
          <w:tcPr>
            <w:tcW w:w="4645" w:type="dxa"/>
            <w:shd w:val="clear" w:color="FFFFFF" w:fill="FFFFFF"/>
          </w:tcPr>
          <w:p w14:paraId="60C78747" w14:textId="54130ACF" w:rsidR="00A4302D" w:rsidRDefault="00A4302D" w:rsidP="00297F86">
            <w:pPr>
              <w:jc w:val="center"/>
              <w:outlineLvl w:val="0"/>
              <w:rPr>
                <w:sz w:val="24"/>
                <w:szCs w:val="24"/>
              </w:rPr>
            </w:pPr>
          </w:p>
          <w:p w14:paraId="799288D4" w14:textId="77777777" w:rsidR="00D31577" w:rsidRPr="00297F86" w:rsidRDefault="00D31577" w:rsidP="00297F86">
            <w:pPr>
              <w:jc w:val="center"/>
              <w:outlineLvl w:val="0"/>
              <w:rPr>
                <w:sz w:val="24"/>
                <w:szCs w:val="24"/>
              </w:rPr>
            </w:pPr>
          </w:p>
          <w:p w14:paraId="619D881B" w14:textId="059820DC" w:rsidR="00A4302D" w:rsidRPr="00297F86" w:rsidRDefault="009B74E9" w:rsidP="00297F86">
            <w:pPr>
              <w:outlineLvl w:val="0"/>
              <w:rPr>
                <w:sz w:val="24"/>
                <w:szCs w:val="24"/>
              </w:rPr>
            </w:pPr>
            <w:r w:rsidRPr="00297F86">
              <w:rPr>
                <w:sz w:val="24"/>
                <w:szCs w:val="24"/>
              </w:rPr>
              <w:t xml:space="preserve">__________________ </w:t>
            </w:r>
          </w:p>
          <w:p w14:paraId="737B616D" w14:textId="77777777" w:rsidR="00A4302D" w:rsidRPr="00297F86" w:rsidRDefault="009B74E9" w:rsidP="00297F86">
            <w:pPr>
              <w:pStyle w:val="af2"/>
              <w:tabs>
                <w:tab w:val="left" w:pos="1134"/>
              </w:tabs>
              <w:jc w:val="both"/>
              <w:rPr>
                <w:szCs w:val="24"/>
              </w:rPr>
            </w:pPr>
            <w:r w:rsidRPr="00297F86">
              <w:rPr>
                <w:szCs w:val="24"/>
              </w:rPr>
              <w:t>М.П.</w:t>
            </w:r>
          </w:p>
        </w:tc>
      </w:tr>
    </w:tbl>
    <w:p w14:paraId="6F6F457E" w14:textId="77777777" w:rsidR="00A4302D" w:rsidRDefault="00A4302D" w:rsidP="00297F86">
      <w:pPr>
        <w:pStyle w:val="af2"/>
        <w:tabs>
          <w:tab w:val="left" w:pos="1134"/>
        </w:tabs>
        <w:ind w:right="-1"/>
        <w:jc w:val="both"/>
      </w:pPr>
    </w:p>
    <w:sectPr w:rsidR="00A4302D" w:rsidSect="00297F86">
      <w:footerReference w:type="even" r:id="rId10"/>
      <w:footerReference w:type="default" r:id="rId11"/>
      <w:footerReference w:type="first" r:id="rId12"/>
      <w:pgSz w:w="11907" w:h="16840"/>
      <w:pgMar w:top="1134" w:right="567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4004" w14:textId="77777777" w:rsidR="00A4302D" w:rsidRDefault="009B74E9">
      <w:r>
        <w:separator/>
      </w:r>
    </w:p>
  </w:endnote>
  <w:endnote w:type="continuationSeparator" w:id="0">
    <w:p w14:paraId="5FECF5C9" w14:textId="77777777" w:rsidR="00A4302D" w:rsidRDefault="009B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A444" w14:textId="77777777" w:rsidR="00A4302D" w:rsidRDefault="009B74E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1</w:t>
    </w:r>
    <w:r>
      <w:rPr>
        <w:rStyle w:val="af6"/>
      </w:rPr>
      <w:fldChar w:fldCharType="end"/>
    </w:r>
  </w:p>
  <w:p w14:paraId="1085B34D" w14:textId="77777777" w:rsidR="00A4302D" w:rsidRDefault="00A4302D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3AB9" w14:textId="77777777" w:rsidR="00A4302D" w:rsidRDefault="009B74E9">
    <w:pPr>
      <w:pStyle w:val="af4"/>
      <w:framePr w:wrap="around" w:vAnchor="text" w:hAnchor="margin" w:xAlign="right" w:y="-333"/>
      <w:rPr>
        <w:rStyle w:val="af6"/>
        <w:sz w:val="22"/>
      </w:rPr>
    </w:pPr>
    <w:r>
      <w:rPr>
        <w:rStyle w:val="af6"/>
        <w:sz w:val="22"/>
      </w:rPr>
      <w:fldChar w:fldCharType="begin"/>
    </w:r>
    <w:r>
      <w:rPr>
        <w:rStyle w:val="af6"/>
        <w:sz w:val="22"/>
      </w:rPr>
      <w:instrText xml:space="preserve">PAGE  </w:instrText>
    </w:r>
    <w:r>
      <w:rPr>
        <w:rStyle w:val="af6"/>
        <w:sz w:val="22"/>
      </w:rPr>
      <w:fldChar w:fldCharType="separate"/>
    </w:r>
    <w:r>
      <w:rPr>
        <w:rStyle w:val="af6"/>
        <w:sz w:val="22"/>
      </w:rPr>
      <w:t>1</w:t>
    </w:r>
    <w:r>
      <w:rPr>
        <w:rStyle w:val="af6"/>
        <w:sz w:val="22"/>
      </w:rPr>
      <w:fldChar w:fldCharType="end"/>
    </w:r>
  </w:p>
  <w:p w14:paraId="4EC9B4A1" w14:textId="77777777" w:rsidR="00A4302D" w:rsidRDefault="00A4302D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088F" w14:textId="77777777" w:rsidR="00A4302D" w:rsidRDefault="009B74E9">
    <w:pPr>
      <w:pStyle w:val="af4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E51E" w14:textId="77777777" w:rsidR="00A4302D" w:rsidRDefault="009B74E9">
      <w:r>
        <w:separator/>
      </w:r>
    </w:p>
  </w:footnote>
  <w:footnote w:type="continuationSeparator" w:id="0">
    <w:p w14:paraId="70701F21" w14:textId="77777777" w:rsidR="00A4302D" w:rsidRDefault="009B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D02"/>
    <w:multiLevelType w:val="hybridMultilevel"/>
    <w:tmpl w:val="3654AC76"/>
    <w:lvl w:ilvl="0" w:tplc="9ABEE438">
      <w:start w:val="1"/>
      <w:numFmt w:val="decimal"/>
      <w:lvlText w:val="8.%1."/>
      <w:lvlJc w:val="left"/>
      <w:pPr>
        <w:ind w:left="2007" w:hanging="360"/>
      </w:pPr>
      <w:rPr>
        <w:rFonts w:hint="default"/>
      </w:rPr>
    </w:lvl>
    <w:lvl w:ilvl="1" w:tplc="CDCE0A34">
      <w:start w:val="1"/>
      <w:numFmt w:val="lowerLetter"/>
      <w:lvlText w:val="%2."/>
      <w:lvlJc w:val="left"/>
      <w:pPr>
        <w:ind w:left="1440" w:hanging="360"/>
      </w:pPr>
    </w:lvl>
    <w:lvl w:ilvl="2" w:tplc="EB6A01DC">
      <w:start w:val="1"/>
      <w:numFmt w:val="lowerRoman"/>
      <w:lvlText w:val="%3."/>
      <w:lvlJc w:val="right"/>
      <w:pPr>
        <w:ind w:left="2160" w:hanging="180"/>
      </w:pPr>
    </w:lvl>
    <w:lvl w:ilvl="3" w:tplc="BCFA6E02">
      <w:start w:val="1"/>
      <w:numFmt w:val="decimal"/>
      <w:lvlText w:val="%4."/>
      <w:lvlJc w:val="left"/>
      <w:pPr>
        <w:ind w:left="2880" w:hanging="360"/>
      </w:pPr>
    </w:lvl>
    <w:lvl w:ilvl="4" w:tplc="AFAAA724">
      <w:start w:val="1"/>
      <w:numFmt w:val="lowerLetter"/>
      <w:lvlText w:val="%5."/>
      <w:lvlJc w:val="left"/>
      <w:pPr>
        <w:ind w:left="3600" w:hanging="360"/>
      </w:pPr>
    </w:lvl>
    <w:lvl w:ilvl="5" w:tplc="90A6DE34">
      <w:start w:val="1"/>
      <w:numFmt w:val="lowerRoman"/>
      <w:lvlText w:val="%6."/>
      <w:lvlJc w:val="right"/>
      <w:pPr>
        <w:ind w:left="4320" w:hanging="180"/>
      </w:pPr>
    </w:lvl>
    <w:lvl w:ilvl="6" w:tplc="3558BA1E">
      <w:start w:val="1"/>
      <w:numFmt w:val="decimal"/>
      <w:lvlText w:val="%7."/>
      <w:lvlJc w:val="left"/>
      <w:pPr>
        <w:ind w:left="5040" w:hanging="360"/>
      </w:pPr>
    </w:lvl>
    <w:lvl w:ilvl="7" w:tplc="C94E6E3A">
      <w:start w:val="1"/>
      <w:numFmt w:val="lowerLetter"/>
      <w:lvlText w:val="%8."/>
      <w:lvlJc w:val="left"/>
      <w:pPr>
        <w:ind w:left="5760" w:hanging="360"/>
      </w:pPr>
    </w:lvl>
    <w:lvl w:ilvl="8" w:tplc="4A16B2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D8C"/>
    <w:multiLevelType w:val="hybridMultilevel"/>
    <w:tmpl w:val="DD00C474"/>
    <w:lvl w:ilvl="0" w:tplc="28580B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B1478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1BA59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2B46F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CCFBD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7E5A4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36A76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42624F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ABAC26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DD44B9"/>
    <w:multiLevelType w:val="multilevel"/>
    <w:tmpl w:val="464C613C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517DC2"/>
    <w:multiLevelType w:val="multilevel"/>
    <w:tmpl w:val="AF4A3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64" w:hanging="4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BB3701"/>
    <w:multiLevelType w:val="hybridMultilevel"/>
    <w:tmpl w:val="AE929D08"/>
    <w:lvl w:ilvl="0" w:tplc="C400C93E">
      <w:start w:val="1"/>
      <w:numFmt w:val="decimal"/>
      <w:lvlText w:val="10.%1."/>
      <w:lvlJc w:val="left"/>
      <w:pPr>
        <w:ind w:left="2007" w:hanging="360"/>
      </w:pPr>
      <w:rPr>
        <w:rFonts w:hint="default"/>
      </w:rPr>
    </w:lvl>
    <w:lvl w:ilvl="1" w:tplc="E790279E">
      <w:start w:val="1"/>
      <w:numFmt w:val="lowerLetter"/>
      <w:lvlText w:val="%2."/>
      <w:lvlJc w:val="left"/>
      <w:pPr>
        <w:ind w:left="1440" w:hanging="360"/>
      </w:pPr>
    </w:lvl>
    <w:lvl w:ilvl="2" w:tplc="4F0E2D42">
      <w:start w:val="1"/>
      <w:numFmt w:val="lowerRoman"/>
      <w:lvlText w:val="%3."/>
      <w:lvlJc w:val="right"/>
      <w:pPr>
        <w:ind w:left="2160" w:hanging="180"/>
      </w:pPr>
    </w:lvl>
    <w:lvl w:ilvl="3" w:tplc="85D82AE2">
      <w:start w:val="1"/>
      <w:numFmt w:val="decimal"/>
      <w:lvlText w:val="%4."/>
      <w:lvlJc w:val="left"/>
      <w:pPr>
        <w:ind w:left="2880" w:hanging="360"/>
      </w:pPr>
    </w:lvl>
    <w:lvl w:ilvl="4" w:tplc="79B6A3BE">
      <w:start w:val="1"/>
      <w:numFmt w:val="lowerLetter"/>
      <w:lvlText w:val="%5."/>
      <w:lvlJc w:val="left"/>
      <w:pPr>
        <w:ind w:left="3600" w:hanging="360"/>
      </w:pPr>
    </w:lvl>
    <w:lvl w:ilvl="5" w:tplc="259C44FE">
      <w:start w:val="1"/>
      <w:numFmt w:val="lowerRoman"/>
      <w:lvlText w:val="%6."/>
      <w:lvlJc w:val="right"/>
      <w:pPr>
        <w:ind w:left="4320" w:hanging="180"/>
      </w:pPr>
    </w:lvl>
    <w:lvl w:ilvl="6" w:tplc="24669E24">
      <w:start w:val="1"/>
      <w:numFmt w:val="decimal"/>
      <w:lvlText w:val="%7."/>
      <w:lvlJc w:val="left"/>
      <w:pPr>
        <w:ind w:left="5040" w:hanging="360"/>
      </w:pPr>
    </w:lvl>
    <w:lvl w:ilvl="7" w:tplc="39B66832">
      <w:start w:val="1"/>
      <w:numFmt w:val="lowerLetter"/>
      <w:lvlText w:val="%8."/>
      <w:lvlJc w:val="left"/>
      <w:pPr>
        <w:ind w:left="5760" w:hanging="360"/>
      </w:pPr>
    </w:lvl>
    <w:lvl w:ilvl="8" w:tplc="E1D421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C59EE"/>
    <w:multiLevelType w:val="hybridMultilevel"/>
    <w:tmpl w:val="9CF4EDC8"/>
    <w:lvl w:ilvl="0" w:tplc="98A21C0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5369B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A728F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60CB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CE61D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B1A0C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58FB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8A6C68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B1C9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2D"/>
    <w:rsid w:val="00297F86"/>
    <w:rsid w:val="003F30E7"/>
    <w:rsid w:val="008B356F"/>
    <w:rsid w:val="009B74E9"/>
    <w:rsid w:val="00A4302D"/>
    <w:rsid w:val="00AA0037"/>
    <w:rsid w:val="00D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B6068C"/>
  <w15:docId w15:val="{8C743FE4-B598-48E7-AA12-7A478FE2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120"/>
      <w:ind w:firstLine="62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jc w:val="both"/>
      <w:outlineLvl w:val="8"/>
    </w:pPr>
    <w:rPr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1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Body Text Indent"/>
    <w:basedOn w:val="a"/>
    <w:pPr>
      <w:ind w:firstLine="720"/>
    </w:pPr>
    <w:rPr>
      <w:sz w:val="24"/>
    </w:rPr>
  </w:style>
  <w:style w:type="paragraph" w:styleId="af2">
    <w:name w:val="Body Text"/>
    <w:basedOn w:val="a"/>
    <w:link w:val="af3"/>
    <w:rPr>
      <w:sz w:val="24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styleId="af6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Pr>
      <w:sz w:val="28"/>
    </w:rPr>
  </w:style>
  <w:style w:type="character" w:customStyle="1" w:styleId="af5">
    <w:name w:val="Нижний колонтитул Знак"/>
    <w:link w:val="af4"/>
    <w:uiPriority w:val="99"/>
    <w:rPr>
      <w:sz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Pr>
      <w:sz w:val="22"/>
      <w:szCs w:val="22"/>
    </w:rPr>
  </w:style>
  <w:style w:type="character" w:customStyle="1" w:styleId="60">
    <w:name w:val="Заголовок 6 Знак"/>
    <w:link w:val="6"/>
    <w:uiPriority w:val="9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Pr>
      <w:color w:val="4F81BD"/>
      <w:sz w:val="22"/>
    </w:rPr>
  </w:style>
  <w:style w:type="character" w:customStyle="1" w:styleId="90">
    <w:name w:val="Заголовок 9 Знак"/>
    <w:link w:val="9"/>
    <w:uiPriority w:val="9"/>
    <w:rPr>
      <w:i/>
      <w:iCs/>
      <w:color w:val="404040"/>
      <w:sz w:val="22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"/>
    <w:qFormat/>
    <w:pPr>
      <w:spacing w:before="120" w:after="120" w:line="276" w:lineRule="auto"/>
      <w:jc w:val="both"/>
      <w:outlineLvl w:val="0"/>
    </w:pPr>
    <w:rPr>
      <w:sz w:val="22"/>
      <w:szCs w:val="22"/>
    </w:rPr>
  </w:style>
  <w:style w:type="paragraph" w:styleId="afc">
    <w:name w:val="Title"/>
    <w:basedOn w:val="a"/>
    <w:next w:val="a"/>
    <w:link w:val="afd"/>
    <w:uiPriority w:val="10"/>
    <w:qFormat/>
    <w:pPr>
      <w:spacing w:before="120" w:after="300"/>
      <w:ind w:firstLine="708"/>
      <w:contextualSpacing/>
      <w:jc w:val="center"/>
      <w:outlineLvl w:val="0"/>
    </w:pPr>
    <w:rPr>
      <w:b/>
      <w:spacing w:val="5"/>
      <w:szCs w:val="52"/>
    </w:rPr>
  </w:style>
  <w:style w:type="character" w:customStyle="1" w:styleId="afd">
    <w:name w:val="Заголовок Знак"/>
    <w:link w:val="afc"/>
    <w:uiPriority w:val="10"/>
    <w:rPr>
      <w:b/>
      <w:spacing w:val="5"/>
      <w:sz w:val="28"/>
      <w:szCs w:val="52"/>
    </w:rPr>
  </w:style>
  <w:style w:type="character" w:customStyle="1" w:styleId="af3">
    <w:name w:val="Основной текст Знак"/>
    <w:link w:val="af2"/>
    <w:rPr>
      <w:sz w:val="24"/>
    </w:rPr>
  </w:style>
  <w:style w:type="paragraph" w:customStyle="1" w:styleId="afe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8"/>
    </w:rPr>
  </w:style>
  <w:style w:type="paragraph" w:styleId="aff">
    <w:name w:val="No Spacing"/>
    <w:basedOn w:val="a"/>
    <w:uiPriority w:val="1"/>
    <w:qFormat/>
    <w:rPr>
      <w:sz w:val="24"/>
      <w:szCs w:val="32"/>
    </w:rPr>
  </w:style>
  <w:style w:type="character" w:customStyle="1" w:styleId="apple-converted-space">
    <w:name w:val="apple-converted-space"/>
  </w:style>
  <w:style w:type="paragraph" w:customStyle="1" w:styleId="Style7">
    <w:name w:val="Style7"/>
    <w:basedOn w:val="a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spacing w:line="274" w:lineRule="exact"/>
      <w:ind w:firstLine="562"/>
      <w:jc w:val="both"/>
    </w:pPr>
    <w:rPr>
      <w:sz w:val="24"/>
      <w:szCs w:val="24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paragraph" w:customStyle="1" w:styleId="210">
    <w:name w:val="Основной текст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  <w:rPr>
      <w:sz w:val="28"/>
    </w:rPr>
  </w:style>
  <w:style w:type="character" w:customStyle="1" w:styleId="12">
    <w:name w:val="Гиперссылка1"/>
    <w:link w:val="11"/>
    <w:rPr>
      <w:color w:val="0000FF"/>
      <w:u w:val="single"/>
    </w:rPr>
  </w:style>
  <w:style w:type="paragraph" w:customStyle="1" w:styleId="14">
    <w:name w:val="Основной текст1"/>
    <w:next w:val="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</w:rPr>
  </w:style>
  <w:style w:type="paragraph" w:styleId="aff2">
    <w:name w:val="Normal (Web)"/>
    <w:basedOn w:val="a"/>
    <w:uiPriority w:val="99"/>
    <w:semiHidden/>
    <w:unhideWhenUsed/>
    <w:rsid w:val="00297F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@mmbi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mbi@mmbi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76F2-DE82-49E2-B770-97B6C9BA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"ГЕОСЕТЬ"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Zakupki-1</dc:creator>
  <cp:lastModifiedBy>Zakupki-1</cp:lastModifiedBy>
  <cp:revision>5</cp:revision>
  <dcterms:created xsi:type="dcterms:W3CDTF">2026-06-29T13:30:00Z</dcterms:created>
  <dcterms:modified xsi:type="dcterms:W3CDTF">2026-07-02T13:20:00Z</dcterms:modified>
</cp:coreProperties>
</file>