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оставк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оптических дисков (в сфере ИКТ)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11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Наименование объекта закупки: </w:t>
      </w:r>
      <w:r>
        <w:rPr>
          <w:sz w:val="28"/>
          <w:szCs w:val="28"/>
        </w:rPr>
        <w:t xml:space="preserve">Поставка оптических дисков (в сфере ИКТ)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11" w:leader="none"/>
        </w:tabs>
        <w:rPr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Наименование товара, работы, услуги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(в соответствии с КТРУ</w:t>
      </w:r>
      <w:r>
        <w:rPr>
          <w:b/>
          <w:sz w:val="28"/>
          <w:szCs w:val="28"/>
          <w:shd w:val="clear" w:color="auto" w:fill="ffffff"/>
        </w:rPr>
        <w:t xml:space="preserve">): </w:t>
      </w:r>
      <w:r>
        <w:rPr>
          <w:sz w:val="28"/>
          <w:szCs w:val="28"/>
        </w:rPr>
        <w:t xml:space="preserve">Диск оптический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26.80.12.000-00000011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color w:val="000000"/>
          <w:sz w:val="27"/>
          <w:szCs w:val="27"/>
          <w:shd w:val="clear" w:color="auto" w:fill="ffffff"/>
        </w:rPr>
      </w:r>
    </w:p>
    <w:p>
      <w:pPr>
        <w:ind w:firstLine="709"/>
        <w:shd w:val="clear" w:color="auto" w:fill="ffffff"/>
        <w:tabs>
          <w:tab w:val="left" w:pos="511" w:leader="none"/>
        </w:tabs>
        <w:rPr>
          <w:sz w:val="27"/>
          <w:szCs w:val="27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Единицы измерения количества товара, объема выполняемой работы, оказываемой услуги (в соответствии с КТРУ): </w:t>
      </w:r>
      <w:r>
        <w:rPr>
          <w:color w:val="000000"/>
          <w:sz w:val="28"/>
          <w:szCs w:val="28"/>
          <w:shd w:val="clear" w:color="auto" w:fill="ffffff"/>
        </w:rPr>
        <w:t xml:space="preserve">Штука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sz w:val="27"/>
          <w:szCs w:val="27"/>
        </w:rPr>
      </w:r>
    </w:p>
    <w:p>
      <w:pPr>
        <w:pStyle w:val="899"/>
        <w:numPr>
          <w:ilvl w:val="0"/>
          <w:numId w:val="4"/>
        </w:numPr>
        <w:shd w:val="clear" w:color="auto" w:fill="ffffff"/>
        <w:tabs>
          <w:tab w:val="left" w:pos="51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объекта закупки:</w:t>
      </w:r>
      <w:r>
        <w:rPr>
          <w:b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511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товара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Диск оптический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511" w:leader="none"/>
        </w:tabs>
        <w:rPr>
          <w:rFonts w:eastAsia="PT Astra Serif"/>
          <w:b/>
          <w:color w:val="000000"/>
          <w:sz w:val="28"/>
          <w:szCs w:val="28"/>
        </w:rPr>
      </w:pPr>
      <w:r>
        <w:rPr>
          <w:rFonts w:eastAsia="PT Astra Serif"/>
          <w:b/>
          <w:color w:val="000000"/>
          <w:sz w:val="28"/>
          <w:szCs w:val="28"/>
        </w:rPr>
        <w:t xml:space="preserve">Страна производитель</w:t>
      </w:r>
      <w:r>
        <w:rPr>
          <w:rFonts w:eastAsia="PT Astra Serif"/>
          <w:color w:val="000000"/>
          <w:sz w:val="28"/>
          <w:szCs w:val="28"/>
        </w:rPr>
        <w:t xml:space="preserve">:</w:t>
      </w:r>
      <w:r>
        <w:rPr>
          <w:rFonts w:eastAsia="PT Astra Serif"/>
          <w:color w:val="000000"/>
          <w:sz w:val="28"/>
          <w:szCs w:val="28"/>
        </w:rPr>
        <w:t xml:space="preserve"> </w:t>
      </w:r>
      <w:r>
        <w:rPr>
          <w:rFonts w:eastAsia="PT Astra Serif"/>
          <w:color w:val="000000"/>
          <w:sz w:val="28"/>
          <w:szCs w:val="28"/>
        </w:rPr>
        <w:t xml:space="preserve">Российская Федерация</w:t>
      </w:r>
      <w:r>
        <w:rPr>
          <w:rFonts w:eastAsia="PT Astra Serif"/>
          <w:color w:val="000000"/>
          <w:sz w:val="28"/>
          <w:szCs w:val="28"/>
        </w:rPr>
        <w:t xml:space="preserve">;</w:t>
      </w:r>
      <w:r>
        <w:rPr>
          <w:rFonts w:eastAsia="PT Astra Serif"/>
          <w:b/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511" w:leader="none"/>
        </w:tabs>
        <w:rPr>
          <w:rFonts w:eastAsia="PT Astra Serif"/>
          <w:sz w:val="28"/>
          <w:szCs w:val="28"/>
        </w:rPr>
      </w:pPr>
      <w:r>
        <w:rPr>
          <w:rFonts w:eastAsia="PT Astra Serif"/>
          <w:b/>
          <w:sz w:val="28"/>
          <w:szCs w:val="28"/>
        </w:rPr>
        <w:t xml:space="preserve">Количество</w:t>
      </w:r>
      <w:r>
        <w:rPr>
          <w:rFonts w:eastAsia="PT Astra Serif"/>
          <w:sz w:val="28"/>
          <w:szCs w:val="28"/>
        </w:rPr>
        <w:t xml:space="preserve">, Штука: </w:t>
      </w:r>
      <w:r>
        <w:rPr>
          <w:rFonts w:eastAsia="PT Astra Serif"/>
          <w:sz w:val="28"/>
          <w:szCs w:val="28"/>
        </w:rPr>
        <w:t xml:space="preserve">1000</w:t>
      </w:r>
      <w:r>
        <w:rPr>
          <w:rFonts w:eastAsia="PT Astra Serif"/>
          <w:sz w:val="28"/>
          <w:szCs w:val="28"/>
        </w:rPr>
        <w:t xml:space="preserve">;</w:t>
      </w:r>
      <w:r>
        <w:rPr>
          <w:rFonts w:eastAsia="PT Astra Serif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511" w:leader="none"/>
        </w:tabs>
        <w:rPr>
          <w:rFonts w:eastAsia="PT Astra Serif"/>
          <w:b/>
          <w:sz w:val="28"/>
          <w:szCs w:val="28"/>
        </w:rPr>
      </w:pPr>
      <w:r>
        <w:rPr>
          <w:rFonts w:eastAsia="PT Astra Serif"/>
          <w:b/>
          <w:sz w:val="28"/>
          <w:szCs w:val="28"/>
        </w:rPr>
        <w:t xml:space="preserve">Характеристики (</w:t>
      </w:r>
      <w:r>
        <w:rPr>
          <w:rFonts w:eastAsia="PT Astra Serif"/>
          <w:b/>
          <w:bCs/>
          <w:sz w:val="28"/>
          <w:szCs w:val="28"/>
        </w:rPr>
        <w:t xml:space="preserve">функциональные, технические и качественные</w:t>
      </w:r>
      <w:r>
        <w:rPr>
          <w:rFonts w:eastAsia="PT Astra Serif"/>
          <w:b/>
          <w:sz w:val="28"/>
          <w:szCs w:val="28"/>
        </w:rPr>
        <w:t xml:space="preserve">):</w:t>
      </w:r>
      <w:r>
        <w:rPr>
          <w:rFonts w:eastAsia="PT Astra Serif"/>
          <w:b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511" w:leader="none"/>
        </w:tabs>
        <w:rPr>
          <w:rFonts w:eastAsia="PT Astra Serif"/>
          <w:b/>
          <w:sz w:val="28"/>
          <w:szCs w:val="28"/>
        </w:rPr>
      </w:pPr>
      <w:r>
        <w:rPr>
          <w:rFonts w:eastAsia="PT Astra Serif"/>
          <w:b/>
          <w:sz w:val="28"/>
          <w:szCs w:val="28"/>
        </w:rPr>
      </w:r>
      <w:r>
        <w:rPr>
          <w:rFonts w:eastAsia="PT Astra Serif"/>
          <w:b/>
          <w:sz w:val="28"/>
          <w:szCs w:val="28"/>
        </w:rPr>
      </w:r>
    </w:p>
    <w:tbl>
      <w:tblPr>
        <w:tblStyle w:val="882"/>
        <w:tblW w:w="9918" w:type="dxa"/>
        <w:tblLook w:val="04A0" w:firstRow="1" w:lastRow="0" w:firstColumn="1" w:lastColumn="0" w:noHBand="0" w:noVBand="1"/>
      </w:tblPr>
      <w:tblGrid>
        <w:gridCol w:w="5058"/>
        <w:gridCol w:w="2598"/>
        <w:gridCol w:w="2262"/>
      </w:tblGrid>
      <w:tr>
        <w:tblPrEx/>
        <w:trPr>
          <w:tblHeader/>
        </w:trPr>
        <w:tc>
          <w:tcPr>
            <w:tcW w:w="50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11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характеристики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11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Значение характеристики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11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характеристики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05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носителя</w:t>
            </w: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DVD+R</w:t>
            </w: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5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Емкость</w:t>
            </w: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</w:t>
            </w: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Гигабайт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5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Скорость записи</w:t>
            </w: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16х</w:t>
            </w: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</w:r>
    </w:p>
    <w:p>
      <w:pPr>
        <w:ind w:firstLine="709"/>
        <w:jc w:val="both"/>
        <w:spacing w:line="336" w:lineRule="auto"/>
        <w:widowControl w:val="off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Поставляемый товар должен соответствовать требованиям, установленным Контрактом.</w:t>
      </w:r>
      <w:r>
        <w:rPr>
          <w:rFonts w:cs="Arial"/>
          <w:sz w:val="28"/>
          <w:szCs w:val="28"/>
        </w:rPr>
      </w:r>
    </w:p>
    <w:p>
      <w:pPr>
        <w:ind w:firstLine="709"/>
        <w:jc w:val="both"/>
        <w:spacing w:line="33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Поставляемый товар должен удовлетворять требованиям безопасности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>
        <w:rPr>
          <w:rFonts w:cs="Arial"/>
          <w:sz w:val="28"/>
          <w:szCs w:val="28"/>
        </w:rPr>
      </w:r>
    </w:p>
    <w:p>
      <w:pPr>
        <w:ind w:firstLine="709"/>
        <w:jc w:val="both"/>
        <w:spacing w:line="33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cs="Arial"/>
          <w:sz w:val="28"/>
          <w:szCs w:val="28"/>
        </w:rPr>
      </w:r>
    </w:p>
    <w:p>
      <w:pPr>
        <w:ind w:firstLine="709"/>
        <w:jc w:val="both"/>
        <w:spacing w:line="33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Товар должен быть упакован и замаркирован в соответствии с действующими стандартами.</w:t>
      </w:r>
      <w:r>
        <w:rPr>
          <w:rFonts w:cs="Arial"/>
          <w:sz w:val="28"/>
          <w:szCs w:val="28"/>
        </w:rPr>
      </w:r>
    </w:p>
    <w:p>
      <w:pPr>
        <w:ind w:firstLine="709"/>
        <w:jc w:val="both"/>
        <w:spacing w:line="33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rFonts w:cs="Arial"/>
          <w:sz w:val="28"/>
          <w:szCs w:val="28"/>
        </w:rPr>
      </w:r>
    </w:p>
    <w:p>
      <w:pPr>
        <w:ind w:firstLine="709"/>
        <w:jc w:val="both"/>
        <w:spacing w:line="33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Поставщик поставляет товар в у</w:t>
      </w:r>
      <w:r>
        <w:rPr>
          <w:rFonts w:cs="Arial"/>
          <w:sz w:val="28"/>
          <w:szCs w:val="28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cs="Arial"/>
          <w:sz w:val="28"/>
          <w:szCs w:val="28"/>
        </w:rPr>
      </w:r>
    </w:p>
    <w:p>
      <w:pPr>
        <w:ind w:firstLine="709"/>
        <w:jc w:val="both"/>
        <w:spacing w:line="33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Товар при использовании его по назначению, а также при обычных условиях хранения и транспортировки, не должен причинять вред имуществу заказчика и здоровью его сотрудников.</w:t>
      </w:r>
      <w:r>
        <w:rPr>
          <w:bCs/>
          <w:sz w:val="28"/>
          <w:szCs w:val="28"/>
        </w:rPr>
      </w:r>
    </w:p>
    <w:p>
      <w:pPr>
        <w:ind w:firstLine="709"/>
        <w:jc w:val="both"/>
        <w:spacing w:line="33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Каждая единица поставляемого товара должна быть упакована отдельно в стандартную упаковку производителя таким образом, чтобы исключить повреждение или уничтожение товара во время хранения, погрузки, доставки и разгрузки у Заказчика. </w:t>
      </w:r>
      <w:r>
        <w:rPr>
          <w:sz w:val="28"/>
          <w:szCs w:val="28"/>
        </w:rPr>
      </w:r>
    </w:p>
    <w:p>
      <w:pPr>
        <w:ind w:firstLine="709"/>
        <w:jc w:val="both"/>
        <w:spacing w:line="336" w:lineRule="auto"/>
        <w:widowControl w:val="off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Требования к гарантии качества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товара, работы, услуги, а также требования к гарантийному сроку и (или) объему предоставления гарантий их качества, к га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 (предоставление такой гарантии осуществляется вместе с товаром).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Гарантийный срок на поставляемый Товар - </w:t>
      </w: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не менее </w:t>
      </w: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12</w:t>
      </w: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 (двенадцати) месяцев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 даты подписания Заказчиком документа о приемке поставленного товара, но не менее гарантийного срока завода-производителя.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567"/>
        <w:jc w:val="both"/>
        <w:spacing w:line="336" w:lineRule="auto"/>
        <w:widowControl w:val="off"/>
        <w:tabs>
          <w:tab w:val="left" w:pos="0" w:leader="none"/>
        </w:tabs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2. Место доставки товара: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163000,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Архангельская обл.,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г. Архангельск, ул. Садовая, дом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5, корп. 1.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567"/>
        <w:jc w:val="both"/>
        <w:spacing w:line="336" w:lineRule="auto"/>
        <w:widowControl w:val="off"/>
        <w:tabs>
          <w:tab w:val="left" w:pos="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3. Сроки поставки товара:</w:t>
      </w:r>
      <w:r>
        <w:rPr>
          <w:rFonts w:ascii="PT Astra Serif" w:hAnsi="PT Astra Serif" w:eastAsia="PT Astra Serif" w:cs="PT Astra Serif"/>
          <w:b/>
          <w:i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одной партией в течение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15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пятнадцати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календарных дней с даты заключения контракта.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67"/>
        <w:jc w:val="both"/>
        <w:spacing w:line="336" w:lineRule="auto"/>
        <w:tabs>
          <w:tab w:val="left" w:pos="0" w:leader="none"/>
          <w:tab w:val="left" w:pos="1134" w:leader="none"/>
        </w:tabs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4. Условия исполнения государственного контракта (далее –Контракт):</w:t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567"/>
        <w:jc w:val="both"/>
        <w:spacing w:line="336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Срок оплаты поставленного товара: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8"/>
        <w:ind w:firstLine="567"/>
        <w:jc w:val="both"/>
        <w:spacing w:line="336" w:lineRule="auto"/>
        <w:tabs>
          <w:tab w:val="left" w:pos="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Расчеты между Заказчиком и Поставщиком производятся не позднее 7 (семи) рабочих дней с даты подписания Заказчиком документа о приемке. </w:t>
      </w:r>
      <w:r>
        <w:rPr>
          <w:rFonts w:ascii="PT Astra Serif" w:hAnsi="PT Astra Serif" w:cs="PT Astra Serif"/>
        </w:rPr>
      </w:r>
    </w:p>
    <w:p>
      <w:pPr>
        <w:pStyle w:val="898"/>
        <w:ind w:firstLine="567"/>
        <w:jc w:val="both"/>
        <w:spacing w:line="336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случае, если в период исполнения Контракта в ведомственную программу цифровой трансформации Федеральной службы государственн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ой регистрации, кадастра и картографии на очередной финансовый 2026 год и плановый период 2027 - 2028 годов (далее – ведомственная программа цифровой трансформации) будут внесены изменения, в результате которых мероприятие по информатизации (далее – МПИ)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Эксплуатация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объекта учета АРМ ТО» будут исключено из данной программы, оплата Заказчиком по Контракту приостанавливается и осуществляется не позднее 7 (семи) рабочих дней с даты внесения указанного МПИ в ведомственную программу цифровой трансформации.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line="336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Форм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ирование цены поставляемого товара: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цена Контракта включает в себя: стоимость Товара, расходы, связа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bookmarkStart w:id="0" w:name="P1459"/>
      <w:r/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1" w:tooltip="consultantplus://offline/ref=782E9CC4CCC6932545801925E3B536176E50B53C1FD70BD7655CABC93DB89C27024180C10398FB96372E7F1F5737VEP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законом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и Контрактом.</w:t>
      </w:r>
      <w:bookmarkStart w:id="1" w:name="undefined"/>
      <w:r/>
      <w:bookmarkEnd w:id="1"/>
      <w:r/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720"/>
        <w:shd w:val="clear" w:color="auto" w:fill="ffffff"/>
        <w:widowControl w:val="off"/>
        <w:tabs>
          <w:tab w:val="left" w:pos="511" w:leader="none"/>
        </w:tabs>
        <w:rPr>
          <w:rFonts w:ascii="PT Astra Serif" w:hAnsi="PT Astra Serif" w:eastAsia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5. Способ определения Поставщика –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закупка у единственного поставщика</w:t>
      </w:r>
      <w:bookmarkStart w:id="2" w:name="_GoBack"/>
      <w:r/>
      <w:bookmarkEnd w:id="2"/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253"/>
        <w:gridCol w:w="5670"/>
      </w:tblGrid>
      <w:tr>
        <w:tblPrEx/>
        <w:trPr>
          <w:cantSplit/>
        </w:trPr>
        <w:tc>
          <w:tcPr>
            <w:tcW w:w="4253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</w:t>
            </w:r>
            <w:r>
              <w:rPr>
                <w:sz w:val="28"/>
              </w:rPr>
              <w:t xml:space="preserve">ачальник отдела эксплуатации информационных систем, технических средств и каналов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vAlign w:val="bottom"/>
            <w:textDirection w:val="lrTb"/>
            <w:noWrap w:val="false"/>
          </w:tcPr>
          <w:p>
            <w:pPr>
              <w:pStyle w:val="876"/>
              <w:ind w:right="-10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 xml:space="preserve">Давыдов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after="720" w:line="360" w:lineRule="auto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851" w:bottom="1134" w:left="1134" w:header="567" w:footer="39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NewRomanPSMT">
    <w:panose1 w:val="02000603000000000000"/>
  </w:font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8812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02"/>
    <w:link w:val="69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02"/>
    <w:link w:val="694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02"/>
    <w:link w:val="69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02"/>
    <w:link w:val="69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02"/>
    <w:link w:val="69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02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02"/>
    <w:link w:val="69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02"/>
    <w:link w:val="70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02"/>
    <w:link w:val="7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02"/>
    <w:link w:val="715"/>
    <w:uiPriority w:val="10"/>
    <w:rPr>
      <w:sz w:val="48"/>
      <w:szCs w:val="48"/>
    </w:rPr>
  </w:style>
  <w:style w:type="character" w:styleId="38">
    <w:name w:val="Subtitle Char"/>
    <w:basedOn w:val="702"/>
    <w:link w:val="717"/>
    <w:uiPriority w:val="11"/>
    <w:rPr>
      <w:sz w:val="24"/>
      <w:szCs w:val="24"/>
    </w:rPr>
  </w:style>
  <w:style w:type="character" w:styleId="40">
    <w:name w:val="Quote Char"/>
    <w:link w:val="719"/>
    <w:uiPriority w:val="29"/>
    <w:rPr>
      <w:i/>
    </w:rPr>
  </w:style>
  <w:style w:type="character" w:styleId="42">
    <w:name w:val="Intense Quote Char"/>
    <w:link w:val="721"/>
    <w:uiPriority w:val="30"/>
    <w:rPr>
      <w:i/>
    </w:rPr>
  </w:style>
  <w:style w:type="character" w:styleId="180">
    <w:name w:val="Endnote Text Char"/>
    <w:link w:val="854"/>
    <w:uiPriority w:val="99"/>
    <w:rPr>
      <w:sz w:val="20"/>
    </w:rPr>
  </w:style>
  <w:style w:type="paragraph" w:styleId="692" w:default="1">
    <w:name w:val="Normal"/>
    <w:qFormat/>
    <w:rPr>
      <w:rFonts w:ascii="Times New Roman" w:hAnsi="Times New Roman"/>
    </w:rPr>
  </w:style>
  <w:style w:type="paragraph" w:styleId="693">
    <w:name w:val="Heading 1"/>
    <w:basedOn w:val="692"/>
    <w:next w:val="69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</w:style>
  <w:style w:type="paragraph" w:styleId="715">
    <w:name w:val="Title"/>
    <w:basedOn w:val="692"/>
    <w:next w:val="69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 w:customStyle="1">
    <w:name w:val="Заголовок Знак"/>
    <w:basedOn w:val="702"/>
    <w:link w:val="715"/>
    <w:uiPriority w:val="10"/>
    <w:rPr>
      <w:sz w:val="48"/>
      <w:szCs w:val="48"/>
    </w:rPr>
  </w:style>
  <w:style w:type="paragraph" w:styleId="717">
    <w:name w:val="Subtitle"/>
    <w:basedOn w:val="692"/>
    <w:next w:val="69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 w:customStyle="1">
    <w:name w:val="Подзаголовок Знак"/>
    <w:basedOn w:val="702"/>
    <w:link w:val="717"/>
    <w:uiPriority w:val="11"/>
    <w:rPr>
      <w:sz w:val="24"/>
      <w:szCs w:val="24"/>
    </w:rPr>
  </w:style>
  <w:style w:type="paragraph" w:styleId="719">
    <w:name w:val="Quote"/>
    <w:basedOn w:val="692"/>
    <w:next w:val="692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2"/>
    <w:next w:val="692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character" w:styleId="723" w:customStyle="1">
    <w:name w:val="Header Char"/>
    <w:basedOn w:val="702"/>
    <w:uiPriority w:val="99"/>
  </w:style>
  <w:style w:type="character" w:styleId="724" w:customStyle="1">
    <w:name w:val="Footer Char"/>
    <w:basedOn w:val="702"/>
    <w:uiPriority w:val="99"/>
  </w:style>
  <w:style w:type="paragraph" w:styleId="725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uiPriority w:val="99"/>
  </w:style>
  <w:style w:type="table" w:styleId="727" w:customStyle="1">
    <w:name w:val="Table Grid Light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70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70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70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70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70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>
    <w:name w:val="Grid Table 5 Dark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70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70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70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>
    <w:name w:val="Grid Table 7 Colorful"/>
    <w:basedOn w:val="7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70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70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70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0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>
    <w:name w:val="List Table 7 Colorful"/>
    <w:basedOn w:val="7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70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70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70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70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70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70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70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70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70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70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70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70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7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character" w:styleId="853" w:customStyle="1">
    <w:name w:val="Footnote Text Char"/>
    <w:uiPriority w:val="99"/>
    <w:rPr>
      <w:sz w:val="18"/>
    </w:rPr>
  </w:style>
  <w:style w:type="paragraph" w:styleId="854">
    <w:name w:val="endnote text"/>
    <w:basedOn w:val="692"/>
    <w:link w:val="855"/>
    <w:uiPriority w:val="99"/>
    <w:semiHidden/>
    <w:unhideWhenUsed/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702"/>
    <w:uiPriority w:val="99"/>
    <w:semiHidden/>
    <w:unhideWhenUsed/>
    <w:rPr>
      <w:vertAlign w:val="superscript"/>
    </w:rPr>
  </w:style>
  <w:style w:type="paragraph" w:styleId="857">
    <w:name w:val="toc 1"/>
    <w:basedOn w:val="692"/>
    <w:next w:val="692"/>
    <w:uiPriority w:val="39"/>
    <w:unhideWhenUsed/>
    <w:pPr>
      <w:spacing w:after="57"/>
    </w:pPr>
  </w:style>
  <w:style w:type="paragraph" w:styleId="858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59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0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1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2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3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64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65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92"/>
    <w:next w:val="692"/>
    <w:uiPriority w:val="99"/>
    <w:unhideWhenUsed/>
  </w:style>
  <w:style w:type="paragraph" w:styleId="868">
    <w:name w:val="Header"/>
    <w:basedOn w:val="692"/>
    <w:link w:val="869"/>
    <w:uiPriority w:val="99"/>
    <w:pPr>
      <w:tabs>
        <w:tab w:val="center" w:pos="4153" w:leader="none"/>
        <w:tab w:val="right" w:pos="8306" w:leader="none"/>
      </w:tabs>
    </w:pPr>
  </w:style>
  <w:style w:type="character" w:styleId="869" w:customStyle="1">
    <w:name w:val="Верхний колонтитул Знак"/>
    <w:basedOn w:val="702"/>
    <w:link w:val="868"/>
    <w:uiPriority w:val="99"/>
    <w:rPr>
      <w:rFonts w:ascii="Times New Roman" w:hAnsi="Times New Roman" w:cs="Times New Roman"/>
      <w:sz w:val="20"/>
      <w:szCs w:val="20"/>
    </w:rPr>
  </w:style>
  <w:style w:type="paragraph" w:styleId="870">
    <w:name w:val="Footer"/>
    <w:basedOn w:val="692"/>
    <w:link w:val="871"/>
    <w:uiPriority w:val="99"/>
    <w:pPr>
      <w:tabs>
        <w:tab w:val="center" w:pos="4153" w:leader="none"/>
        <w:tab w:val="right" w:pos="8306" w:leader="none"/>
      </w:tabs>
    </w:pPr>
  </w:style>
  <w:style w:type="character" w:styleId="871" w:customStyle="1">
    <w:name w:val="Нижний колонтитул Знак"/>
    <w:basedOn w:val="702"/>
    <w:link w:val="87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72">
    <w:name w:val="footnote text"/>
    <w:basedOn w:val="692"/>
    <w:link w:val="873"/>
    <w:uiPriority w:val="99"/>
  </w:style>
  <w:style w:type="character" w:styleId="873" w:customStyle="1">
    <w:name w:val="Текст сноски Знак"/>
    <w:basedOn w:val="702"/>
    <w:link w:val="872"/>
    <w:uiPriority w:val="99"/>
    <w:semiHidden/>
    <w:rPr>
      <w:rFonts w:ascii="Times New Roman" w:hAnsi="Times New Roman" w:cs="Times New Roman"/>
      <w:sz w:val="20"/>
      <w:szCs w:val="20"/>
    </w:rPr>
  </w:style>
  <w:style w:type="character" w:styleId="874">
    <w:name w:val="footnote reference"/>
    <w:basedOn w:val="702"/>
    <w:uiPriority w:val="99"/>
    <w:rPr>
      <w:rFonts w:cs="Times New Roman"/>
      <w:vertAlign w:val="superscript"/>
    </w:rPr>
  </w:style>
  <w:style w:type="character" w:styleId="875">
    <w:name w:val="annotation reference"/>
    <w:basedOn w:val="702"/>
    <w:uiPriority w:val="99"/>
    <w:semiHidden/>
    <w:unhideWhenUsed/>
    <w:rPr>
      <w:rFonts w:cs="Times New Roman"/>
      <w:sz w:val="16"/>
      <w:szCs w:val="16"/>
    </w:rPr>
  </w:style>
  <w:style w:type="paragraph" w:styleId="876">
    <w:name w:val="annotation text"/>
    <w:basedOn w:val="692"/>
    <w:link w:val="877"/>
    <w:unhideWhenUsed/>
  </w:style>
  <w:style w:type="character" w:styleId="877" w:customStyle="1">
    <w:name w:val="Текст примечания Знак"/>
    <w:basedOn w:val="702"/>
    <w:link w:val="876"/>
    <w:rPr>
      <w:rFonts w:ascii="Times New Roman" w:hAnsi="Times New Roman" w:cs="Times New Roman"/>
      <w:sz w:val="20"/>
      <w:szCs w:val="20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basedOn w:val="877"/>
    <w:link w:val="878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880">
    <w:name w:val="Balloon Text"/>
    <w:basedOn w:val="692"/>
    <w:link w:val="88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702"/>
    <w:link w:val="880"/>
    <w:uiPriority w:val="99"/>
    <w:semiHidden/>
    <w:rPr>
      <w:rFonts w:ascii="Segoe UI" w:hAnsi="Segoe UI" w:cs="Segoe UI"/>
      <w:sz w:val="18"/>
      <w:szCs w:val="18"/>
    </w:rPr>
  </w:style>
  <w:style w:type="table" w:styleId="882">
    <w:name w:val="Table Grid"/>
    <w:basedOn w:val="70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3" w:customStyle="1">
    <w:name w:val="Основной текст (4) Exact"/>
    <w:rPr>
      <w:rFonts w:ascii="Times New Roman" w:hAnsi="Times New Roman"/>
      <w:u w:val="none"/>
    </w:rPr>
  </w:style>
  <w:style w:type="character" w:styleId="884" w:customStyle="1">
    <w:name w:val="Основной текст (4)_"/>
    <w:link w:val="885"/>
    <w:rPr>
      <w:rFonts w:ascii="Times New Roman" w:hAnsi="Times New Roman"/>
      <w:shd w:val="clear" w:color="auto" w:fill="ffffff"/>
    </w:rPr>
  </w:style>
  <w:style w:type="paragraph" w:styleId="885" w:customStyle="1">
    <w:name w:val="Основной текст (4)"/>
    <w:basedOn w:val="692"/>
    <w:link w:val="884"/>
    <w:pPr>
      <w:jc w:val="both"/>
      <w:spacing w:line="274" w:lineRule="exact"/>
      <w:shd w:val="clear" w:color="auto" w:fill="ffffff"/>
      <w:widowControl w:val="off"/>
    </w:pPr>
  </w:style>
  <w:style w:type="character" w:styleId="886" w:customStyle="1">
    <w:name w:val="Основной текст (2)_"/>
    <w:link w:val="889"/>
    <w:rPr>
      <w:rFonts w:ascii="Times New Roman" w:hAnsi="Times New Roman"/>
      <w:sz w:val="26"/>
      <w:shd w:val="clear" w:color="auto" w:fill="ffffff"/>
    </w:rPr>
  </w:style>
  <w:style w:type="character" w:styleId="887" w:customStyle="1">
    <w:name w:val="Основной текст (2) + 9"/>
    <w:rPr>
      <w:rFonts w:ascii="Times New Roman" w:hAnsi="Times New Roman"/>
      <w:color w:val="000000"/>
      <w:spacing w:val="0"/>
      <w:position w:val="0"/>
      <w:sz w:val="19"/>
      <w:u w:val="none"/>
      <w:lang w:val="ru-RU" w:eastAsia="ru-RU"/>
    </w:rPr>
  </w:style>
  <w:style w:type="character" w:styleId="888" w:customStyle="1">
    <w:name w:val="Основной текст (2) + 91"/>
    <w:rPr>
      <w:rFonts w:ascii="Times New Roman" w:hAnsi="Times New Roman"/>
      <w:i/>
      <w:color w:val="000000"/>
      <w:spacing w:val="0"/>
      <w:position w:val="0"/>
      <w:sz w:val="19"/>
      <w:u w:val="none"/>
      <w:lang w:val="ru-RU" w:eastAsia="ru-RU"/>
    </w:rPr>
  </w:style>
  <w:style w:type="paragraph" w:styleId="889" w:customStyle="1">
    <w:name w:val="Основной текст (2)"/>
    <w:basedOn w:val="692"/>
    <w:link w:val="886"/>
    <w:pPr>
      <w:ind w:hanging="360"/>
      <w:spacing w:line="240" w:lineRule="atLeast"/>
      <w:shd w:val="clear" w:color="auto" w:fill="ffffff"/>
      <w:widowControl w:val="off"/>
    </w:pPr>
    <w:rPr>
      <w:sz w:val="26"/>
    </w:rPr>
  </w:style>
  <w:style w:type="character" w:styleId="890" w:customStyle="1">
    <w:name w:val="Основной текст (2) + 11 pt"/>
    <w:rPr>
      <w:rFonts w:ascii="Times New Roman" w:hAnsi="Times New Roman"/>
      <w:b/>
      <w:color w:val="000000"/>
      <w:spacing w:val="-10"/>
      <w:position w:val="0"/>
      <w:sz w:val="22"/>
      <w:u w:val="none"/>
      <w:shd w:val="clear" w:color="auto" w:fill="ffffff"/>
      <w:lang w:val="ru-RU" w:eastAsia="ru-RU"/>
    </w:rPr>
  </w:style>
  <w:style w:type="paragraph" w:styleId="891" w:customStyle="1">
    <w:name w:val="formattext"/>
    <w:basedOn w:val="692"/>
    <w:pPr>
      <w:spacing w:before="100" w:beforeAutospacing="1" w:after="100" w:afterAutospacing="1"/>
    </w:pPr>
    <w:rPr>
      <w:sz w:val="24"/>
      <w:szCs w:val="24"/>
    </w:rPr>
  </w:style>
  <w:style w:type="paragraph" w:styleId="892">
    <w:name w:val="Body Text"/>
    <w:basedOn w:val="692"/>
    <w:link w:val="893"/>
    <w:pPr>
      <w:jc w:val="both"/>
    </w:pPr>
    <w:rPr>
      <w:sz w:val="28"/>
      <w:szCs w:val="24"/>
    </w:rPr>
  </w:style>
  <w:style w:type="character" w:styleId="893" w:customStyle="1">
    <w:name w:val="Основной текст Знак"/>
    <w:basedOn w:val="702"/>
    <w:link w:val="892"/>
    <w:rPr>
      <w:rFonts w:ascii="Times New Roman" w:hAnsi="Times New Roman" w:eastAsia="Times New Roman"/>
      <w:sz w:val="28"/>
      <w:szCs w:val="24"/>
    </w:rPr>
  </w:style>
  <w:style w:type="paragraph" w:styleId="894">
    <w:name w:val="Body Text 2"/>
    <w:basedOn w:val="692"/>
    <w:link w:val="895"/>
    <w:uiPriority w:val="99"/>
    <w:pPr>
      <w:spacing w:after="120" w:line="480" w:lineRule="auto"/>
    </w:pPr>
    <w:rPr>
      <w:sz w:val="24"/>
      <w:szCs w:val="24"/>
    </w:rPr>
  </w:style>
  <w:style w:type="character" w:styleId="895" w:customStyle="1">
    <w:name w:val="Основной текст 2 Знак"/>
    <w:basedOn w:val="702"/>
    <w:link w:val="894"/>
    <w:uiPriority w:val="99"/>
    <w:rPr>
      <w:rFonts w:ascii="Times New Roman" w:hAnsi="Times New Roman" w:eastAsia="Times New Roman"/>
      <w:sz w:val="24"/>
      <w:szCs w:val="24"/>
    </w:rPr>
  </w:style>
  <w:style w:type="paragraph" w:styleId="896" w:customStyle="1">
    <w:name w:val="ConsPlusNormal"/>
    <w:link w:val="897"/>
    <w:uiPriority w:val="99"/>
    <w:rPr>
      <w:rFonts w:ascii="Arial" w:hAnsi="Arial" w:cs="Arial"/>
    </w:rPr>
  </w:style>
  <w:style w:type="character" w:styleId="897" w:customStyle="1">
    <w:name w:val="ConsPlusNormal Знак"/>
    <w:link w:val="896"/>
    <w:uiPriority w:val="99"/>
    <w:rPr>
      <w:rFonts w:ascii="Arial" w:hAnsi="Arial" w:cs="Arial"/>
    </w:rPr>
  </w:style>
  <w:style w:type="paragraph" w:styleId="89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9">
    <w:name w:val="List Paragraph"/>
    <w:basedOn w:val="692"/>
    <w:uiPriority w:val="34"/>
    <w:qFormat/>
    <w:pPr>
      <w:contextualSpacing/>
      <w:ind w:left="720"/>
    </w:pPr>
  </w:style>
  <w:style w:type="paragraph" w:styleId="900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1" w:customStyle="1">
    <w:name w:val="fontstyle01"/>
    <w:basedOn w:val="897"/>
    <w:rPr>
      <w:rFonts w:ascii="TimesNewRomanPSMT" w:hAnsi="TimesNewRomanPSMT" w:cs="Arial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71A6-16FB-4EDC-BA8B-194B7EC2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shehovtsev</cp:lastModifiedBy>
  <cp:revision>8</cp:revision>
  <dcterms:created xsi:type="dcterms:W3CDTF">2026-05-27T09:12:00Z</dcterms:created>
  <dcterms:modified xsi:type="dcterms:W3CDTF">2026-06-24T13:01:29Z</dcterms:modified>
</cp:coreProperties>
</file>