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hd w:fill="FFFFFF" w:val="clear"/>
        <w:jc w:val="center"/>
        <w:rPr>
          <w:sz w:val="24"/>
          <w:szCs w:val="24"/>
        </w:rPr>
      </w:pPr>
      <w:r>
        <w:rPr>
          <w:bCs/>
          <w:color w:val="000000"/>
          <w:spacing w:val="-1"/>
          <w:w w:val="104"/>
          <w:sz w:val="28"/>
          <w:szCs w:val="28"/>
        </w:rPr>
        <w:t xml:space="preserve">проект Договора </w:t>
      </w:r>
      <w:r>
        <w:rPr>
          <w:bCs/>
          <w:color w:val="000000"/>
          <w:w w:val="104"/>
          <w:sz w:val="28"/>
          <w:szCs w:val="28"/>
        </w:rPr>
        <w:t>№ ____</w:t>
      </w:r>
    </w:p>
    <w:tbl>
      <w:tblPr>
        <w:tblW w:w="97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522"/>
        <w:gridCol w:w="5194"/>
      </w:tblGrid>
      <w:tr>
        <w:trPr>
          <w:trHeight w:val="504" w:hRule="atLeast"/>
        </w:trPr>
        <w:tc>
          <w:tcPr>
            <w:tcW w:w="4522" w:type="dxa"/>
            <w:tcBorders/>
          </w:tcPr>
          <w:p>
            <w:pPr>
              <w:pStyle w:val="Normal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Курск</w:t>
            </w:r>
          </w:p>
        </w:tc>
        <w:tc>
          <w:tcPr>
            <w:tcW w:w="5194" w:type="dxa"/>
            <w:tcBorders/>
          </w:tcPr>
          <w:p>
            <w:pPr>
              <w:pStyle w:val="Normal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</w:t>
            </w:r>
          </w:p>
          <w:p>
            <w:pPr>
              <w:pStyle w:val="Normal"/>
              <w:snapToGrid w:val="false"/>
              <w:ind w:end="-139"/>
              <w:jc w:val="both"/>
              <w:rPr/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>
              <w:rPr>
                <w:sz w:val="24"/>
                <w:szCs w:val="24"/>
              </w:rPr>
              <w:t>«___» ________ 2026 г.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autoSpaceDE w:val="false"/>
        <w:bidi w:val="0"/>
        <w:ind w:firstLine="850" w:end="0"/>
        <w:jc w:val="both"/>
        <w:rPr>
          <w:b/>
          <w:sz w:val="24"/>
          <w:szCs w:val="24"/>
        </w:rPr>
      </w:pPr>
      <w:r>
        <w:rPr>
          <w:sz w:val="24"/>
          <w:szCs w:val="24"/>
        </w:rPr>
        <w:t>Управление Федеральной службы государственной регистрации, кадастра и картографии по Курской области, именуемое</w:t>
      </w:r>
      <w:r>
        <w:rPr>
          <w:color w:val="000000"/>
          <w:sz w:val="24"/>
          <w:szCs w:val="24"/>
        </w:rPr>
        <w:t xml:space="preserve"> в дальнейшем «Заказчик», </w:t>
      </w:r>
      <w:r>
        <w:rPr>
          <w:sz w:val="24"/>
          <w:szCs w:val="24"/>
        </w:rPr>
        <w:t xml:space="preserve"> в лице заместителя руководителя Управления Емельянова Александра Владимировича, действующего на основании доверенности от 30.12.2025 №14-СК</w:t>
      </w:r>
      <w:r>
        <w:rPr>
          <w:color w:val="000000"/>
          <w:sz w:val="24"/>
          <w:szCs w:val="24"/>
        </w:rPr>
        <w:t xml:space="preserve">, с одной стороны и </w:t>
      </w:r>
      <w:r>
        <w:rPr>
          <w:sz w:val="24"/>
          <w:szCs w:val="24"/>
        </w:rPr>
        <w:t xml:space="preserve">_______________,  именуемое  в дальнейшем   «Поставщик»,   в   лице _______________________, действующего на основании ____________, с другой стороны, именуемые в дальнейшем «Стороны»,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в соответствии с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Закон),</w:t>
      </w:r>
      <w:r>
        <w:rPr>
          <w:spacing w:val="-2"/>
          <w:lang w:eastAsia="ru-RU"/>
        </w:rPr>
        <w:t xml:space="preserve"> </w:t>
      </w:r>
      <w:r>
        <w:rPr>
          <w:sz w:val="24"/>
          <w:szCs w:val="24"/>
        </w:rPr>
        <w:t>заключили настоящий договор о нижеследующем: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 ПРЕДМЕТ ДОГОВОРА</w:t>
      </w:r>
    </w:p>
    <w:p>
      <w:pPr>
        <w:pStyle w:val="Normal"/>
        <w:widowControl w:val="false"/>
        <w:shd w:fill="FFFFFF" w:val="clear"/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1.1. Предметом настоящего договора является приобретени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е информационных стендов и фасадных табличек (далее – товар) для нужд Управления Федеральной службы государственной регистрации, кадастра и</w:t>
      </w:r>
      <w:r>
        <w:rPr>
          <w:sz w:val="24"/>
          <w:szCs w:val="24"/>
        </w:rPr>
        <w:t xml:space="preserve"> картографии по Курской области в соответствии с Техническим заданием (Приложение №1 к настоящему договору), являющимся неотъемлемой частью настоящего договора.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1.2. Заказчик обязуется обеспечить приемку и оплату поставленного товара.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57"/>
        <w:jc w:val="both"/>
        <w:rPr>
          <w:sz w:val="24"/>
          <w:szCs w:val="24"/>
        </w:rPr>
      </w:pPr>
      <w:r>
        <w:rPr>
          <w:sz w:val="24"/>
          <w:szCs w:val="24"/>
        </w:rPr>
        <w:t>1.3. Поставщик ознакомлен со всеми условиями, связанными с поставкой товара по Договору и принимает на себя все расходы, риск и трудности по поставке товара.</w:t>
      </w:r>
    </w:p>
    <w:p>
      <w:pPr>
        <w:pStyle w:val="Normal"/>
        <w:ind w:firstLine="72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2149" w:start="-1440" w:end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2. ЦЕНА ДОГОВОРА И ПОРЯДОК РАСЧЕТОВ</w:t>
      </w:r>
    </w:p>
    <w:p>
      <w:pPr>
        <w:pStyle w:val="Normal"/>
        <w:widowControl w:val="false"/>
        <w:tabs>
          <w:tab w:val="clear" w:pos="708"/>
          <w:tab w:val="left" w:pos="-900" w:leader="none"/>
        </w:tabs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Цена Договора является твердой, определяется на весь срок действия договора и составляет ___________ (__________) рублей ___ копеек, в том числе НДС есть/нет. </w:t>
      </w:r>
    </w:p>
    <w:p>
      <w:pPr>
        <w:pStyle w:val="Normal"/>
        <w:widowControl w:val="false"/>
        <w:tabs>
          <w:tab w:val="clear" w:pos="708"/>
          <w:tab w:val="left" w:pos="1440" w:leader="none"/>
        </w:tabs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2.2. Цена включает в себя стоимость товара, необходимого для выполнения условий Договора, транспортные расходы, прочие затраты, связанные с поставкой товара по Договору, все налоги (в т.ч. НДС, если есть) и сборы, пошлины, выплаченные или подлежащие выплате, а также стоимость дополнительных услуг, необходимых для поставки товара.</w:t>
      </w:r>
    </w:p>
    <w:p>
      <w:pPr>
        <w:pStyle w:val="Normal"/>
        <w:widowControl w:val="false"/>
        <w:tabs>
          <w:tab w:val="clear" w:pos="708"/>
          <w:tab w:val="left" w:pos="1440" w:leader="none"/>
        </w:tabs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Цена Договора устанавливается на весь период действия Договора и может быть изменена только в случаях, предусмотренных Федеральным законом от 05.04.2013г. №44-ФЗ    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tabs>
          <w:tab w:val="clear" w:pos="708"/>
          <w:tab w:val="left" w:pos="1440" w:leader="none"/>
        </w:tabs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2.4. Расчеты за поставленный товар производятся путем перечисления Заказчиком безналичных денежных средств на расчетный счет Поставщика.</w:t>
      </w:r>
    </w:p>
    <w:p>
      <w:pPr>
        <w:pStyle w:val="Normal"/>
        <w:widowControl w:val="false"/>
        <w:tabs>
          <w:tab w:val="clear" w:pos="708"/>
          <w:tab w:val="left" w:pos="1440" w:leader="none"/>
        </w:tabs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2.5. Заказчик производит оплату по факту поставки товара  на основании предъявленных Поставщиком счета,  счета-фактуры, товарной накладной  с указанием реквизитов настоящего Договора. Оплата осуществляется Заказчиком путем перечисления денежных средств на расчетный счет Поставщика в течение 7 (семи) рабочих дней со дня подписания Заказчиком товарной накладной, при отсутствии у Заказчика претензий и замечаний по качеству товара.</w:t>
      </w:r>
    </w:p>
    <w:p>
      <w:pPr>
        <w:pStyle w:val="Normal"/>
        <w:widowControl w:val="false"/>
        <w:tabs>
          <w:tab w:val="clear" w:pos="708"/>
          <w:tab w:val="left" w:pos="1440" w:leader="none"/>
        </w:tabs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2.6. Платежи по настоящему договору осуществляются в российских рублях за счет средств Федерального бюджета.</w:t>
      </w:r>
    </w:p>
    <w:p>
      <w:pPr>
        <w:pStyle w:val="Normal"/>
        <w:ind w:firstLine="720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-900" w:leader="none"/>
        </w:tabs>
        <w:ind w:end="-55"/>
        <w:jc w:val="center"/>
        <w:rPr>
          <w:b/>
          <w:sz w:val="24"/>
          <w:szCs w:val="24"/>
        </w:rPr>
      </w:pPr>
      <w:r>
        <w:rPr>
          <w:b/>
          <w:spacing w:val="-3"/>
          <w:sz w:val="24"/>
          <w:szCs w:val="24"/>
        </w:rPr>
        <w:t>3. ПРАВА И ОБЯЗАННОСТИ СТОРОН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b/>
          <w:sz w:val="24"/>
          <w:szCs w:val="24"/>
        </w:rPr>
        <w:t>3.1. Заказчик имеет право: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57"/>
        <w:jc w:val="both"/>
        <w:rPr>
          <w:sz w:val="24"/>
          <w:szCs w:val="24"/>
        </w:rPr>
      </w:pPr>
      <w:r>
        <w:rPr>
          <w:sz w:val="24"/>
          <w:szCs w:val="24"/>
        </w:rPr>
        <w:t>3.1.1. Требовать от Поставщика надлежащего исполнения обязательств в соответствии с настоящим Договором.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57"/>
        <w:jc w:val="both"/>
        <w:rPr>
          <w:b/>
          <w:sz w:val="24"/>
          <w:szCs w:val="24"/>
        </w:rPr>
      </w:pPr>
      <w:r>
        <w:rPr>
          <w:sz w:val="24"/>
          <w:szCs w:val="24"/>
        </w:rPr>
        <w:t>3.1.2. Запрашивать у Поставщика информацию о времени поставки товара.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b/>
          <w:sz w:val="24"/>
          <w:szCs w:val="24"/>
        </w:rPr>
        <w:t>3.2. Заказчик обязан: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Передать Поставщику исходные данные, необходимые для надлежащего выполнения Поставщиком обязательств по настоящему Договору. 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3.2.2. Уплатить Поставщику установленную цену полностью после поставки товара;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 Обеспечить приемку поставленного по </w:t>
      </w:r>
      <w:r>
        <w:rPr>
          <w:bCs/>
          <w:sz w:val="24"/>
          <w:szCs w:val="24"/>
        </w:rPr>
        <w:t>Договору</w:t>
      </w:r>
      <w:r>
        <w:rPr>
          <w:sz w:val="24"/>
          <w:szCs w:val="24"/>
        </w:rPr>
        <w:t xml:space="preserve"> товара в соответствии с условиями </w:t>
      </w:r>
      <w:r>
        <w:rPr>
          <w:bCs/>
          <w:sz w:val="24"/>
          <w:szCs w:val="24"/>
        </w:rPr>
        <w:t>Договора</w:t>
      </w:r>
      <w:r>
        <w:rPr>
          <w:sz w:val="24"/>
          <w:szCs w:val="24"/>
        </w:rPr>
        <w:t>.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57"/>
        <w:jc w:val="both"/>
        <w:rPr>
          <w:b/>
          <w:sz w:val="24"/>
          <w:szCs w:val="24"/>
        </w:rPr>
      </w:pPr>
      <w:r>
        <w:rPr>
          <w:sz w:val="24"/>
          <w:szCs w:val="24"/>
        </w:rPr>
        <w:t>3.2.4. Своевременно сообщать Поставщику о недостатках, обнаруженных в ходе  приемки товара.</w:t>
      </w:r>
    </w:p>
    <w:p>
      <w:pPr>
        <w:pStyle w:val="Normal"/>
        <w:widowControl w:val="false"/>
        <w:shd w:fill="FFFFFF" w:val="clear"/>
        <w:tabs>
          <w:tab w:val="clear" w:pos="708"/>
          <w:tab w:val="left" w:pos="540" w:leader="none"/>
        </w:tabs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b/>
          <w:sz w:val="24"/>
          <w:szCs w:val="24"/>
        </w:rPr>
        <w:t>3.3. Поставщик обязан:</w:t>
      </w:r>
    </w:p>
    <w:p>
      <w:pPr>
        <w:pStyle w:val="Normal"/>
        <w:widowControl w:val="false"/>
        <w:shd w:fill="FFFFFF" w:val="clear"/>
        <w:suppressAutoHyphens w:val="true"/>
        <w:autoSpaceDE w:val="false"/>
        <w:bidi w:val="0"/>
        <w:ind w:firstLine="850" w:end="57"/>
        <w:jc w:val="both"/>
        <w:rPr>
          <w:sz w:val="24"/>
          <w:szCs w:val="24"/>
        </w:rPr>
      </w:pPr>
      <w:r>
        <w:rPr>
          <w:sz w:val="24"/>
          <w:szCs w:val="24"/>
        </w:rPr>
        <w:t>3.3.1. Выполнить поставку товара, предусмотренного настоящим Договором.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uppressAutoHyphens w:val="true"/>
        <w:autoSpaceDE w:val="false"/>
        <w:bidi w:val="0"/>
        <w:ind w:firstLine="850" w:end="0"/>
        <w:jc w:val="both"/>
        <w:rPr>
          <w:b/>
          <w:sz w:val="24"/>
          <w:szCs w:val="24"/>
        </w:rPr>
      </w:pPr>
      <w:r>
        <w:rPr>
          <w:sz w:val="24"/>
          <w:szCs w:val="24"/>
        </w:rPr>
        <w:t>3.3.2. По требованию Заказчика своими средствами и за свой счет в срок, согласованный с Заказчиком устранить допущенные по своей вине при поставке товара недостатки или иные отступления от условий Договора.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b/>
          <w:sz w:val="24"/>
          <w:szCs w:val="24"/>
        </w:rPr>
        <w:t>3.4. Поставщик вправе:</w:t>
      </w:r>
    </w:p>
    <w:p>
      <w:pPr>
        <w:pStyle w:val="Normal"/>
        <w:widowControl w:val="false"/>
        <w:shd w:fill="FFFFFF" w:val="clear"/>
        <w:tabs>
          <w:tab w:val="clear" w:pos="708"/>
          <w:tab w:val="left" w:pos="1498" w:leader="none"/>
        </w:tabs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3.4.1. По согласованию с Заказчиком досрочно поставить товар.</w:t>
      </w:r>
    </w:p>
    <w:p>
      <w:pPr>
        <w:pStyle w:val="Normal"/>
        <w:shd w:fill="FFFFFF" w:val="clear"/>
        <w:tabs>
          <w:tab w:val="clear" w:pos="708"/>
          <w:tab w:val="left" w:pos="1498" w:leader="none"/>
        </w:tabs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5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КАЧЕСТВО ТОВАРА</w:t>
      </w:r>
    </w:p>
    <w:p>
      <w:pPr>
        <w:pStyle w:val="Style25"/>
        <w:widowControl w:val="false"/>
        <w:suppressAutoHyphens w:val="true"/>
        <w:autoSpaceDE w:val="false"/>
        <w:bidi w:val="0"/>
        <w:ind w:firstLine="850" w:end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4.1. Весь Товар, подлежащий сертификации, должен иметь соответствующие сертификаты соответствия согласно действующему законодательству Российской Федерации. Качество Товара должно подтверждаться паспортами качества и соответствовать требованиям действующих государственных стандартов и/или технических условий производителей.</w:t>
      </w:r>
    </w:p>
    <w:p>
      <w:pPr>
        <w:pStyle w:val="Style25"/>
        <w:widowControl w:val="false"/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4.2. Поставщик должен предоставить по требованию Заказчика подлинники или копии сертификатов соответствия на Товар, подлежащий сертификации в соответствии с действующим законодательством Российской Федерации. </w:t>
      </w:r>
    </w:p>
    <w:p>
      <w:pPr>
        <w:pStyle w:val="Style25"/>
        <w:widowControl w:val="false"/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 получения Заказчиком заключения экспертизы, не подтверждающего соответствие поставленного Товара установленным требованиям, Поставщик обязан произвести его замену на качественный в течение 7 (семи) рабочих дней с даты письменного обращения Заказчика. Расходы по замене некачественного Товара осуществляются за счет Поставщика. В случае повторной поставки некачественного товара, Заказчик по основаниям и в порядке, установленным законодательством Российской Федерации, расторгает в одностороннем порядке договор и передает сведения о таком Поставщике в уполномоченный на осуществление контроля за размещением государственного заказа орган для включения в Реестр недобросовестных поставщиков.</w:t>
      </w:r>
    </w:p>
    <w:p>
      <w:pPr>
        <w:pStyle w:val="Style25"/>
        <w:widowControl w:val="false"/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>
        <w:rPr>
          <w:bCs/>
          <w:sz w:val="24"/>
          <w:szCs w:val="24"/>
        </w:rPr>
        <w:t>Товар должен быть не бывшим в употреблении, без видимых и скрытых дефектов.</w:t>
      </w:r>
    </w:p>
    <w:p>
      <w:pPr>
        <w:pStyle w:val="Normal"/>
        <w:shd w:fill="FFFFFF" w:val="clear"/>
        <w:tabs>
          <w:tab w:val="clear" w:pos="708"/>
          <w:tab w:val="left" w:pos="1498" w:leader="none"/>
        </w:tabs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8"/>
          <w:tab w:val="left" w:pos="10598" w:leader="underscore"/>
        </w:tabs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5.  ПОРЯДОК ПРИЕМКИ ПОСТАВЛЕННОГО ТОВАРА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5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5.1.</w:t>
      </w:r>
      <w:r>
        <w:rPr>
          <w:bCs/>
          <w:color w:val="000000"/>
          <w:spacing w:val="-1"/>
          <w:sz w:val="24"/>
          <w:szCs w:val="24"/>
        </w:rPr>
        <w:t xml:space="preserve"> Поставка товара производится Поставщиком в соответствии со Спецификацией на поставку товара (Приложение № 1 к настоящему Договору) </w:t>
      </w:r>
      <w:r>
        <w:rPr>
          <w:bCs/>
          <w:color w:val="000000"/>
          <w:spacing w:val="-1"/>
          <w:sz w:val="24"/>
          <w:szCs w:val="24"/>
          <w:shd w:fill="auto" w:val="clear"/>
        </w:rPr>
        <w:t xml:space="preserve">в течение 10 (десяти) рабочих </w:t>
      </w:r>
      <w:r>
        <w:rPr>
          <w:bCs/>
          <w:color w:val="000000"/>
          <w:spacing w:val="-1"/>
          <w:sz w:val="24"/>
          <w:szCs w:val="24"/>
          <w:shd w:fill="auto" w:val="clear"/>
        </w:rPr>
        <w:t>дней со дня заключения Договора.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57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Место поставки товара: г. Курск,</w:t>
      </w:r>
      <w:r>
        <w:rPr>
          <w:spacing w:val="-5"/>
          <w:sz w:val="24"/>
          <w:szCs w:val="24"/>
        </w:rPr>
        <w:t xml:space="preserve"> ул. 50 лет Октября, д. 4/6.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Поставщик обязан известить Заказчика о точном времени и дате поставки товара по телефону (4712) 54-60-04. Поставка товара Заказчику осуществляется транспортом Поставщика или с привлечением транспорта третьих лиц за счет Поставщика. Все виды погрузо-разгрузочных работ осуществляются Поставщиком собственными силами и средствами или с привлечением третьих лиц за счет Поставщика.</w:t>
      </w:r>
      <w:r>
        <w:rPr>
          <w:color w:val="000000"/>
          <w:sz w:val="24"/>
          <w:szCs w:val="24"/>
        </w:rPr>
        <w:t xml:space="preserve">      </w:t>
      </w:r>
    </w:p>
    <w:p>
      <w:pPr>
        <w:pStyle w:val="Normal"/>
        <w:widowControl w:val="false"/>
        <w:suppressAutoHyphens w:val="true"/>
        <w:autoSpaceDE w:val="false"/>
        <w:bidi w:val="0"/>
        <w:ind w:firstLine="850" w:end="5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5.2. Основанием для отказа в приемке товара является несоответствие товара </w:t>
      </w:r>
      <w:r>
        <w:rPr>
          <w:color w:val="000000"/>
          <w:sz w:val="24"/>
          <w:szCs w:val="24"/>
        </w:rPr>
        <w:t xml:space="preserve">Техническому заданию </w:t>
      </w:r>
      <w:r>
        <w:rPr>
          <w:sz w:val="24"/>
          <w:szCs w:val="24"/>
          <w:lang w:eastAsia="en-US"/>
        </w:rPr>
        <w:t>(Приложение №1 к Договору).</w:t>
      </w:r>
    </w:p>
    <w:p>
      <w:pPr>
        <w:pStyle w:val="Normal"/>
        <w:ind w:firstLine="720" w:end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6. СРОК ДЕЙСТВИЯ ДОГОВОРА</w:t>
      </w:r>
    </w:p>
    <w:p>
      <w:pPr>
        <w:pStyle w:val="ConsNormal"/>
        <w:widowControl/>
        <w:numPr>
          <w:ilvl w:val="0"/>
          <w:numId w:val="0"/>
        </w:numPr>
        <w:suppressAutoHyphens w:val="true"/>
        <w:autoSpaceDE w:val="false"/>
        <w:bidi w:val="0"/>
        <w:ind w:firstLine="850" w:start="0" w:end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6.1. Настоящий договор вступает в силу с даты его подписания и действует по 23 сентября 2026 года.</w:t>
      </w:r>
    </w:p>
    <w:p>
      <w:pPr>
        <w:pStyle w:val="ConsNormal"/>
        <w:widowControl/>
        <w:numPr>
          <w:ilvl w:val="0"/>
          <w:numId w:val="0"/>
        </w:numPr>
        <w:suppressAutoHyphens w:val="true"/>
        <w:autoSpaceDE w:val="false"/>
        <w:bidi w:val="0"/>
        <w:ind w:firstLine="850" w:start="0" w:end="0"/>
        <w:jc w:val="both"/>
        <w:outlineLvl w:val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 Настоящий договор составлен в двух экземплярах, каждый из которых имеет равную юридическую силу.</w:t>
      </w:r>
    </w:p>
    <w:p>
      <w:pPr>
        <w:pStyle w:val="Normal"/>
        <w:shd w:fill="FFFFFF" w:val="clear"/>
        <w:tabs>
          <w:tab w:val="clear" w:pos="708"/>
          <w:tab w:val="left" w:pos="1620" w:leader="none"/>
        </w:tabs>
        <w:ind w:firstLine="1742" w:start="810" w:end="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>
      <w:pPr>
        <w:pStyle w:val="Normal"/>
        <w:shd w:fill="FFFFFF" w:val="clear"/>
        <w:tabs>
          <w:tab w:val="clear" w:pos="708"/>
          <w:tab w:val="left" w:pos="1620" w:leader="none"/>
        </w:tabs>
        <w:ind w:firstLine="1742" w:start="810" w:end="58"/>
        <w:jc w:val="both"/>
        <w:rPr/>
      </w:pPr>
      <w:r>
        <w:rPr/>
      </w:r>
    </w:p>
    <w:p>
      <w:pPr>
        <w:pStyle w:val="Normal"/>
        <w:shd w:fill="FFFFFF" w:val="clear"/>
        <w:tabs>
          <w:tab w:val="clear" w:pos="708"/>
          <w:tab w:val="left" w:pos="1620" w:leader="none"/>
        </w:tabs>
        <w:ind w:firstLine="1742" w:start="810" w:end="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7</w:t>
      </w:r>
      <w:r>
        <w:rPr>
          <w:b/>
          <w:sz w:val="24"/>
          <w:szCs w:val="24"/>
        </w:rPr>
        <w:t>. ОТВЕТСТВЕННОСТЬ СТОРОН</w:t>
      </w:r>
    </w:p>
    <w:p>
      <w:pPr>
        <w:pStyle w:val="211"/>
        <w:tabs>
          <w:tab w:val="clear" w:pos="708"/>
          <w:tab w:val="left" w:pos="72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>7.1. Стороны несут ответственность за неисполнение или ненадлежащее исполнение обязательств по настоящему Договору  в соответствии с законодательством РФ.</w:t>
      </w:r>
    </w:p>
    <w:p>
      <w:pPr>
        <w:pStyle w:val="ConsPlusNormal1"/>
        <w:widowControl w:val="false"/>
        <w:suppressAutoHyphens w:val="true"/>
        <w:autoSpaceDE w:val="fals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каждый факт неисполнения или ненадлежащего исполнения Поставщиком,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</w:p>
    <w:p>
      <w:pPr>
        <w:pStyle w:val="ConsPlusNormal1"/>
        <w:widowControl w:val="false"/>
        <w:suppressAutoHyphens w:val="true"/>
        <w:autoSpaceDE w:val="false"/>
        <w:bidi w:val="0"/>
        <w:ind w:firstLine="85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1000 рублей, если цена Договора не превышает 3 млн. рублей.</w:t>
      </w:r>
    </w:p>
    <w:p>
      <w:pPr>
        <w:pStyle w:val="ConsPlusNormal1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>ПОРЯДОК РАЗРЕШЕНИЯ СПОРОВ</w:t>
      </w:r>
    </w:p>
    <w:p>
      <w:pPr>
        <w:pStyle w:val="Style25"/>
        <w:widowControl w:val="false"/>
        <w:suppressAutoHyphens w:val="true"/>
        <w:autoSpaceDE w:val="false"/>
        <w:bidi w:val="0"/>
        <w:ind w:firstLine="850" w:end="0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8.1. 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>
      <w:pPr>
        <w:pStyle w:val="Normal"/>
        <w:widowControl w:val="false"/>
        <w:shd w:fill="FFFFFF" w:val="clear"/>
        <w:tabs>
          <w:tab w:val="clear" w:pos="708"/>
          <w:tab w:val="left" w:pos="1238" w:leader="none"/>
        </w:tabs>
        <w:suppressAutoHyphens w:val="true"/>
        <w:autoSpaceDE w:val="false"/>
        <w:bidi w:val="0"/>
        <w:ind w:firstLine="850" w:end="0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8.2. </w:t>
      </w:r>
      <w:r>
        <w:rPr>
          <w:sz w:val="24"/>
          <w:szCs w:val="24"/>
        </w:rPr>
        <w:t>В случае невозможности разрешения разногласий путем переговоров они подлежат рассмотрению в Арбитражном суде Курской области в установленном законодательством порядке.</w:t>
      </w:r>
    </w:p>
    <w:p>
      <w:pPr>
        <w:pStyle w:val="Normal"/>
        <w:shd w:fill="FFFFFF" w:val="clear"/>
        <w:tabs>
          <w:tab w:val="clear" w:pos="708"/>
          <w:tab w:val="left" w:pos="1620" w:leader="none"/>
        </w:tabs>
        <w:ind w:start="810" w:end="5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tabs>
          <w:tab w:val="clear" w:pos="708"/>
          <w:tab w:val="left" w:pos="1620" w:leader="none"/>
        </w:tabs>
        <w:ind w:start="810" w:end="58"/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t>9. АДРЕСА, РЕКВИЗИТЫ И ПОДПИСИ СТОРОН</w:t>
      </w:r>
    </w:p>
    <w:tbl>
      <w:tblPr>
        <w:tblW w:w="9783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57"/>
        <w:gridCol w:w="5026"/>
      </w:tblGrid>
      <w:tr>
        <w:trPr>
          <w:trHeight w:val="251" w:hRule="atLeast"/>
        </w:trPr>
        <w:tc>
          <w:tcPr>
            <w:tcW w:w="4757" w:type="dxa"/>
            <w:tcBorders/>
          </w:tcPr>
          <w:p>
            <w:pPr>
              <w:pStyle w:val="Normal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ПОСТАВЩИК:</w:t>
            </w:r>
          </w:p>
          <w:p>
            <w:pPr>
              <w:pStyle w:val="Normal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5026" w:type="dxa"/>
            <w:tcBorders/>
          </w:tcPr>
          <w:p>
            <w:pPr>
              <w:pStyle w:val="1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ЗАКАЗЧИК:</w:t>
            </w:r>
          </w:p>
          <w:p>
            <w:pPr>
              <w:pStyle w:val="1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</w:r>
          </w:p>
          <w:p>
            <w:pPr>
              <w:pStyle w:val="Normal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Федеральной службы государственной регистрации, кадастра и картографии по Курской области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305016, г. Курск, ул. 50 лет Октября, д. 4/6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(4712) 51-17-01; 54-60-04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4632048452   КПП 463201001</w:t>
            </w:r>
          </w:p>
          <w:p>
            <w:pPr>
              <w:pStyle w:val="Style25"/>
              <w:tabs>
                <w:tab w:val="clear" w:pos="708"/>
                <w:tab w:val="left" w:pos="200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УФК по Курской области </w:t>
            </w:r>
          </w:p>
          <w:p>
            <w:pPr>
              <w:pStyle w:val="Style25"/>
              <w:tabs>
                <w:tab w:val="clear" w:pos="708"/>
                <w:tab w:val="left" w:pos="200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(Управление Росреестра по Курской области,  л/с 03441А39070)                                                                                            </w:t>
            </w:r>
          </w:p>
          <w:p>
            <w:pPr>
              <w:pStyle w:val="Style25"/>
              <w:tabs>
                <w:tab w:val="clear" w:pos="708"/>
                <w:tab w:val="left" w:pos="200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Казначейский счет 03211643000000013229 </w:t>
            </w:r>
          </w:p>
          <w:p>
            <w:pPr>
              <w:pStyle w:val="Style25"/>
              <w:tabs>
                <w:tab w:val="clear" w:pos="708"/>
                <w:tab w:val="left" w:pos="2000" w:leader="none"/>
              </w:tabs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казначейский счет 40102810745370000024 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ОКЦ № 1 Волго-Вятского ГУ Банка России//УФК по Нижегородской области, г. Нижний Новгород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БИК ТОФК 012202102</w:t>
            </w:r>
          </w:p>
          <w:p>
            <w:pPr>
              <w:pStyle w:val="Style25"/>
              <w:tabs>
                <w:tab w:val="clear" w:pos="708"/>
                <w:tab w:val="left" w:pos="200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74393860</w:t>
            </w:r>
          </w:p>
          <w:p>
            <w:pPr>
              <w:pStyle w:val="Style25"/>
              <w:tabs>
                <w:tab w:val="clear" w:pos="708"/>
                <w:tab w:val="left" w:pos="20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</w:p>
          <w:p>
            <w:pPr>
              <w:pStyle w:val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46_upr@rosreestr.ru</w:t>
            </w:r>
          </w:p>
        </w:tc>
      </w:tr>
      <w:tr>
        <w:trPr>
          <w:trHeight w:val="1472" w:hRule="atLeast"/>
        </w:trPr>
        <w:tc>
          <w:tcPr>
            <w:tcW w:w="4757" w:type="dxa"/>
            <w:tcBorders/>
          </w:tcPr>
          <w:p>
            <w:pPr>
              <w:pStyle w:val="Normal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ПОСТАВЩИК:</w:t>
            </w:r>
          </w:p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____________/___________/</w:t>
            </w:r>
          </w:p>
          <w:p>
            <w:pPr>
              <w:pStyle w:val="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5026" w:type="dxa"/>
            <w:tcBorders/>
          </w:tcPr>
          <w:p>
            <w:pPr>
              <w:pStyle w:val="Normal"/>
              <w:snapToGrid w:val="fals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руководителя Управления</w:t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 /А.В. Емельянов/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>
      <w:pPr>
        <w:sectPr>
          <w:type w:val="nextPage"/>
          <w:pgSz w:w="11906" w:h="16838"/>
          <w:pgMar w:left="1600" w:right="630" w:gutter="0" w:header="0" w:top="851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widowControl w:val="false"/>
        <w:shd w:fill="FFFFFF" w:val="clear"/>
        <w:suppressAutoHyphens w:val="true"/>
        <w:autoSpaceDE w:val="false"/>
        <w:bidi w:val="0"/>
        <w:ind w:end="57"/>
        <w:jc w:val="end"/>
        <w:rPr>
          <w:sz w:val="24"/>
          <w:szCs w:val="24"/>
        </w:rPr>
      </w:pPr>
      <w:r>
        <w:rPr>
          <w:sz w:val="24"/>
          <w:szCs w:val="24"/>
        </w:rPr>
        <w:t xml:space="preserve">Приложение  № 1 к договору № ___ </w:t>
      </w:r>
    </w:p>
    <w:p>
      <w:pPr>
        <w:pStyle w:val="Normal"/>
        <w:widowControl w:val="false"/>
        <w:shd w:fill="FFFFFF" w:val="clear"/>
        <w:suppressAutoHyphens w:val="true"/>
        <w:autoSpaceDE w:val="false"/>
        <w:bidi w:val="0"/>
        <w:ind w:end="57"/>
        <w:jc w:val="end"/>
        <w:rPr>
          <w:sz w:val="24"/>
          <w:szCs w:val="24"/>
        </w:rPr>
      </w:pPr>
      <w:r>
        <w:rPr>
          <w:sz w:val="24"/>
          <w:szCs w:val="24"/>
        </w:rPr>
        <w:t>от ___________ 2026 года</w:t>
      </w:r>
    </w:p>
    <w:p>
      <w:pPr>
        <w:pStyle w:val="Style25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5"/>
        <w:jc w:val="start"/>
        <w:rPr>
          <w:sz w:val="24"/>
          <w:szCs w:val="24"/>
        </w:rPr>
      </w:pPr>
      <w:r>
        <w:rPr>
          <w:sz w:val="24"/>
          <w:szCs w:val="24"/>
        </w:rPr>
        <w:t>ОКПД2: 22.29.29.190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 - </w:t>
      </w:r>
      <w:r>
        <w:rPr>
          <w:rStyle w:val="Strong"/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Изделия пластмассовые прочие, не включенные в другие группировки</w:t>
      </w:r>
    </w:p>
    <w:p>
      <w:pPr>
        <w:pStyle w:val="Style25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5"/>
        <w:jc w:val="center"/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</w:pPr>
      <w:r>
        <w:rPr>
          <w:sz w:val="24"/>
          <w:szCs w:val="24"/>
        </w:rPr>
        <w:t>ТЕХНИЧЕСКОЕ ЗАДАНИЕ</w:t>
      </w:r>
    </w:p>
    <w:p>
      <w:pPr>
        <w:pStyle w:val="Normal"/>
        <w:widowControl w:val="false"/>
        <w:shd w:fill="FFFFFF" w:val="clear"/>
        <w:suppressAutoHyphens w:val="true"/>
        <w:autoSpaceDE w:val="false"/>
        <w:bidi w:val="0"/>
        <w:ind w:end="0"/>
        <w:jc w:val="start"/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Срок исполнения договора: 20 рабочих дней.</w:t>
      </w:r>
    </w:p>
    <w:p>
      <w:pPr>
        <w:pStyle w:val="Normal"/>
        <w:widowControl w:val="false"/>
        <w:shd w:fill="FFFFFF" w:val="clear"/>
        <w:suppressAutoHyphens w:val="true"/>
        <w:autoSpaceDE w:val="false"/>
        <w:bidi w:val="0"/>
        <w:ind w:end="0"/>
        <w:jc w:val="start"/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Поставщик предварительно согласовывает с Заказчиком макет стендов и фасадных табличек.</w:t>
      </w:r>
    </w:p>
    <w:p>
      <w:pPr>
        <w:pStyle w:val="Normal"/>
        <w:widowControl w:val="false"/>
        <w:shd w:fill="FFFFFF" w:val="clear"/>
        <w:suppressAutoHyphens w:val="true"/>
        <w:autoSpaceDE w:val="false"/>
        <w:bidi w:val="0"/>
        <w:ind w:end="0"/>
        <w:jc w:val="start"/>
        <w:rPr>
          <w:rFonts w:ascii="Times New Roman" w:hAnsi="Times New Roman" w:eastAsia="Times New Roman" w:cs="Times New Roman"/>
          <w:b/>
          <w:bCs/>
          <w:color w:val="000000"/>
          <w:spacing w:val="-5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Выгрузка товара производится силами и средствами Поставщика.</w:t>
      </w:r>
    </w:p>
    <w:p>
      <w:pPr>
        <w:pStyle w:val="Normal"/>
        <w:tabs>
          <w:tab w:val="clear" w:pos="708"/>
          <w:tab w:val="left" w:pos="1770" w:leader="none"/>
        </w:tabs>
        <w:spacing w:lineRule="auto" w:line="240" w:before="0" w:after="0"/>
        <w:ind w:end="0"/>
        <w:jc w:val="both"/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5"/>
          <w:sz w:val="24"/>
          <w:szCs w:val="24"/>
          <w:lang w:val="ru-RU" w:eastAsia="zh-CN" w:bidi="ar-SA"/>
        </w:rPr>
        <w:t xml:space="preserve">Изготовление табличек должно быть произведено только после согласованного макета с Заказчиком.  </w:t>
      </w:r>
    </w:p>
    <w:p>
      <w:pPr>
        <w:pStyle w:val="Normal"/>
        <w:widowControl w:val="false"/>
        <w:shd w:fill="FFFFFF" w:val="clear"/>
        <w:suppressAutoHyphens w:val="true"/>
        <w:autoSpaceDE w:val="false"/>
        <w:bidi w:val="0"/>
        <w:ind w:end="0"/>
        <w:jc w:val="start"/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Адрес доставки: г. Курск, ул. 50 лет Октября, д 4/6</w:t>
      </w:r>
    </w:p>
    <w:p>
      <w:pPr>
        <w:pStyle w:val="BodyText"/>
        <w:widowControl/>
        <w:spacing w:before="150" w:after="120"/>
        <w:ind w:end="0"/>
        <w:jc w:val="center"/>
        <w:rPr>
          <w:rFonts w:eastAsia="Times New Roman" w:cs="Times New Roman"/>
          <w:b w:val="false"/>
          <w:bCs w:val="false"/>
          <w:color w:val="auto"/>
          <w:sz w:val="20"/>
          <w:szCs w:val="20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Спецификация</w:t>
      </w:r>
    </w:p>
    <w:tbl>
      <w:tblPr>
        <w:tblW w:w="10215" w:type="dxa"/>
        <w:jc w:val="start"/>
        <w:tblInd w:w="-32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50"/>
        <w:gridCol w:w="3000"/>
        <w:gridCol w:w="1993"/>
        <w:gridCol w:w="557"/>
        <w:gridCol w:w="568"/>
        <w:gridCol w:w="1082"/>
        <w:gridCol w:w="1136"/>
        <w:gridCol w:w="1429"/>
      </w:tblGrid>
      <w:tr>
        <w:trPr/>
        <w:tc>
          <w:tcPr>
            <w:tcW w:w="4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    №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п/п</w:t>
            </w:r>
          </w:p>
        </w:tc>
        <w:tc>
          <w:tcPr>
            <w:tcW w:w="3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Наименование </w:t>
            </w:r>
          </w:p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r>
          </w:p>
        </w:tc>
        <w:tc>
          <w:tcPr>
            <w:tcW w:w="1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Характеристики товара</w:t>
            </w:r>
          </w:p>
        </w:tc>
        <w:tc>
          <w:tcPr>
            <w:tcW w:w="5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Ед.</w:t>
            </w:r>
          </w:p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изм</w:t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Кол-во</w:t>
            </w:r>
          </w:p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r>
          </w:p>
        </w:tc>
        <w:tc>
          <w:tcPr>
            <w:tcW w:w="10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Цена</w:t>
            </w:r>
          </w:p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за ед.</w:t>
            </w:r>
          </w:p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(руб.)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Сумма (руб.)</w:t>
            </w:r>
          </w:p>
        </w:tc>
        <w:tc>
          <w:tcPr>
            <w:tcW w:w="1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Страна </w:t>
            </w:r>
          </w:p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 xml:space="preserve">происхождения </w:t>
            </w:r>
          </w:p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товара</w:t>
            </w:r>
          </w:p>
        </w:tc>
      </w:tr>
      <w:tr>
        <w:trPr>
          <w:trHeight w:val="4787" w:hRule="atLeast"/>
        </w:trPr>
        <w:tc>
          <w:tcPr>
            <w:tcW w:w="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1</w:t>
            </w:r>
          </w:p>
        </w:tc>
        <w:tc>
          <w:tcPr>
            <w:tcW w:w="30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Фасадная табличка 350*500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Примерный образец 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drawing>
                <wp:inline distT="0" distB="0" distL="0" distR="0">
                  <wp:extent cx="1693545" cy="2227580"/>
                  <wp:effectExtent l="0" t="0" r="0" b="0"/>
                  <wp:docPr id="1" name="Изображение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65" t="-47" r="-65" b="-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45" cy="2227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1. Материал: композит;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2. Толщина: не менее 3 мм;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 Разрешение: 1440 dpi/м2;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4. Красочность: 4+0;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5. Вывеска и рамка крепится к стене с помощью саморезов, имеющих заглушки (входят в комплект);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6. Материал рамки: алюминий.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7. Размер (шхв) 350 мм х 500 мм </w:t>
            </w:r>
          </w:p>
        </w:tc>
        <w:tc>
          <w:tcPr>
            <w:tcW w:w="55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шт</w:t>
            </w:r>
          </w:p>
        </w:tc>
        <w:tc>
          <w:tcPr>
            <w:tcW w:w="5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11</w:t>
            </w:r>
          </w:p>
        </w:tc>
        <w:tc>
          <w:tcPr>
            <w:tcW w:w="10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1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4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2</w:t>
            </w:r>
          </w:p>
        </w:tc>
        <w:tc>
          <w:tcPr>
            <w:tcW w:w="30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Фасадная табличка 350*500, 1 горизонтальный карман А4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Примерный образец 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drawing>
                <wp:anchor behindDoc="0" distT="0" distB="0" distL="0" distR="0" simplePos="0" locked="0" layoutInCell="0" allowOverlap="1" relativeHeight="3">
                  <wp:simplePos x="0" y="0"/>
                  <wp:positionH relativeFrom="margin">
                    <wp:posOffset>-36195</wp:posOffset>
                  </wp:positionH>
                  <wp:positionV relativeFrom="paragraph">
                    <wp:posOffset>240665</wp:posOffset>
                  </wp:positionV>
                  <wp:extent cx="1845945" cy="2395855"/>
                  <wp:effectExtent l="0" t="0" r="0" b="0"/>
                  <wp:wrapSquare wrapText="largest"/>
                  <wp:docPr id="2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 l="-84" t="-62" r="-84" b="-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945" cy="2395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99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1. Материал: композит;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2. Толщина: не менее 3 мм;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 Разрешение: 1440 dpi/м2;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4. Красочность: 4+0;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5. Вывеска и рамка крепится к стене с помощью саморезов, имеющих заглушки (входят в комплект);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6. Материал рамки: алюминий.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7. Размер (шхв) 350 мм х 500 мм </w:t>
            </w:r>
          </w:p>
        </w:tc>
        <w:tc>
          <w:tcPr>
            <w:tcW w:w="55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шт</w:t>
            </w:r>
          </w:p>
        </w:tc>
        <w:tc>
          <w:tcPr>
            <w:tcW w:w="5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11</w:t>
            </w:r>
          </w:p>
        </w:tc>
        <w:tc>
          <w:tcPr>
            <w:tcW w:w="10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1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4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3</w:t>
            </w:r>
          </w:p>
        </w:tc>
        <w:tc>
          <w:tcPr>
            <w:tcW w:w="30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8"/>
              <w:jc w:val="center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Стенд 1400*1220, 18 вертикальных карманов А4</w:t>
            </w:r>
          </w:p>
          <w:p>
            <w:pPr>
              <w:pStyle w:val="Style28"/>
              <w:jc w:val="center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«ИНФОРМАЦИЯ»</w:t>
            </w:r>
          </w:p>
          <w:p>
            <w:pPr>
              <w:pStyle w:val="Style28"/>
              <w:jc w:val="center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</w:rPr>
              <w:t xml:space="preserve">Примерный образец </w:t>
            </w:r>
          </w:p>
          <w:p>
            <w:pPr>
              <w:pStyle w:val="Style28"/>
              <w:jc w:val="center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</w:r>
          </w:p>
          <w:p>
            <w:pPr>
              <w:pStyle w:val="Style28"/>
              <w:jc w:val="center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</w:r>
          </w:p>
          <w:p>
            <w:pPr>
              <w:pStyle w:val="Style28"/>
              <w:jc w:val="center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</w:r>
          </w:p>
        </w:tc>
        <w:tc>
          <w:tcPr>
            <w:tcW w:w="199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/>
            </w:pPr>
            <w:r>
              <w:rPr/>
              <w:t>Размер (ШхВ) 1400*1220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Пластик ПВХ 4 мм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Пленка с интерьерной печатью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ПЭТ листовой прозрачный 0,5 мм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/>
              <w:t>Двусторонняя</w:t>
            </w:r>
            <w:r>
              <w:drawing>
                <wp:anchor behindDoc="0" distT="0" distB="0" distL="0" distR="0" simplePos="0" locked="0" layoutInCell="0" allowOverlap="1" relativeHeight="4">
                  <wp:simplePos x="0" y="0"/>
                  <wp:positionH relativeFrom="margin">
                    <wp:posOffset>-1818005</wp:posOffset>
                  </wp:positionH>
                  <wp:positionV relativeFrom="paragraph">
                    <wp:posOffset>486410</wp:posOffset>
                  </wp:positionV>
                  <wp:extent cx="1764030" cy="1270000"/>
                  <wp:effectExtent l="0" t="0" r="0" b="0"/>
                  <wp:wrapSquare wrapText="largest"/>
                  <wp:docPr id="3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42" t="-59" r="-42" b="-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30" cy="127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/>
              <w:t xml:space="preserve"> клеевая лента на вспененной основе 5 мм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Вывеска и рамка крепится к стене с помощью саморезов, имеющих заглушки (входят в комплект)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Профиль алюминиевый багетный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</w:r>
          </w:p>
        </w:tc>
        <w:tc>
          <w:tcPr>
            <w:tcW w:w="55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шт</w:t>
            </w:r>
          </w:p>
        </w:tc>
        <w:tc>
          <w:tcPr>
            <w:tcW w:w="5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13</w:t>
            </w:r>
          </w:p>
        </w:tc>
        <w:tc>
          <w:tcPr>
            <w:tcW w:w="10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1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4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4</w:t>
            </w:r>
          </w:p>
        </w:tc>
        <w:tc>
          <w:tcPr>
            <w:tcW w:w="30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8"/>
              <w:jc w:val="center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Стенд 1400*1220, 18 вертикальных карманов А4</w:t>
            </w:r>
          </w:p>
          <w:p>
            <w:pPr>
              <w:pStyle w:val="Style28"/>
              <w:jc w:val="center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  <w:t>«ПАТРИОТИЧЕСКО-ВОСПИТАТЕЛЬНАЯ РАБОТА»</w:t>
            </w:r>
          </w:p>
          <w:p>
            <w:pPr>
              <w:pStyle w:val="Style28"/>
              <w:jc w:val="center"/>
              <w:rPr>
                <w:b w:val="false"/>
                <w:bCs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</w:rPr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Примерный образец 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drawing>
                <wp:anchor behindDoc="0" distT="0" distB="0" distL="0" distR="0" simplePos="0" locked="0" layoutInCell="0" allowOverlap="1" relativeHeight="5">
                  <wp:simplePos x="0" y="0"/>
                  <wp:positionH relativeFrom="margin">
                    <wp:posOffset>-34290</wp:posOffset>
                  </wp:positionH>
                  <wp:positionV relativeFrom="paragraph">
                    <wp:posOffset>748030</wp:posOffset>
                  </wp:positionV>
                  <wp:extent cx="1764030" cy="1290955"/>
                  <wp:effectExtent l="0" t="0" r="0" b="0"/>
                  <wp:wrapSquare wrapText="largest"/>
                  <wp:docPr id="4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43" t="-58" r="-43" b="-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30" cy="1290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9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/>
            </w:pPr>
            <w:r>
              <w:rPr/>
              <w:t>Размер (ШхВ) 1400*1220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Пластик ПВХ 4 мм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Пленка с интерьерной печатью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ПЭТ листовой прозрачный 0,5 мм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/>
              <w:t>Двусторонняя клеевая лента на вспененной основе 5 мм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Вывеска и рамка крепится к стене с помощью саморезов, имеющих заглушки (входят в комплект)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Профиль алюминиевый багетный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</w:r>
          </w:p>
        </w:tc>
        <w:tc>
          <w:tcPr>
            <w:tcW w:w="55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шт</w:t>
            </w:r>
          </w:p>
        </w:tc>
        <w:tc>
          <w:tcPr>
            <w:tcW w:w="5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1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4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5</w:t>
            </w:r>
          </w:p>
        </w:tc>
        <w:tc>
          <w:tcPr>
            <w:tcW w:w="30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Стенд 1400*1400, 12 вертикальных карманов А4</w:t>
            </w:r>
          </w:p>
          <w:p>
            <w:pPr>
              <w:pStyle w:val="Style25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«АНТИКОРРУПЦИОННАЯ ПОЛИТИКА»</w:t>
            </w:r>
          </w:p>
          <w:p>
            <w:pPr>
              <w:pStyle w:val="Style25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Примерный образец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drawing>
                <wp:anchor behindDoc="0" distT="0" distB="0" distL="0" distR="0" simplePos="0" locked="0" layoutInCell="0" allowOverlap="1" relativeHeight="7">
                  <wp:simplePos x="0" y="0"/>
                  <wp:positionH relativeFrom="margin">
                    <wp:posOffset>-61595</wp:posOffset>
                  </wp:positionH>
                  <wp:positionV relativeFrom="paragraph">
                    <wp:posOffset>496570</wp:posOffset>
                  </wp:positionV>
                  <wp:extent cx="1764030" cy="1468120"/>
                  <wp:effectExtent l="0" t="0" r="0" b="0"/>
                  <wp:wrapSquare wrapText="largest"/>
                  <wp:docPr id="5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54" t="-65" r="-54" b="-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30" cy="1468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9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/>
            </w:pPr>
            <w:r>
              <w:rPr/>
              <w:t>Размер (ШхВ) 1400*1400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Пластик ПВХ 4 мм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Пленка с интерьерной печатью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ПЭТ листовой прозрачный 0,5 мм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/>
              <w:t>Двусторонняя клеевая лента на вспененной основе 5 мм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Вывеска и рамка крепится к стене с помощью саморезов, имеющих заглушки (входят в комплект);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Профиль алюминиевый багетный</w:t>
            </w:r>
          </w:p>
        </w:tc>
        <w:tc>
          <w:tcPr>
            <w:tcW w:w="55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шт</w:t>
            </w:r>
          </w:p>
        </w:tc>
        <w:tc>
          <w:tcPr>
            <w:tcW w:w="5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1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4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r>
          </w:p>
        </w:tc>
      </w:tr>
      <w:tr>
        <w:trPr>
          <w:trHeight w:val="3209" w:hRule="atLeast"/>
        </w:trPr>
        <w:tc>
          <w:tcPr>
            <w:tcW w:w="45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6</w:t>
            </w:r>
          </w:p>
        </w:tc>
        <w:tc>
          <w:tcPr>
            <w:tcW w:w="30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Стенд 1180*990, 9 горизонтальных карманов А4</w:t>
            </w:r>
          </w:p>
          <w:p>
            <w:pPr>
              <w:pStyle w:val="Style25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«ПОРЯДОК ВЕДЕНИЯ ВОИНСКОГО УЧЕТА НА ТЕРРИТОРИИ РОССИЙСКОЙ ФЕДЕРАЦИИ»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Примерный образец</w:t>
            </w:r>
          </w:p>
          <w:p>
            <w:pPr>
              <w:pStyle w:val="Style25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drawing>
                <wp:anchor behindDoc="0" distT="0" distB="0" distL="0" distR="0" simplePos="0" locked="0" layoutInCell="0" allowOverlap="1" relativeHeight="6">
                  <wp:simplePos x="0" y="0"/>
                  <wp:positionH relativeFrom="margin">
                    <wp:posOffset>17145</wp:posOffset>
                  </wp:positionH>
                  <wp:positionV relativeFrom="paragraph">
                    <wp:posOffset>130810</wp:posOffset>
                  </wp:positionV>
                  <wp:extent cx="1772920" cy="1043940"/>
                  <wp:effectExtent l="0" t="0" r="0" b="0"/>
                  <wp:wrapSquare wrapText="largest"/>
                  <wp:docPr id="6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77" t="-71" r="-77" b="-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1043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25"/>
              <w:snapToGrid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993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/>
            </w:pPr>
            <w:r>
              <w:rPr/>
              <w:t>Размер (ШхВ) 1180*990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Пластик ПВХ 4 мм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Пленка с интерьерной печатью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ПЭТ листовой прозрачный 0,5 мм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/>
              <w:t>Двусторонняя клеевая лента на вспененной основе 5 мм</w:t>
            </w:r>
          </w:p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Вывеска и рамка крепится к стене с помощью саморезов, имеющих заглушки (входят в комплект);</w:t>
            </w:r>
          </w:p>
          <w:p>
            <w:pPr>
              <w:pStyle w:val="Style25"/>
              <w:snapToGrid w:val="false"/>
              <w:jc w:val="start"/>
              <w:rPr/>
            </w:pPr>
            <w:r>
              <w:rPr/>
              <w:t>Профиль алюминиевый багетный</w:t>
            </w:r>
          </w:p>
        </w:tc>
        <w:tc>
          <w:tcPr>
            <w:tcW w:w="55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шт</w:t>
            </w:r>
          </w:p>
        </w:tc>
        <w:tc>
          <w:tcPr>
            <w:tcW w:w="5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1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</w:r>
          </w:p>
        </w:tc>
        <w:tc>
          <w:tcPr>
            <w:tcW w:w="142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2"/>
                <w:sz w:val="20"/>
                <w:szCs w:val="20"/>
                <w:lang w:val="ru-RU" w:eastAsia="zh-CN" w:bidi="ar-SA"/>
              </w:rPr>
            </w:r>
          </w:p>
        </w:tc>
      </w:tr>
      <w:tr>
        <w:trPr/>
        <w:tc>
          <w:tcPr>
            <w:tcW w:w="544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25"/>
              <w:snapToGrid w:val="false"/>
              <w:jc w:val="start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ИТОГО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8" w:leader="none"/>
              </w:tabs>
              <w:snapToGrid w:val="false"/>
              <w:jc w:val="end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r>
          </w:p>
        </w:tc>
        <w:tc>
          <w:tcPr>
            <w:tcW w:w="14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</w:r>
          </w:p>
        </w:tc>
      </w:tr>
    </w:tbl>
    <w:p>
      <w:pPr>
        <w:pStyle w:val="Normal"/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Итого: ____________ руб. ___ коп., в т.ч. НДС есть/нет.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</w:r>
    </w:p>
    <w:p>
      <w:pPr>
        <w:pStyle w:val="Normal"/>
        <w:widowControl w:val="false"/>
        <w:suppressAutoHyphens w:val="true"/>
        <w:autoSpaceDE w:val="false"/>
        <w:bidi w:val="0"/>
        <w:ind w:firstLine="850" w:end="0"/>
        <w:jc w:val="both"/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 xml:space="preserve">Поставляемый товар должен быть не бывшим в употреблении, изготовлен в соответствии со стандартами и техническими условиями, без деформаций и других дефектов, свободен от прав и притязаний третьих лиц, а также не заложен и не арестован. </w:t>
      </w:r>
    </w:p>
    <w:p>
      <w:pPr>
        <w:pStyle w:val="Style25"/>
        <w:widowControl w:val="false"/>
        <w:suppressAutoHyphens w:val="true"/>
        <w:autoSpaceDE w:val="false"/>
        <w:bidi w:val="0"/>
        <w:ind w:firstLine="850" w:end="0"/>
        <w:jc w:val="both"/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В стоимость товара входят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>
      <w:pPr>
        <w:pStyle w:val="Style25"/>
        <w:widowControl w:val="false"/>
        <w:suppressAutoHyphens w:val="true"/>
        <w:autoSpaceDE w:val="false"/>
        <w:bidi w:val="0"/>
        <w:ind w:firstLine="850" w:end="0"/>
        <w:jc w:val="both"/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</w:r>
    </w:p>
    <w:p>
      <w:pPr>
        <w:pStyle w:val="LO-Normal"/>
        <w:spacing w:lineRule="auto" w:line="360" w:before="0" w:after="0"/>
        <w:jc w:val="both"/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ПОСТАВЩИК:</w:t>
        <w:tab/>
        <w:tab/>
        <w:t xml:space="preserve">        </w:t>
        <w:tab/>
        <w:tab/>
        <w:t xml:space="preserve">                            ЗАКАЗЧИК:</w:t>
      </w:r>
    </w:p>
    <w:p>
      <w:pPr>
        <w:pStyle w:val="LO-Normal"/>
        <w:spacing w:lineRule="auto" w:line="360" w:before="0" w:after="0"/>
        <w:jc w:val="both"/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 xml:space="preserve">                                                                                                  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Заместитель руководителя</w:t>
      </w:r>
    </w:p>
    <w:p>
      <w:pPr>
        <w:pStyle w:val="BodyText"/>
        <w:spacing w:before="0" w:after="120"/>
        <w:jc w:val="both"/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______________ /____________ /</w:t>
        <w:tab/>
        <w:tab/>
        <w:t xml:space="preserve">                             _______________ /А.В. Емельянов/                                                               </w:t>
      </w:r>
    </w:p>
    <w:sectPr>
      <w:type w:val="nextPage"/>
      <w:pgSz w:w="11906" w:h="16838"/>
      <w:pgMar w:left="1600" w:right="630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Times New Roman">
    <w:charset w:val="cc" w:characterSet="windows-1251"/>
    <w:family w:val="roman"/>
    <w:pitch w:val="variable"/>
  </w:font>
  <w:font w:name="Cambria">
    <w:charset w:val="0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modern"/>
    <w:pitch w:val="default"/>
  </w:font>
  <w:font w:name="Wingdings">
    <w:charset w:val="02"/>
    <w:family w:val="auto"/>
    <w:pitch w:val="variable"/>
  </w:font>
  <w:font w:name="Consolas">
    <w:charset w:val="cc" w:characterSet="windows-1251"/>
    <w:family w:val="modern"/>
    <w:pitch w:val="default"/>
  </w:font>
  <w:font w:name="Arial">
    <w:charset w:val="cc" w:characterSet="windows-1251"/>
    <w:family w:val="swiss"/>
    <w:pitch w:val="variable"/>
  </w:font>
  <w:font w:name="OpenSymbol">
    <w:altName w:val="Arial Unicode MS"/>
    <w:charset w:val="02"/>
    <w:family w:val="auto"/>
    <w:pitch w:val="default"/>
  </w:font>
  <w:font w:name="Times New Roman"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  <w:font w:name="Verdana">
    <w:charset w:val="cc" w:characterSet="windows-1251"/>
    <w:family w:val="roman"/>
    <w:pitch w:val="variable"/>
  </w:font>
  <w:font w:name="PT Astra Serif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suppressAutoHyphens w:val="false"/>
      <w:autoSpaceDE w:val="true"/>
      <w:outlineLvl w:val="2"/>
    </w:pPr>
    <w:rPr>
      <w:bCs/>
      <w:sz w:val="28"/>
    </w:rPr>
  </w:style>
  <w:style w:type="character" w:styleId="Style11">
    <w:name w:val="Основной шрифт абзаца"/>
    <w:qFormat/>
    <w:rPr/>
  </w:style>
  <w:style w:type="character" w:styleId="WW8Num1z1">
    <w:name w:val="WW8Num1z1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</w:rPr>
  </w:style>
  <w:style w:type="character" w:styleId="WW8Num2z1">
    <w:name w:val="WW8Num2z1"/>
    <w:qFormat/>
    <w:rPr>
      <w:rFonts w:ascii="Times New Roman" w:hAnsi="Times New Roman" w:cs="Times New Roman"/>
      <w:b w:val="false"/>
      <w:bCs w:val="false"/>
      <w:i w:val="false"/>
      <w:sz w:val="22"/>
      <w:szCs w:val="22"/>
      <w:shd w:fill="FFFF00" w:val="clear"/>
      <w:lang w:val="ru-RU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>
      <w:sz w:val="24"/>
      <w:szCs w:val="24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color w:val="000000"/>
    </w:rPr>
  </w:style>
  <w:style w:type="character" w:styleId="WW8Num11z0">
    <w:name w:val="WW8Num11z0"/>
    <w:qFormat/>
    <w:rPr/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cs="Times New Roman"/>
      <w:b w:val="false"/>
      <w:bCs/>
      <w:i w:val="false"/>
      <w:iCs w:val="false"/>
      <w:sz w:val="24"/>
      <w:szCs w:val="24"/>
    </w:rPr>
  </w:style>
  <w:style w:type="character" w:styleId="WW8Num15z1">
    <w:name w:val="WW8Num15z1"/>
    <w:qFormat/>
    <w:rPr>
      <w:rFonts w:cs="Times New Roman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/>
  </w:style>
  <w:style w:type="character" w:styleId="1">
    <w:name w:val="Основной шрифт абзаца1"/>
    <w:qFormat/>
    <w:rPr/>
  </w:style>
  <w:style w:type="character" w:styleId="Style12">
    <w:name w:val="Символ сноски"/>
    <w:basedOn w:val="1"/>
    <w:qFormat/>
    <w:rPr>
      <w:vertAlign w:val="superscript"/>
    </w:rPr>
  </w:style>
  <w:style w:type="character" w:styleId="Style13">
    <w:name w:val="Текст Знак"/>
    <w:qFormat/>
    <w:rPr>
      <w:rFonts w:ascii="Consolas" w:hAnsi="Consolas" w:cs="Consolas"/>
      <w:sz w:val="21"/>
      <w:szCs w:val="21"/>
      <w:lang w:val="ru-RU" w:bidi="ar-SA"/>
    </w:rPr>
  </w:style>
  <w:style w:type="character" w:styleId="Style14">
    <w:name w:val="Основной текст Знак"/>
    <w:basedOn w:val="1"/>
    <w:qFormat/>
    <w:rPr/>
  </w:style>
  <w:style w:type="character" w:styleId="Strong">
    <w:name w:val="Strong"/>
    <w:basedOn w:val="1"/>
    <w:qFormat/>
    <w:rPr>
      <w:b/>
      <w:bCs/>
    </w:rPr>
  </w:style>
  <w:style w:type="character" w:styleId="Hyperlink">
    <w:name w:val="Hyperlink"/>
    <w:basedOn w:val="1"/>
    <w:rPr>
      <w:color w:val="0000FF"/>
      <w:u w:val="single"/>
    </w:rPr>
  </w:style>
  <w:style w:type="character" w:styleId="ConsPlusNonformat">
    <w:name w:val="ConsPlusNonformat Знак"/>
    <w:qFormat/>
    <w:rPr>
      <w:rFonts w:ascii="Courier New" w:hAnsi="Courier New" w:eastAsia="Calibri" w:cs="Courier New"/>
      <w:lang w:val="ru-RU" w:bidi="ar-SA"/>
    </w:rPr>
  </w:style>
  <w:style w:type="character" w:styleId="ConsPlusNormal">
    <w:name w:val="ConsPlusNormal Знак"/>
    <w:basedOn w:val="1"/>
    <w:qFormat/>
    <w:rPr>
      <w:rFonts w:ascii="Arial" w:hAnsi="Arial" w:cs="Arial"/>
      <w:lang w:val="ru-RU" w:bidi="ar-SA"/>
    </w:rPr>
  </w:style>
  <w:style w:type="character" w:styleId="Bodytext2">
    <w:name w:val="Body text (2)_"/>
    <w:basedOn w:val="1"/>
    <w:qFormat/>
    <w:rPr>
      <w:rFonts w:ascii="Arial" w:hAnsi="Arial" w:eastAsia="Arial" w:cs="Arial"/>
      <w:shd w:fill="FFFFFF" w:val="clear"/>
    </w:rPr>
  </w:style>
  <w:style w:type="character" w:styleId="11">
    <w:name w:val="Обычный (веб) Знак1"/>
    <w:qFormat/>
    <w:rPr>
      <w:sz w:val="24"/>
      <w:szCs w:val="24"/>
    </w:rPr>
  </w:style>
  <w:style w:type="character" w:styleId="Emphasis">
    <w:name w:val="Emphasis"/>
    <w:basedOn w:val="1"/>
    <w:qFormat/>
    <w:rPr>
      <w:i/>
      <w:iCs/>
    </w:rPr>
  </w:style>
  <w:style w:type="character" w:styleId="right">
    <w:name w:val="right"/>
    <w:basedOn w:val="1"/>
    <w:qFormat/>
    <w:rPr/>
  </w:style>
  <w:style w:type="character" w:styleId="12">
    <w:name w:val="Заголовок 1 Знак"/>
    <w:basedOn w:val="1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2">
    <w:name w:val="Заголовок 2 Знак"/>
    <w:basedOn w:val="1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21">
    <w:name w:val="Основной текст 2 Знак"/>
    <w:basedOn w:val="1"/>
    <w:qFormat/>
    <w:rPr/>
  </w:style>
  <w:style w:type="character" w:styleId="Style15">
    <w:name w:val="Нижний колонтитул Знак"/>
    <w:basedOn w:val="1"/>
    <w:qFormat/>
    <w:rPr>
      <w:rFonts w:eastAsia="Lucida Sans Unicode" w:cs="Mangal"/>
      <w:kern w:val="2"/>
      <w:sz w:val="24"/>
      <w:szCs w:val="21"/>
      <w:lang w:bidi="hi-IN"/>
    </w:rPr>
  </w:style>
  <w:style w:type="character" w:styleId="Style16">
    <w:name w:val="Без интервала Знак"/>
    <w:qFormat/>
    <w:rPr>
      <w:lang w:bidi="ar-SA"/>
    </w:rPr>
  </w:style>
  <w:style w:type="character" w:styleId="3">
    <w:name w:val="Основной текст (3)_"/>
    <w:qFormat/>
    <w:rPr>
      <w:b/>
      <w:sz w:val="24"/>
    </w:rPr>
  </w:style>
  <w:style w:type="character" w:styleId="Style17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8">
    <w:name w:val="Верх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;Times New Roman" w:hAnsi="PT Astra Serif;Times New Roman" w:eastAsia="Tahoma" w:cs="Noto Sans Devanagari;Times New Roman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Normal"/>
    <w:pPr>
      <w:widowControl/>
      <w:autoSpaceDE w:val="true"/>
      <w:ind w:hanging="283" w:start="283" w:end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Times New Roman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ascii="PT Astra Serif;Times New Roman" w:hAnsi="PT Astra Serif;Times New Roman" w:cs="Noto Sans Devanagari;Times New Roman"/>
    </w:rPr>
  </w:style>
  <w:style w:type="paragraph" w:styleId="LO-Normal">
    <w:name w:val="LO-Normal"/>
    <w:qFormat/>
    <w:pPr>
      <w:widowControl/>
      <w:suppressAutoHyphens w:val="true"/>
      <w:bidi w:val="0"/>
      <w:spacing w:before="100" w:after="100"/>
    </w:pPr>
    <w:rPr>
      <w:rFonts w:ascii="Times New Roman" w:hAnsi="Times New Roman" w:eastAsia="Arial" w:cs="Times New Roman"/>
      <w:color w:val="auto"/>
      <w:sz w:val="24"/>
      <w:szCs w:val="20"/>
      <w:lang w:val="ru-RU" w:eastAsia="zh-CN" w:bidi="ar-SA"/>
    </w:rPr>
  </w:style>
  <w:style w:type="paragraph" w:styleId="BodyTextIndent">
    <w:name w:val="Body Text Indent"/>
    <w:basedOn w:val="Normal"/>
    <w:pPr>
      <w:widowControl/>
      <w:autoSpaceDE w:val="true"/>
      <w:ind w:firstLine="567" w:start="0" w:end="0"/>
    </w:pPr>
    <w:rPr>
      <w:b/>
      <w:sz w:val="24"/>
    </w:rPr>
  </w:style>
  <w:style w:type="paragraph" w:styleId="FootnoteText">
    <w:name w:val="footnote text"/>
    <w:basedOn w:val="Normal"/>
    <w:pPr>
      <w:suppressLineNumbers/>
      <w:ind w:hanging="283" w:start="283" w:end="0"/>
    </w:pPr>
    <w:rPr/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3">
    <w:name w:val="Абзац списка"/>
    <w:basedOn w:val="Normal"/>
    <w:qFormat/>
    <w:pPr>
      <w:widowControl/>
      <w:suppressAutoHyphens w:val="false"/>
      <w:autoSpaceDE w:val="true"/>
      <w:spacing w:lineRule="auto" w:line="276" w:before="0" w:after="200"/>
      <w:ind w:hanging="0" w:start="720" w:end="0"/>
      <w:contextualSpacing/>
    </w:pPr>
    <w:rPr>
      <w:rFonts w:ascii="Calibri" w:hAnsi="Calibri" w:eastAsia="Calibri" w:cs="Calibri"/>
      <w:sz w:val="22"/>
      <w:szCs w:val="22"/>
    </w:rPr>
  </w:style>
  <w:style w:type="paragraph" w:styleId="14">
    <w:name w:val="Текст1"/>
    <w:basedOn w:val="Normal"/>
    <w:qFormat/>
    <w:pPr>
      <w:widowControl/>
      <w:suppressAutoHyphens w:val="false"/>
      <w:autoSpaceDE w:val="true"/>
    </w:pPr>
    <w:rPr>
      <w:rFonts w:ascii="Consolas" w:hAnsi="Consolas" w:cs="Consolas"/>
      <w:sz w:val="21"/>
      <w:szCs w:val="21"/>
      <w:lang w:val="ru-RU"/>
    </w:rPr>
  </w:style>
  <w:style w:type="paragraph" w:styleId="211">
    <w:name w:val="Основной текст 21"/>
    <w:basedOn w:val="Normal"/>
    <w:qFormat/>
    <w:pPr>
      <w:spacing w:lineRule="auto" w:line="480" w:before="0" w:after="120"/>
    </w:pPr>
    <w:rPr/>
  </w:style>
  <w:style w:type="paragraph" w:styleId="Style24">
    <w:name w:val="Обычный (веб)"/>
    <w:basedOn w:val="Normal"/>
    <w:qFormat/>
    <w:pPr>
      <w:widowControl/>
      <w:suppressAutoHyphens w:val="false"/>
      <w:autoSpaceDE w:val="true"/>
      <w:spacing w:before="280" w:after="280"/>
    </w:pPr>
    <w:rPr>
      <w:sz w:val="24"/>
      <w:szCs w:val="24"/>
      <w:lang w:val="ru-RU"/>
    </w:rPr>
  </w:style>
  <w:style w:type="paragraph" w:styleId="ConsPlusNonformat1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Calibri" w:cs="Courier New"/>
      <w:color w:val="auto"/>
      <w:sz w:val="20"/>
      <w:szCs w:val="20"/>
      <w:lang w:val="ru-RU" w:eastAsia="zh-CN" w:bidi="ar-SA"/>
    </w:rPr>
  </w:style>
  <w:style w:type="paragraph" w:styleId="Bodytext21">
    <w:name w:val="Body text (2)"/>
    <w:basedOn w:val="Normal"/>
    <w:qFormat/>
    <w:pPr>
      <w:shd w:fill="FFFFFF" w:val="clear"/>
      <w:suppressAutoHyphens w:val="false"/>
      <w:autoSpaceDE w:val="true"/>
      <w:spacing w:lineRule="exact" w:line="226" w:before="0" w:after="180"/>
      <w:jc w:val="end"/>
    </w:pPr>
    <w:rPr>
      <w:rFonts w:ascii="Arial" w:hAnsi="Arial" w:eastAsia="Arial" w:cs="Arial"/>
    </w:rPr>
  </w:style>
  <w:style w:type="paragraph" w:styleId="western">
    <w:name w:val="western"/>
    <w:basedOn w:val="Normal"/>
    <w:qFormat/>
    <w:pPr>
      <w:widowControl/>
      <w:suppressAutoHyphens w:val="false"/>
      <w:autoSpaceDE w:val="true"/>
      <w:spacing w:before="280" w:after="280"/>
    </w:pPr>
    <w:rPr>
      <w:sz w:val="24"/>
      <w:szCs w:val="24"/>
    </w:rPr>
  </w:style>
  <w:style w:type="paragraph" w:styleId="Style25">
    <w:name w:val="Без интервала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autoSpaceDE w:val="true"/>
    </w:pPr>
    <w:rPr>
      <w:rFonts w:eastAsia="Lucida Sans Unicode" w:cs="Mangal"/>
      <w:kern w:val="2"/>
      <w:sz w:val="24"/>
      <w:szCs w:val="21"/>
      <w:lang w:bidi="hi-IN"/>
    </w:rPr>
  </w:style>
  <w:style w:type="paragraph" w:styleId="31">
    <w:name w:val="Основной текст (3)"/>
    <w:basedOn w:val="Normal"/>
    <w:qFormat/>
    <w:pPr>
      <w:widowControl/>
      <w:suppressAutoHyphens w:val="false"/>
      <w:autoSpaceDE w:val="true"/>
      <w:spacing w:lineRule="exact" w:line="278"/>
    </w:pPr>
    <w:rPr>
      <w:b/>
      <w:sz w:val="24"/>
      <w:lang w:val="ru-RU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 w:val="false"/>
      <w:suppressAutoHyphens w:val="true"/>
      <w:bidi w:val="0"/>
      <w:jc w:val="start"/>
    </w:pPr>
    <w:rPr>
      <w:rFonts w:ascii="Times New Roman" w:hAnsi="Times New Roman" w:eastAsia="Lucida Sans Unicode" w:cs="Mangal"/>
      <w:color w:val="auto"/>
      <w:kern w:val="2"/>
      <w:sz w:val="24"/>
      <w:szCs w:val="24"/>
      <w:lang w:val="ru-RU" w:eastAsia="zh-CN" w:bidi="hi-IN"/>
    </w:rPr>
  </w:style>
  <w:style w:type="paragraph" w:styleId="15">
    <w:name w:val="Обычный1"/>
    <w:qFormat/>
    <w:pPr>
      <w:widowControl/>
      <w:suppressAutoHyphens w:val="true"/>
      <w:bidi w:val="0"/>
      <w:jc w:val="start"/>
    </w:pPr>
    <w:rPr>
      <w:rFonts w:ascii="Times New Roman" w:hAnsi="Times New Roman" w:eastAsia="Times New Roman" w:cs="Times New Roman"/>
      <w:color w:val="auto"/>
      <w:kern w:val="2"/>
      <w:sz w:val="28"/>
      <w:szCs w:val="20"/>
      <w:lang w:val="ru-RU" w:eastAsia="zh-CN" w:bidi="ar-SA"/>
    </w:rPr>
  </w:style>
  <w:style w:type="paragraph" w:styleId="Style30">
    <w:name w:val="Знак Знак Знак Знак"/>
    <w:basedOn w:val="Normal"/>
    <w:qFormat/>
    <w:pPr>
      <w:widowControl/>
      <w:suppressAutoHyphens w:val="true"/>
      <w:bidi w:val="0"/>
      <w:spacing w:lineRule="exact" w:line="240" w:before="0" w:after="160"/>
      <w:jc w:val="start"/>
    </w:pPr>
    <w:rPr>
      <w:rFonts w:ascii="Verdana" w:hAnsi="Verdana" w:cs="Verdana"/>
      <w:color w:val="auto"/>
      <w:sz w:val="24"/>
      <w:szCs w:val="24"/>
      <w:lang w:val="en-US" w:eastAsia="zh-CN" w:bidi="ar-SA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widowControl/>
      <w:suppressAutoHyphens w:val="true"/>
      <w:bidi w:val="0"/>
      <w:spacing w:before="120" w:after="120"/>
      <w:jc w:val="star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Caption111111112">
    <w:name w:val="Caption111111112"/>
    <w:basedOn w:val="Normal"/>
    <w:qFormat/>
    <w:pPr>
      <w:widowControl/>
      <w:suppressAutoHyphens w:val="true"/>
      <w:bidi w:val="0"/>
      <w:spacing w:before="120" w:after="120"/>
      <w:jc w:val="star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16">
    <w:name w:val="Заголовок1"/>
    <w:basedOn w:val="Normal"/>
    <w:qFormat/>
    <w:pPr>
      <w:widowControl/>
      <w:suppressAutoHyphens w:val="true"/>
      <w:bidi w:val="0"/>
      <w:jc w:val="center"/>
    </w:pPr>
    <w:rPr>
      <w:b/>
      <w:bCs/>
      <w:color w:val="auto"/>
      <w:sz w:val="32"/>
      <w:szCs w:val="24"/>
      <w:lang w:val="ru-RU" w:eastAsia="zh-CN" w:bidi="ar-SA"/>
    </w:rPr>
  </w:style>
  <w:style w:type="paragraph" w:styleId="Caption2">
    <w:name w:val="Caption2"/>
    <w:basedOn w:val="Normal"/>
    <w:qFormat/>
    <w:pPr>
      <w:widowControl/>
      <w:suppressAutoHyphens w:val="true"/>
      <w:bidi w:val="0"/>
      <w:spacing w:before="120" w:after="120"/>
      <w:jc w:val="start"/>
    </w:pPr>
    <w:rPr>
      <w:rFonts w:ascii="PT Astra Serif" w:hAnsi="PT Astra Serif" w:cs="Noto Sans Devanagari"/>
      <w:i/>
      <w:iCs/>
      <w:color w:val="auto"/>
      <w:sz w:val="24"/>
      <w:szCs w:val="24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firstLine="720" w:start="720" w:end="0"/>
      <w:contextualSpacing/>
      <w:jc w:val="both"/>
    </w:pPr>
    <w:rPr>
      <w:rFonts w:ascii="Times New Roman" w:hAnsi="Times New Roman" w:eastAsia="Calibri" w:cs="Times New Roman"/>
      <w:sz w:val="28"/>
      <w:lang w:eastAsia="en-U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Application>LibreOffice/25.8.4.2$Linux_X86_64 LibreOffice_project/580$Build-2</Application>
  <AppVersion>15.0000</AppVersion>
  <Pages>6</Pages>
  <Words>1495</Words>
  <Characters>9891</Characters>
  <CharactersWithSpaces>11689</CharactersWithSpaces>
  <Paragraphs>180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mto-1</dc:creator>
  <dc:description/>
  <dc:language>ru-RU</dc:language>
  <cp:lastModifiedBy/>
  <cp:lastPrinted>2026-04-16T14:14:00Z</cp:lastPrinted>
  <dcterms:modified xsi:type="dcterms:W3CDTF">2026-07-28T09:16:38Z</dcterms:modified>
  <cp:revision>54</cp:revision>
  <dc:subject/>
  <dc:title/>
</cp:coreProperties>
</file>