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</w:r>
      <w:bookmarkStart w:id="8" w:name="_Hlk490910540"/>
      <w:r>
        <w:rPr>
          <w:sz w:val="24"/>
          <w:szCs w:val="24"/>
        </w:rPr>
      </w:r>
      <w:bookmarkEnd w:id="8"/>
      <w:r>
        <w:rPr>
          <w:rFonts w:ascii="Times New Roman" w:hAnsi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7"/>
        <w:keepNext w:val="true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Выполнение работ по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монтажу сплит-системы в помещении пятого этажа здания </w:t>
        <w:br/>
        <w:t xml:space="preserve">для нужд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Федерального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агентства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 делам молодежи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по адресу: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г. Москва,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Большой Трёхсвятительский пер., д. 2/1, с. 2.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7"/>
        <w:keepNext w:val="true"/>
        <w:pBdr/>
        <w:spacing w:after="0" w:line="240" w:lineRule="auto"/>
        <w:ind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pStyle w:val="897"/>
        <w:keepNext w:val="true"/>
        <w:pBdr/>
        <w:spacing w:after="0" w:line="240" w:lineRule="auto"/>
        <w:ind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numPr>
          <w:ilvl w:val="0"/>
          <w:numId w:val="1"/>
        </w:numPr>
        <w:pBdr/>
        <w:tabs>
          <w:tab w:val="left" w:leader="none" w:pos="0"/>
        </w:tabs>
        <w:spacing/>
        <w:ind w:right="-31" w:firstLine="0" w:left="0"/>
        <w:contextualSpacing w:val="true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szCs w:val="24"/>
        </w:rPr>
        <w:t xml:space="preserve">Предмет Договора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Выполнение работ по монтажу сплит-системы 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помещении пятого этажа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здания для нужд Федерального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агентства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делам молодежи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г. Москва,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Большой Трёхсвятительский пер., д. 2/1, с. 2.</w:t>
      </w:r>
      <w:r>
        <w:rPr>
          <w:rFonts w:ascii="Times New Roman" w:hAnsi="Times New Roman"/>
          <w:spacing w:val="2"/>
          <w:szCs w:val="24"/>
        </w:rPr>
      </w:r>
      <w:r>
        <w:rPr>
          <w:rFonts w:ascii="Times New Roman" w:hAnsi="Times New Roman"/>
          <w:spacing w:val="2"/>
          <w:szCs w:val="24"/>
        </w:rPr>
      </w:r>
    </w:p>
    <w:p>
      <w:pPr>
        <w:numPr>
          <w:ilvl w:val="0"/>
          <w:numId w:val="1"/>
        </w:numPr>
        <w:pBdr/>
        <w:tabs>
          <w:tab w:val="left" w:leader="none" w:pos="0"/>
        </w:tabs>
        <w:spacing/>
        <w:ind w:right="-31" w:firstLine="0" w:left="0"/>
        <w:contextualSpacing w:val="true"/>
        <w:jc w:val="both"/>
        <w:rPr>
          <w:rFonts w:ascii="Times New Roman" w:hAnsi="Times New Roman"/>
          <w:spacing w:val="2"/>
          <w:szCs w:val="24"/>
        </w:rPr>
      </w:pPr>
      <w:r>
        <w:rPr>
          <w:rFonts w:ascii="Times New Roman" w:hAnsi="Times New Roman"/>
          <w:b/>
          <w:bCs/>
          <w:spacing w:val="2"/>
          <w:szCs w:val="24"/>
        </w:rPr>
        <w:t xml:space="preserve">Место оказания услуг: </w:t>
      </w:r>
      <w:r>
        <w:rPr>
          <w:rFonts w:ascii="Times New Roman" w:hAnsi="Times New Roman"/>
          <w:spacing w:val="2"/>
          <w:szCs w:val="24"/>
        </w:rPr>
        <w:t xml:space="preserve">Российская Федерация, 109028, </w:t>
      </w:r>
      <w:r>
        <w:rPr>
          <w:rFonts w:ascii="Times New Roman" w:hAnsi="Times New Roman"/>
          <w:bCs/>
          <w:szCs w:val="24"/>
        </w:rPr>
        <w:t xml:space="preserve">г. Москва, 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Большой 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Трёхсвятительский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 пер., д. 2/1, с. 2</w:t>
      </w:r>
      <w:r>
        <w:rPr>
          <w:rFonts w:ascii="Times New Roman" w:hAnsi="Times New Roman"/>
          <w:spacing w:val="2"/>
          <w:szCs w:val="24"/>
        </w:rPr>
        <w:t xml:space="preserve">. (далее – Объект).</w:t>
      </w:r>
      <w:r>
        <w:rPr>
          <w:rFonts w:ascii="Times New Roman" w:hAnsi="Times New Roman"/>
          <w:spacing w:val="2"/>
          <w:szCs w:val="24"/>
        </w:rPr>
      </w:r>
      <w:r>
        <w:rPr>
          <w:rFonts w:ascii="Times New Roman" w:hAnsi="Times New Roman"/>
          <w:spacing w:val="2"/>
          <w:szCs w:val="24"/>
        </w:rPr>
      </w:r>
    </w:p>
    <w:p>
      <w:pPr>
        <w:pStyle w:val="896"/>
        <w:numPr>
          <w:ilvl w:val="0"/>
          <w:numId w:val="1"/>
        </w:numPr>
        <w:pBdr/>
        <w:tabs>
          <w:tab w:val="left" w:leader="none" w:pos="0"/>
          <w:tab w:val="clear" w:leader="none" w:pos="360"/>
          <w:tab w:val="left" w:leader="none" w:pos="426"/>
          <w:tab w:val="left" w:leader="none" w:pos="7007"/>
        </w:tabs>
        <w:spacing/>
        <w:ind w:right="-31" w:firstLine="0" w:left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pacing w:val="2"/>
          <w:szCs w:val="24"/>
        </w:rPr>
        <w:t xml:space="preserve">Сроки оказания услуг: </w:t>
      </w:r>
      <w:r>
        <w:rPr>
          <w:rFonts w:ascii="Times New Roman" w:hAnsi="Times New Roman"/>
          <w:bCs/>
          <w:spacing w:val="2"/>
          <w:szCs w:val="24"/>
        </w:rPr>
        <w:t xml:space="preserve">с</w:t>
      </w:r>
      <w:r>
        <w:rPr>
          <w:rFonts w:ascii="Times New Roman" w:hAnsi="Times New Roman"/>
          <w:spacing w:val="2"/>
          <w:szCs w:val="24"/>
        </w:rPr>
        <w:t xml:space="preserve"> даты заключения Контракта по 31 июля 2026 года.</w:t>
      </w:r>
      <w:r>
        <w:rPr>
          <w:rFonts w:ascii="Times New Roman" w:hAnsi="Times New Roman"/>
          <w:b/>
          <w:bCs/>
          <w:szCs w:val="24"/>
        </w:rPr>
      </w:r>
      <w:r>
        <w:rPr>
          <w:rFonts w:ascii="Times New Roman" w:hAnsi="Times New Roman"/>
          <w:b/>
          <w:bCs/>
          <w:szCs w:val="24"/>
        </w:rPr>
      </w:r>
    </w:p>
    <w:p>
      <w:pPr>
        <w:pStyle w:val="896"/>
        <w:pBdr/>
        <w:spacing/>
        <w:ind w:right="-31"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4.    Объём работ: </w:t>
      </w:r>
      <w:r>
        <w:rPr>
          <w:rFonts w:ascii="Times New Roman" w:hAnsi="Times New Roman"/>
          <w:bCs/>
          <w:szCs w:val="24"/>
        </w:rPr>
        <w:t xml:space="preserve">указан в Приложении № 1 к Техническому заданию.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spacing/>
        <w:ind w:right="-3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5.    Режим работы</w:t>
      </w:r>
      <w:r>
        <w:rPr>
          <w:rFonts w:ascii="Times New Roman" w:hAnsi="Times New Roman"/>
          <w:bCs/>
          <w:szCs w:val="24"/>
        </w:rPr>
        <w:t xml:space="preserve">: с 10:00 по 17:00 по моско</w:t>
      </w:r>
      <w:r>
        <w:rPr>
          <w:rFonts w:ascii="Times New Roman" w:hAnsi="Times New Roman"/>
          <w:bCs/>
          <w:szCs w:val="24"/>
        </w:rPr>
        <w:t xml:space="preserve">вскому времени в рабочие дни (в ночные часы, выходные и праздничные дни по согласованию с Заказчиком).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pBdr/>
        <w:tabs>
          <w:tab w:val="left" w:leader="none" w:pos="901"/>
        </w:tabs>
        <w:spacing w:before="1"/>
        <w:ind w:right="-31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b/>
          <w:bCs/>
        </w:rPr>
        <w:t xml:space="preserve">Требования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 xml:space="preserve">к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 xml:space="preserve">используемым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 xml:space="preserve">материалам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 xml:space="preserve">и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  <w:spacing w:val="-2"/>
        </w:rPr>
        <w:t xml:space="preserve">изделиям</w:t>
      </w:r>
      <w:r>
        <w:rPr>
          <w:rFonts w:ascii="Times New Roman" w:hAnsi="Times New Roman"/>
          <w:b/>
          <w:bCs/>
          <w:lang w:val="en-US"/>
        </w:rPr>
        <w:t xml:space="preserve">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before="76"/>
        <w:ind w:right="-31" w:firstLine="567"/>
        <w:contextualSpacing w:val="true"/>
        <w:rPr>
          <w:rFonts w:ascii="Times New Roman" w:hAnsi="Times New Roman"/>
          <w:color w:val="000009"/>
        </w:rPr>
      </w:pPr>
      <w:r>
        <w:rPr>
          <w:rFonts w:ascii="Times New Roman" w:hAnsi="Times New Roman"/>
          <w:color w:val="000009"/>
        </w:rPr>
        <w:t xml:space="preserve">6.1. </w:t>
      </w:r>
      <w:r>
        <w:rPr>
          <w:rFonts w:ascii="Times New Roman" w:hAnsi="Times New Roman"/>
          <w:color w:val="000009"/>
        </w:rPr>
        <w:t xml:space="preserve">Все используемые при производстве работ материалы и оборудование должны быть новыми, не бывшими в употреблении, не снятыми с производства, не бывшими на хранении с нарушениями правил хранения, не транспортировавшимися с нарушениями правил транспортировки, </w:t>
      </w:r>
      <w:r>
        <w:rPr>
          <w:rFonts w:ascii="Times New Roman" w:hAnsi="Times New Roman"/>
          <w:color w:val="000009"/>
        </w:rPr>
        <w:t xml:space="preserve">не имеющими в своем составе материалов, наносящих вред здоровью человека и окружающей среде, не содержащими соединения, разрушающие озоновый слой.</w:t>
      </w:r>
      <w:r>
        <w:rPr>
          <w:rFonts w:ascii="Times New Roman" w:hAnsi="Times New Roman"/>
          <w:color w:val="000009"/>
        </w:rPr>
      </w:r>
      <w:r>
        <w:rPr>
          <w:rFonts w:ascii="Times New Roman" w:hAnsi="Times New Roman"/>
          <w:color w:val="000009"/>
        </w:rPr>
      </w:r>
    </w:p>
    <w:p>
      <w:pPr>
        <w:pStyle w:val="898"/>
        <w:pBdr/>
        <w:spacing w:before="76"/>
        <w:ind w:right="-31" w:firstLine="567"/>
        <w:contextualSpacing w:val="true"/>
        <w:rPr>
          <w:rFonts w:ascii="Times New Roman" w:hAnsi="Times New Roman"/>
          <w:color w:val="000009"/>
        </w:rPr>
      </w:pPr>
      <w:r>
        <w:rPr>
          <w:rFonts w:ascii="Times New Roman" w:hAnsi="Times New Roman"/>
          <w:color w:val="000009"/>
        </w:rPr>
        <w:t xml:space="preserve">6.2. При выборе марок, типов и наименований используемых материалов подрядчик должен руководствоваться сметно</w:t>
      </w:r>
      <w:r>
        <w:rPr>
          <w:rFonts w:ascii="Times New Roman" w:hAnsi="Times New Roman"/>
          <w:color w:val="000009"/>
        </w:rPr>
        <w:t xml:space="preserve">й документацией, настоящим техническим заданием, также подтверждающими качество материалов сертификатами, необходимыми испытаниями образцов или соответствующими актами освидетельствования.</w:t>
      </w:r>
      <w:r>
        <w:rPr>
          <w:rFonts w:ascii="Times New Roman" w:hAnsi="Times New Roman"/>
          <w:color w:val="000009"/>
        </w:rPr>
      </w:r>
      <w:r>
        <w:rPr>
          <w:rFonts w:ascii="Times New Roman" w:hAnsi="Times New Roman"/>
          <w:color w:val="000009"/>
        </w:rPr>
      </w:r>
    </w:p>
    <w:p>
      <w:pPr>
        <w:pStyle w:val="898"/>
        <w:pBdr/>
        <w:spacing w:before="76"/>
        <w:ind w:right="-31" w:firstLine="567"/>
        <w:contextualSpacing w:val="true"/>
        <w:rPr>
          <w:rFonts w:ascii="Times New Roman" w:hAnsi="Times New Roman"/>
          <w:color w:val="000009"/>
        </w:rPr>
      </w:pPr>
      <w:r>
        <w:rPr>
          <w:rFonts w:ascii="Times New Roman" w:hAnsi="Times New Roman"/>
          <w:color w:val="000009"/>
        </w:rPr>
        <w:t xml:space="preserve">6.3. Подрядчик несет ответственность за соответствие используемых м</w:t>
      </w:r>
      <w:r>
        <w:rPr>
          <w:rFonts w:ascii="Times New Roman" w:hAnsi="Times New Roman"/>
          <w:color w:val="000009"/>
        </w:rPr>
        <w:t xml:space="preserve">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договора материалов </w:t>
      </w:r>
      <w:r>
        <w:rPr>
          <w:rFonts w:ascii="Times New Roman" w:hAnsi="Times New Roman"/>
          <w:color w:val="000009"/>
        </w:rPr>
        <w:br/>
        <w:t xml:space="preserve">до сдачи готового объекта к эксплуатации.</w:t>
      </w:r>
      <w:r>
        <w:rPr>
          <w:rFonts w:ascii="Times New Roman" w:hAnsi="Times New Roman"/>
          <w:color w:val="000009"/>
        </w:rPr>
      </w:r>
      <w:r>
        <w:rPr>
          <w:rFonts w:ascii="Times New Roman" w:hAnsi="Times New Roman"/>
          <w:color w:val="000009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901"/>
        </w:tabs>
        <w:spacing/>
        <w:ind w:right="-31" w:hanging="142" w:left="142"/>
        <w:contextualSpacing w:val="true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7. Порядок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сдачи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приемки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резуль</w:t>
      </w:r>
      <w:r>
        <w:rPr>
          <w:rFonts w:ascii="Times New Roman" w:hAnsi="Times New Roman"/>
        </w:rPr>
        <w:t xml:space="preserve">татов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 xml:space="preserve">Работ</w:t>
      </w:r>
      <w:r>
        <w:rPr>
          <w:rFonts w:ascii="Times New Roman" w:hAnsi="Times New Roman"/>
          <w:spacing w:val="-2"/>
        </w:rPr>
      </w:r>
      <w:r>
        <w:rPr>
          <w:rFonts w:ascii="Times New Roman" w:hAnsi="Times New Roman"/>
          <w:spacing w:val="-2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7.1. Сдача Подрядчиком результата работ и приемка его Заказчиком оформляется актом </w:t>
      </w:r>
      <w:r>
        <w:rPr>
          <w:rFonts w:ascii="Times New Roman" w:hAnsi="Times New Roman"/>
          <w:color w:val="000009"/>
        </w:rPr>
        <w:t xml:space="preserve">о </w:t>
      </w:r>
      <w:r>
        <w:rPr>
          <w:rFonts w:ascii="Times New Roman" w:hAnsi="Times New Roman"/>
        </w:rPr>
        <w:t xml:space="preserve">приемке выполненных работ по форме КС-2, справкой о стоимости выполненных работ </w:t>
      </w:r>
      <w:r>
        <w:rPr>
          <w:rFonts w:ascii="Times New Roman" w:hAnsi="Times New Roman"/>
        </w:rPr>
        <w:t xml:space="preserve">по форме КС-3, подписанными Сторонами;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7.2. Приёмка объекта Заказчиком произв</w:t>
      </w:r>
      <w:r>
        <w:rPr>
          <w:rFonts w:ascii="Times New Roman" w:hAnsi="Times New Roman"/>
          <w:color w:val="000009"/>
        </w:rPr>
        <w:t xml:space="preserve">одится в течение 5 рабочих дней с момента окончания работ и предоставления Подрядчиком актом о приемке выполненных работ </w:t>
      </w:r>
      <w:r>
        <w:rPr>
          <w:rFonts w:ascii="Times New Roman" w:hAnsi="Times New Roman"/>
          <w:color w:val="000009"/>
        </w:rPr>
        <w:br/>
        <w:t xml:space="preserve">по форме КС-2, справкой о стоимости выполненных работ по форме КС-3;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7.3. При обнаружении в ходе приемки выполненных работ недостатков</w:t>
      </w:r>
      <w:r>
        <w:rPr>
          <w:rFonts w:ascii="Times New Roman" w:hAnsi="Times New Roman"/>
          <w:color w:val="000009"/>
        </w:rPr>
        <w:t xml:space="preserve">, сторонами составляется акт, в котором фиксируется перечень дефектов (недоделок) и сроки их устранения Подрядчиком. При отказе (уклонении) Подрядчика от подписания указанного акта, в нем делается Заказчиком отметка об этом;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7.4. Подрядчик обязан устранить</w:t>
      </w:r>
      <w:r>
        <w:rPr>
          <w:rFonts w:ascii="Times New Roman" w:hAnsi="Times New Roman"/>
          <w:color w:val="000009"/>
        </w:rPr>
        <w:t xml:space="preserve"> все обнаруженные недостатки своими силами и за свой счет в сроки, указанные в акте, обеспечив при этом сохранность Объекта или его части, в которой производится устранение недостатков, и несет ответственность за их утрату, </w:t>
      </w:r>
      <w:r>
        <w:rPr>
          <w:rFonts w:ascii="Times New Roman" w:hAnsi="Times New Roman"/>
          <w:color w:val="000009"/>
          <w:spacing w:val="-2"/>
        </w:rPr>
        <w:t xml:space="preserve">повреждение.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Датой приемки выпол</w:t>
      </w:r>
      <w:r>
        <w:rPr>
          <w:rFonts w:ascii="Times New Roman" w:hAnsi="Times New Roman"/>
          <w:color w:val="000009"/>
        </w:rPr>
        <w:t xml:space="preserve">ненных работ считается дата подписания документа о приемке выполненных работ.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right="-31" w:hanging="567" w:left="567"/>
        <w:contextualSpacing w:val="true"/>
        <w:rPr>
          <w:rFonts w:ascii="Times New Roman" w:hAnsi="Times New Roman"/>
          <w:b/>
          <w:color w:val="000009"/>
          <w:szCs w:val="24"/>
        </w:rPr>
      </w:pPr>
      <w:r>
        <w:rPr>
          <w:rFonts w:ascii="Times New Roman" w:hAnsi="Times New Roman"/>
          <w:b/>
          <w:color w:val="000009"/>
          <w:szCs w:val="24"/>
        </w:rPr>
        <w:t xml:space="preserve">8. Гарантийные</w:t>
      </w:r>
      <w:r>
        <w:rPr>
          <w:rFonts w:ascii="Times New Roman" w:hAnsi="Times New Roman"/>
          <w:b/>
          <w:color w:val="000009"/>
          <w:spacing w:val="-11"/>
          <w:szCs w:val="24"/>
        </w:rPr>
        <w:t xml:space="preserve"> </w:t>
      </w:r>
      <w:r>
        <w:rPr>
          <w:rFonts w:ascii="Times New Roman" w:hAnsi="Times New Roman"/>
          <w:b/>
          <w:color w:val="000009"/>
          <w:spacing w:val="-2"/>
          <w:szCs w:val="24"/>
        </w:rPr>
        <w:t xml:space="preserve">обязательства</w:t>
      </w:r>
      <w:r>
        <w:rPr>
          <w:rFonts w:ascii="Times New Roman" w:hAnsi="Times New Roman"/>
          <w:b/>
          <w:color w:val="000009"/>
          <w:szCs w:val="24"/>
        </w:rPr>
      </w:r>
      <w:r>
        <w:rPr>
          <w:rFonts w:ascii="Times New Roman" w:hAnsi="Times New Roman"/>
          <w:b/>
          <w:color w:val="000009"/>
          <w:szCs w:val="24"/>
        </w:rPr>
      </w:r>
    </w:p>
    <w:p>
      <w:pPr>
        <w:pStyle w:val="898"/>
        <w:pBdr/>
        <w:spacing w:before="41"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8.1. Срок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гарантии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на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все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выполненные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Работы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составляет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 xml:space="preserve">12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 xml:space="preserve">(Двенадцать)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 xml:space="preserve">месяцев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br/>
        <w:t xml:space="preserve">с момента подписания акта о приемке выполненных работ.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Подрядчик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несет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ответственность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за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любые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недостатки,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обнаруженные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в</w:t>
      </w:r>
      <w:r>
        <w:rPr>
          <w:rFonts w:ascii="Times New Roman" w:hAnsi="Times New Roman"/>
          <w:color w:val="000009"/>
          <w:spacing w:val="-6"/>
        </w:rPr>
        <w:t xml:space="preserve"> </w:t>
      </w:r>
      <w:r>
        <w:rPr>
          <w:rFonts w:ascii="Times New Roman" w:hAnsi="Times New Roman"/>
          <w:color w:val="000009"/>
        </w:rPr>
        <w:t xml:space="preserve">пределах гарантийного срока.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  <w:color w:val="000009"/>
        </w:rPr>
        <w:t xml:space="preserve">8.2. В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случае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обнаружения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недостатков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в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течение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гарантийного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 xml:space="preserve">срока,</w:t>
      </w:r>
      <w:r>
        <w:rPr>
          <w:rFonts w:ascii="Times New Roman" w:hAnsi="Times New Roman"/>
          <w:color w:val="000009"/>
          <w:spacing w:val="-4"/>
        </w:rPr>
        <w:t xml:space="preserve"> </w:t>
      </w:r>
      <w:r>
        <w:rPr>
          <w:rFonts w:ascii="Times New Roman" w:hAnsi="Times New Roman"/>
          <w:color w:val="000009"/>
        </w:rPr>
        <w:t xml:space="preserve">Заказчик</w:t>
      </w:r>
      <w:r>
        <w:rPr>
          <w:rFonts w:ascii="Times New Roman" w:hAnsi="Times New Roman"/>
          <w:color w:val="000009"/>
          <w:spacing w:val="-5"/>
        </w:rPr>
        <w:t xml:space="preserve"> </w:t>
      </w:r>
      <w:r>
        <w:rPr>
          <w:rFonts w:ascii="Times New Roman" w:hAnsi="Times New Roman"/>
          <w:color w:val="000009"/>
        </w:rPr>
        <w:t xml:space="preserve">направляет Подрядчику претензию, в которой отмечаются выявленные недостатки и намечаются порядок и сроки их устранения. Подрядчик обязан безвозмездно устранить эти недостатки.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/>
        <w:ind w:right="-31" w:firstLine="567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right="-31"/>
        <w:contextualSpacing w:val="tru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9. Требования к безопасности выполнения работ и безопасности результатов работ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after="100" w:afterAutospacing="1" w:before="100" w:beforeAutospacing="1"/>
        <w:ind w:right="-3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9.1.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Также подрядчик несет ответственность за соблюдение правил охраны труда своих работнико</w:t>
      </w:r>
      <w:r>
        <w:rPr>
          <w:rFonts w:ascii="Times New Roman" w:hAnsi="Times New Roman"/>
          <w:szCs w:val="24"/>
          <w:lang w:eastAsia="ar-SA"/>
        </w:rPr>
        <w:t xml:space="preserve">в.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851"/>
        </w:tabs>
        <w:spacing w:after="100" w:afterAutospacing="1" w:before="100" w:beforeAutospacing="1"/>
        <w:ind w:right="-3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подрядчика или лицо, его заменяющее.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567"/>
        </w:tabs>
        <w:spacing w:after="100" w:afterAutospacing="1" w:before="100" w:before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9.2. Перед началом производства работ н</w:t>
      </w:r>
      <w:r>
        <w:rPr>
          <w:rFonts w:ascii="Times New Roman" w:hAnsi="Times New Roman"/>
          <w:szCs w:val="24"/>
          <w:lang w:eastAsia="ar-SA"/>
        </w:rPr>
        <w:t xml:space="preserve">еобходимо провести инструктаж о методах работ, последовательности их выполнения, необходимых средствах индивидуальной защиты. Безопасность выполняемых работ – согласно Федеральному закону от 21.12.1994 № 69-ФЗ «О пожарной безопасности».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851"/>
        </w:tabs>
        <w:spacing w:after="100" w:afterAutospacing="1" w:before="100" w:beforeAutospacing="1"/>
        <w:ind w:right="-3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9.3. Мероприятия по</w:t>
      </w:r>
      <w:r>
        <w:rPr>
          <w:rFonts w:ascii="Times New Roman" w:hAnsi="Times New Roman"/>
          <w:szCs w:val="24"/>
          <w:lang w:eastAsia="ar-SA"/>
        </w:rPr>
        <w:t xml:space="preserve"> охране труда – 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</w:t>
      </w:r>
      <w:r>
        <w:rPr>
          <w:rFonts w:ascii="Times New Roman" w:hAnsi="Times New Roman"/>
          <w:szCs w:val="24"/>
          <w:lang w:eastAsia="ar-SA"/>
        </w:rPr>
        <w:t xml:space="preserve">льные устройства), наличием санитарно-бытовых помещений и устройств в соответствии с действующими нормами. Организация строительной площадки для ведения на ней работ должна обеспечивать безопасность труда работающих на всех этапах выполнения работ.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851"/>
        </w:tabs>
        <w:spacing w:after="100" w:afterAutospacing="1" w:before="100" w:beforeAutospacing="1"/>
        <w:ind w:right="-3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9.4. Ме</w:t>
      </w:r>
      <w:r>
        <w:rPr>
          <w:rFonts w:ascii="Times New Roman" w:hAnsi="Times New Roman"/>
          <w:szCs w:val="24"/>
          <w:lang w:eastAsia="ar-SA"/>
        </w:rPr>
        <w:t xml:space="preserve">роприятия по предотвращению аварийных ситуаций –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На объекте должны быть в н</w:t>
      </w:r>
      <w:r>
        <w:rPr>
          <w:rFonts w:ascii="Times New Roman" w:hAnsi="Times New Roman"/>
          <w:szCs w:val="24"/>
          <w:lang w:eastAsia="ar-SA"/>
        </w:rPr>
        <w:t xml:space="preserve">аличии материальные и технические средства для осуществления мероприятий по спасению людей и ликвидации аварии, наличие плана мероприятий.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899"/>
        </w:tabs>
        <w:spacing w:after="100" w:afterAutospacing="1" w:before="100" w:beforeAutospacing="1"/>
        <w:ind w:right="-31" w:firstLine="567"/>
        <w:contextualSpacing w:val="true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  <w:r>
        <w:rPr>
          <w:rFonts w:ascii="Times New Roman" w:hAnsi="Times New Roman"/>
          <w:b/>
          <w:bCs/>
          <w:szCs w:val="24"/>
        </w:rPr>
      </w:r>
      <w:r>
        <w:rPr>
          <w:rFonts w:ascii="Times New Roman" w:hAnsi="Times New Roman"/>
          <w:b/>
          <w:bCs/>
          <w:szCs w:val="24"/>
        </w:rPr>
      </w:r>
    </w:p>
    <w:p>
      <w:pPr>
        <w:pBdr/>
        <w:tabs>
          <w:tab w:val="left" w:leader="none" w:pos="0"/>
        </w:tabs>
        <w:spacing w:after="100" w:afterAutospacing="1" w:before="100" w:beforeAutospacing="1"/>
        <w:ind w:right="-31"/>
        <w:contextualSpacing w:val="tru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10. Требования к выполняемым работам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before="100" w:before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          10.1 Выполнение работ осуществляется в соответствии с требованиями, п</w:t>
      </w:r>
      <w:r>
        <w:rPr>
          <w:rFonts w:ascii="Times New Roman" w:hAnsi="Times New Roman"/>
          <w:szCs w:val="24"/>
          <w:lang w:eastAsia="ar-SA"/>
        </w:rPr>
        <w:t xml:space="preserve">редусмотренными действующим законодательством Российской Федерации: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Федеральный закон от 22.07.2008 №123-ФЗ «Технический регламент о требованиях пожарной безопасности»;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Федеральный закон от 30.12.2009 №384-ФЗ «Технический регламент о безопасности зда</w:t>
      </w:r>
      <w:r>
        <w:rPr>
          <w:rFonts w:ascii="Times New Roman" w:hAnsi="Times New Roman"/>
          <w:szCs w:val="24"/>
          <w:lang w:eastAsia="ar-SA"/>
        </w:rPr>
        <w:t xml:space="preserve">ний и сооружений»;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СНиП 12-03-2001 «Безопасность труда в строительстве. Часть 1. Общие требования»;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СНиП 12-04-2002 «Безопасность труда в строительстве. Часть 2. Строительное производство»;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 w:before="100" w:beforeAutospacing="1"/>
        <w:ind w:right="-3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</w:t>
      </w:r>
      <w:r>
        <w:rPr>
          <w:rFonts w:ascii="Times New Roman" w:hAnsi="Times New Roman"/>
          <w:szCs w:val="24"/>
          <w:lang w:eastAsia="ar-SA"/>
        </w:rPr>
        <w:t xml:space="preserve"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before="100" w:beforeAutospacing="1"/>
        <w:ind w:right="111" w:firstLine="360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 51.13330.2011 Защита от шума. Актуализированная редакция СНиП 23-03</w:t>
      </w:r>
      <w:r>
        <w:rPr>
          <w:rFonts w:ascii="Times New Roman" w:hAnsi="Times New Roman"/>
          <w:szCs w:val="24"/>
          <w:lang w:eastAsia="ar-SA"/>
        </w:rPr>
        <w:t xml:space="preserve">-2003 </w:t>
      </w:r>
      <w:r>
        <w:rPr>
          <w:rFonts w:ascii="Times New Roman" w:hAnsi="Times New Roman"/>
          <w:szCs w:val="24"/>
          <w:lang w:eastAsia="ar-SA"/>
        </w:rPr>
        <w:br/>
        <w:t xml:space="preserve">(с Изменением N 1);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96"/>
        <w:pBdr/>
        <w:tabs>
          <w:tab w:val="left" w:leader="none" w:pos="0"/>
          <w:tab w:val="left" w:leader="none" w:pos="567"/>
        </w:tabs>
        <w:spacing w:after="100" w:afterAutospacing="1"/>
        <w:ind w:right="111" w:firstLine="360"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 68.13330.2017 Приемка в эксплуатацию законченных строительством объектов. Основные положения. Актуализированная редакция СНиП 3.01.04-87;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96"/>
        <w:pBdr/>
        <w:tabs>
          <w:tab w:val="left" w:leader="none" w:pos="0"/>
          <w:tab w:val="left" w:leader="none" w:pos="567"/>
        </w:tabs>
        <w:spacing w:after="100" w:afterAutospacing="1"/>
        <w:ind w:right="111" w:firstLine="360"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 70.13330.2012 Несущие и ограждающие конструкции. Актуализированная редакция СНи</w:t>
      </w:r>
      <w:r>
        <w:rPr>
          <w:rFonts w:ascii="Times New Roman" w:hAnsi="Times New Roman"/>
          <w:szCs w:val="24"/>
          <w:lang w:eastAsia="ar-SA"/>
        </w:rPr>
        <w:t xml:space="preserve">П 3.03.01-87 (с Изменениями N 1, 3);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96"/>
        <w:pBdr/>
        <w:tabs>
          <w:tab w:val="left" w:leader="none" w:pos="0"/>
          <w:tab w:val="left" w:leader="none" w:pos="567"/>
        </w:tabs>
        <w:spacing/>
        <w:ind w:right="111" w:firstLine="360"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 71.13330.2017 Изоляционные и отделочные покрытия. Актуализированная редакция СНиП 3.04.01-87 (с Изменением N 1);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/>
        <w:ind w:right="11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 72.13330.2016 Защита строительных конструкций и сооружений от коррозии. СНиП 3.04.03-85;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567"/>
        </w:tabs>
        <w:spacing w:after="100" w:afterAutospacing="1" w:before="100" w:beforeAutospacing="1"/>
        <w:ind w:right="111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ab/>
        <w:t xml:space="preserve">- СП</w:t>
      </w:r>
      <w:r>
        <w:rPr>
          <w:rFonts w:ascii="Times New Roman" w:hAnsi="Times New Roman"/>
          <w:szCs w:val="24"/>
          <w:lang w:eastAsia="ar-SA"/>
        </w:rPr>
        <w:t xml:space="preserve"> 77.13330.2016 Системы автоматизации. Актуализированная редакция СНиП 3.05.07-85.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after="100" w:afterAutospacing="1" w:before="100" w:beforeAutospacing="1"/>
        <w:ind w:right="11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10.2 Техническая документация (технические условия, технические свидетельства, ГОСТ, СНиП, стандарт организации и пр.) вне зависимости от наличия или отсутствия указаний на в</w:t>
      </w:r>
      <w:r>
        <w:rPr>
          <w:rFonts w:ascii="Times New Roman" w:hAnsi="Times New Roman"/>
          <w:szCs w:val="24"/>
          <w:lang w:eastAsia="ar-SA"/>
        </w:rPr>
        <w:t xml:space="preserve">несенные в нее изменения и дополнения должна приниматься к рассмотрению </w:t>
      </w:r>
      <w:r>
        <w:rPr>
          <w:rFonts w:ascii="Times New Roman" w:hAnsi="Times New Roman"/>
          <w:szCs w:val="24"/>
          <w:lang w:eastAsia="ar-SA"/>
        </w:rPr>
        <w:br/>
        <w:t xml:space="preserve">в действующей редакции (с внесенными корректировками, изменениями, дополнениями и др.). 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after="100" w:afterAutospacing="1" w:before="100" w:beforeAutospacing="1"/>
        <w:ind w:right="11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10</w:t>
      </w:r>
      <w:r>
        <w:rPr>
          <w:rFonts w:ascii="Times New Roman" w:hAnsi="Times New Roman"/>
          <w:szCs w:val="24"/>
          <w:lang w:eastAsia="ar-SA"/>
        </w:rPr>
        <w:t xml:space="preserve">.3. 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after="100" w:afterAutospacing="1" w:before="100" w:beforeAutospacing="1"/>
        <w:ind w:right="11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10.4. Проводимый ремонт не должен приводить к изменениям архитект</w:t>
      </w:r>
      <w:r>
        <w:rPr>
          <w:rFonts w:ascii="Times New Roman" w:hAnsi="Times New Roman"/>
          <w:szCs w:val="24"/>
          <w:lang w:eastAsia="ar-SA"/>
        </w:rPr>
        <w:t xml:space="preserve">урно-планировочных решений, конструктивной схемы, строительного объема.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Bdr/>
        <w:tabs>
          <w:tab w:val="left" w:leader="none" w:pos="0"/>
          <w:tab w:val="left" w:leader="none" w:pos="851"/>
        </w:tabs>
        <w:spacing w:after="100" w:afterAutospacing="1" w:before="100" w:beforeAutospacing="1"/>
        <w:ind w:right="111" w:firstLine="567"/>
        <w:contextualSpacing w:val="true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eastAsia="ar-SA"/>
        </w:rPr>
        <w:t xml:space="preserve">10.5. Подрядчик должен иметь и предоставить Заказчику все допуски и разрешения, установленные законодательством Российской Федерации.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898"/>
        <w:pBdr/>
        <w:spacing w:after="100" w:afterAutospacing="1" w:before="100" w:beforeAutospacing="1"/>
        <w:ind w:right="820" w:left="360"/>
        <w:contextualSpacing w:val="tru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11. Согласования и прочие условия проведения работ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8"/>
        <w:numPr>
          <w:ilvl w:val="1"/>
          <w:numId w:val="3"/>
        </w:numPr>
        <w:pBdr/>
        <w:spacing w:after="100" w:afterAutospacing="1" w:before="100" w:beforeAutospacing="1"/>
        <w:ind w:right="111" w:firstLine="567" w:left="0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Демонтажные работы, бурение отверстий и прочие шумные работы производить только в вечернее, ночное или нерабочее время, согласо</w:t>
      </w:r>
      <w:r>
        <w:rPr>
          <w:rFonts w:ascii="Times New Roman" w:hAnsi="Times New Roman"/>
        </w:rPr>
        <w:t xml:space="preserve">ванное с Заказчиком.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after="100" w:afterAutospacing="1" w:before="100" w:beforeAutospacing="1"/>
        <w:ind w:right="826" w:left="720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after="100" w:afterAutospacing="1" w:before="100" w:beforeAutospacing="1"/>
        <w:ind w:right="826"/>
        <w:contextualSpacing w:val="true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12. Прочие условия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898"/>
        <w:pBdr/>
        <w:spacing w:after="100" w:afterAutospacing="1" w:before="100" w:beforeAutospacing="1"/>
        <w:ind w:right="111" w:firstLine="709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 Собственная территория и парковка у Заказчика отсутствует, парковка городская платная. Погрузочно-разгрузочные работы осуществляются только с городской платной парковки.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after="100" w:afterAutospacing="1" w:before="100" w:beforeAutospacing="1"/>
        <w:ind w:right="111"/>
        <w:contextualSpacing w:val="true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  <w:color w:val="000000" w:themeColor="text1"/>
        </w:rPr>
        <w:t xml:space="preserve">14. Особые условия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898"/>
        <w:pBdr/>
        <w:spacing w:after="100" w:afterAutospacing="1" w:before="100" w:beforeAutospacing="1"/>
        <w:ind w:right="111" w:firstLine="720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14.1. </w:t>
      </w:r>
      <w:r>
        <w:rPr>
          <w:rFonts w:ascii="Times New Roman" w:hAnsi="Times New Roman"/>
        </w:rPr>
        <w:t xml:space="preserve">П</w:t>
      </w:r>
      <w:r>
        <w:rPr>
          <w:rFonts w:ascii="Times New Roman" w:hAnsi="Times New Roman"/>
        </w:rPr>
        <w:t xml:space="preserve">ри привлечении к оказанию услуг иностранной рабочей силы Подрядчик обязан соблюдать правила, установленные Постановлением Правительства РФ </w:t>
        <w:br/>
        <w:t xml:space="preserve">от 11.10.2002 N 754 «Об утверждении перечня территорий, организаций и объектов, для въезда на которые иностранным гр</w:t>
      </w:r>
      <w:r>
        <w:rPr>
          <w:rFonts w:ascii="Times New Roman" w:hAnsi="Times New Roman"/>
        </w:rPr>
        <w:t xml:space="preserve">ажданам требуется специальное разрешение».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after="100" w:afterAutospacing="1" w:before="100" w:beforeAutospacing="1"/>
        <w:ind w:right="111" w:firstLine="720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pBdr/>
        <w:spacing w:after="100" w:afterAutospacing="1" w:before="100" w:beforeAutospacing="1"/>
        <w:ind w:right="111" w:firstLine="720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Приложения: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8"/>
        <w:numPr>
          <w:ilvl w:val="0"/>
          <w:numId w:val="2"/>
        </w:numPr>
        <w:pBdr/>
        <w:tabs>
          <w:tab w:val="left" w:leader="none" w:pos="1442"/>
        </w:tabs>
        <w:spacing w:after="100" w:afterAutospacing="1" w:before="100" w:beforeAutospacing="1"/>
        <w:ind w:right="111"/>
        <w:contextualSpacing w:val="tru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Смета (02-01-01 - ЛСР по Методике 2020 (РИМ)1) на 9 стр.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262BD"/>
    <w:lvl w:ilvl="0">
      <w:isLgl w:val="false"/>
      <w:lvlJc w:val="left"/>
      <w:lvlText w:val="%1."/>
      <w:numFmt w:val="decimal"/>
      <w:pPr>
        <w:pBdr/>
        <w:tabs>
          <w:tab w:val="left" w:leader="none" w:pos="360"/>
        </w:tabs>
        <w:spacing/>
        <w:ind w:hanging="360" w:left="360"/>
      </w:pPr>
      <w:rPr>
        <w:b/>
        <w:bCs/>
        <w:i w:val="0"/>
        <w:iCs w:val="0"/>
        <w:smallCaps w:val="0"/>
        <w:color w:val="000000"/>
        <w:spacing w:val="3"/>
        <w:position w:val="0"/>
        <w:sz w:val="24"/>
        <w:szCs w:val="24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792"/>
        </w:tabs>
        <w:spacing/>
        <w:ind w:hanging="432" w:left="792"/>
      </w:pPr>
      <w:rPr>
        <w:b/>
        <w:bCs/>
        <w:i w:val="0"/>
        <w:iCs w:val="0"/>
        <w:smallCaps w:val="0"/>
        <w:color w:val="000000"/>
        <w:spacing w:val="3"/>
        <w:position w:val="0"/>
        <w:sz w:val="24"/>
        <w:szCs w:val="24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left" w:leader="none" w:pos="1440"/>
        </w:tabs>
        <w:spacing/>
        <w:ind w:hanging="504" w:left="1224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left" w:leader="none" w:pos="1800"/>
        </w:tabs>
        <w:spacing/>
        <w:ind w:hanging="648" w:left="1728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left" w:leader="none" w:pos="2520"/>
        </w:tabs>
        <w:spacing/>
        <w:ind w:hanging="792" w:left="2232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left" w:leader="none" w:pos="2880"/>
        </w:tabs>
        <w:spacing/>
        <w:ind w:hanging="936" w:left="2736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left" w:leader="none" w:pos="3600"/>
        </w:tabs>
        <w:spacing/>
        <w:ind w:hanging="1080" w:left="3240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left" w:leader="none" w:pos="3960"/>
        </w:tabs>
        <w:spacing/>
        <w:ind w:hanging="1224" w:left="3744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left" w:leader="none" w:pos="4680"/>
        </w:tabs>
        <w:spacing/>
        <w:ind w:hanging="1440" w:left="4320"/>
      </w:pPr>
      <w:rPr>
        <w:b/>
        <w:bCs/>
        <w:i w:val="0"/>
        <w:iCs w:val="0"/>
        <w:smallCaps w:val="0"/>
        <w:color w:val="000000"/>
        <w:spacing w:val="3"/>
        <w:position w:val="0"/>
        <w:sz w:val="22"/>
        <w:szCs w:val="22"/>
        <w:u w:val="none"/>
      </w:rPr>
      <w:start w:val="1"/>
      <w:suff w:val="tab"/>
    </w:lvl>
  </w:abstractNum>
  <w:abstractNum w:abstractNumId="1">
    <w:nsid w:val="23F112F7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nsid w:val="13973870"/>
    <w:lvl w:ilvl="0">
      <w:isLgl w:val="false"/>
      <w:lvlJc w:val="left"/>
      <w:lvlText w:val="%1."/>
      <w:numFmt w:val="decimal"/>
      <w:pPr>
        <w:pBdr/>
        <w:spacing/>
        <w:ind w:hanging="480" w:left="480"/>
      </w:pPr>
      <w:rPr>
        <w:rFonts w:hint="default"/>
      </w:rPr>
      <w:start w:val="11"/>
      <w:suff w:val="tab"/>
    </w:lvl>
    <w:lvl w:ilvl="1">
      <w:isLgl w:val="false"/>
      <w:lvlJc w:val="left"/>
      <w:lvlText w:val="%1.%2."/>
      <w:numFmt w:val="decimal"/>
      <w:pPr>
        <w:pBdr/>
        <w:spacing/>
        <w:ind w:hanging="480" w:left="20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76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56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2"/>
    <w:next w:val="892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2"/>
    <w:next w:val="892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2"/>
    <w:next w:val="892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2"/>
    <w:next w:val="892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2"/>
    <w:next w:val="892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2"/>
    <w:next w:val="892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2"/>
    <w:next w:val="892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2"/>
    <w:next w:val="892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2"/>
    <w:next w:val="892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character" w:styleId="843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92"/>
    <w:next w:val="892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2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92"/>
    <w:next w:val="892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2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92"/>
    <w:next w:val="892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2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2"/>
    <w:next w:val="892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2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2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2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2"/>
    <w:link w:val="867"/>
    <w:uiPriority w:val="99"/>
    <w:pPr>
      <w:pBdr/>
      <w:spacing/>
      <w:ind/>
    </w:pPr>
  </w:style>
  <w:style w:type="paragraph" w:styleId="869">
    <w:name w:val="Footer"/>
    <w:basedOn w:val="89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2"/>
    <w:link w:val="869"/>
    <w:uiPriority w:val="99"/>
    <w:pPr>
      <w:pBdr/>
      <w:spacing/>
      <w:ind/>
    </w:pPr>
  </w:style>
  <w:style w:type="paragraph" w:styleId="871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2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2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1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2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3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4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5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6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7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8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9">
    <w:name w:val="Placeholder Text"/>
    <w:basedOn w:val="842"/>
    <w:uiPriority w:val="99"/>
    <w:semiHidden/>
    <w:pPr>
      <w:pBdr/>
      <w:spacing/>
      <w:ind/>
    </w:pPr>
    <w:rPr>
      <w:color w:val="666666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paragraph" w:styleId="895">
    <w:name w:val="No Spacing"/>
    <w:basedOn w:val="892"/>
    <w:uiPriority w:val="1"/>
    <w:qFormat/>
    <w:pPr>
      <w:pBdr/>
      <w:spacing w:after="0" w:line="240" w:lineRule="auto"/>
      <w:ind/>
    </w:pPr>
  </w:style>
  <w:style w:type="paragraph" w:styleId="896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897" w:customStyle="1">
    <w:name w:val="Body Text 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480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8" w:customStyle="1">
    <w:name w:val="Body Text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0"/>
      <w:contextualSpacing w:val="false"/>
      <w:jc w:val="both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2026-06-24T09:06:15Z</dcterms:modified>
</cp:coreProperties>
</file>