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header6.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header4.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40" w:before="0" w:after="0"/>
        <w:ind w:firstLine="11" w:left="6804" w:right="65"/>
        <w:jc w:val="right"/>
        <w:rPr>
          <w:i/>
          <w:i/>
          <w:sz w:val="20"/>
          <w:szCs w:val="20"/>
        </w:rPr>
      </w:pPr>
      <w:r>
        <w:rPr>
          <w:i/>
          <w:sz w:val="20"/>
          <w:szCs w:val="20"/>
        </w:rPr>
      </w:r>
      <w:bookmarkStart w:id="0" w:name="_Hlk159347837"/>
      <w:bookmarkStart w:id="1" w:name="_Hlk159347837"/>
    </w:p>
    <w:p>
      <w:pPr>
        <w:pStyle w:val="Normal"/>
        <w:spacing w:lineRule="auto" w:line="240" w:before="0" w:after="0"/>
        <w:ind w:firstLine="530" w:right="0"/>
        <w:jc w:val="center"/>
        <w:rPr>
          <w:sz w:val="22"/>
        </w:rPr>
      </w:pPr>
      <w:r>
        <w:rPr>
          <w:b/>
          <w:sz w:val="22"/>
        </w:rPr>
        <w:br/>
        <w:t>Государственный контракт № _________</w:t>
      </w:r>
    </w:p>
    <w:p>
      <w:pPr>
        <w:pStyle w:val="Normal"/>
        <w:widowControl/>
        <w:bidi w:val="0"/>
        <w:spacing w:lineRule="auto" w:line="240" w:before="0" w:after="0"/>
        <w:ind w:hanging="0" w:left="0" w:right="0"/>
        <w:jc w:val="center"/>
        <w:rPr>
          <w:sz w:val="22"/>
        </w:rPr>
      </w:pPr>
      <w:r>
        <w:rPr>
          <w:sz w:val="22"/>
        </w:rPr>
      </w:r>
    </w:p>
    <w:p>
      <w:pPr>
        <w:pStyle w:val="Normal"/>
        <w:widowControl/>
        <w:bidi w:val="0"/>
        <w:spacing w:lineRule="auto" w:line="240" w:before="0" w:after="0"/>
        <w:ind w:hanging="0" w:left="0" w:right="0"/>
        <w:jc w:val="center"/>
        <w:rPr>
          <w:sz w:val="22"/>
        </w:rPr>
      </w:pPr>
      <w:r>
        <w:rPr>
          <w:sz w:val="22"/>
        </w:rPr>
      </w:r>
    </w:p>
    <w:p>
      <w:pPr>
        <w:pStyle w:val="Normal"/>
        <w:widowControl/>
        <w:bidi w:val="0"/>
        <w:spacing w:lineRule="auto" w:line="240" w:before="0" w:after="0"/>
        <w:ind w:hanging="0" w:left="0" w:right="0"/>
        <w:jc w:val="left"/>
        <w:rPr>
          <w:sz w:val="22"/>
        </w:rPr>
      </w:pPr>
      <w:r>
        <w:rPr>
          <w:sz w:val="22"/>
        </w:rPr>
        <w:t>г. Санкт-Петербург                                                                                               «_____» _____________  2026 г.</w:t>
      </w:r>
    </w:p>
    <w:p>
      <w:pPr>
        <w:pStyle w:val="Normal"/>
        <w:spacing w:lineRule="auto" w:line="240" w:before="0" w:after="0"/>
        <w:ind w:firstLine="530" w:right="0"/>
        <w:rPr>
          <w:sz w:val="22"/>
        </w:rPr>
      </w:pPr>
      <w:r>
        <w:rPr>
          <w:sz w:val="22"/>
        </w:rPr>
      </w:r>
    </w:p>
    <w:p>
      <w:pPr>
        <w:pStyle w:val="Normal"/>
        <w:spacing w:lineRule="auto" w:line="240" w:before="0" w:after="0"/>
        <w:ind w:firstLine="567" w:right="0"/>
        <w:rPr>
          <w:sz w:val="22"/>
          <w:szCs w:val="22"/>
        </w:rPr>
      </w:pPr>
      <w:r>
        <w:rPr>
          <w:rFonts w:cs="Times New Roman"/>
          <w:b/>
          <w:sz w:val="22"/>
          <w:szCs w:val="22"/>
        </w:rPr>
        <w:t>Главное управление Федеральной службы судебных приставов по г. Санкт-Петербургу (ГУФССП России по г. Санкт-Петербургу)</w:t>
      </w:r>
      <w:r>
        <w:rPr>
          <w:rFonts w:cs="Times New Roman"/>
          <w:sz w:val="22"/>
          <w:szCs w:val="22"/>
        </w:rPr>
        <w:t>, именуемое в дальнейшем "Заказчик", в лице заместителя руководителя Главного управления Коростелева Андрея Валерьевича, действующего на основании Доверенности от 12.01.2026 № Д-78908/26/2340</w:t>
      </w:r>
      <w:r>
        <w:rPr>
          <w:sz w:val="22"/>
          <w:szCs w:val="22"/>
        </w:rPr>
        <w:t>, с одной стороны, и ______________________, именуемое в дальнейшем «Подрядчик», в лице _________________________, действующего на основании ____________, с другой стороны, вместе именуемые «Стороны», заключили настоящий контракт (далее - контракт) о нижеследующем:</w:t>
      </w:r>
    </w:p>
    <w:p>
      <w:pPr>
        <w:pStyle w:val="Normal"/>
        <w:spacing w:lineRule="auto" w:line="240" w:before="0" w:after="0"/>
        <w:ind w:firstLine="530" w:right="0"/>
        <w:jc w:val="center"/>
        <w:rPr>
          <w:sz w:val="22"/>
          <w:szCs w:val="22"/>
        </w:rPr>
      </w:pPr>
      <w:r>
        <w:rPr>
          <w:sz w:val="22"/>
          <w:szCs w:val="22"/>
        </w:rPr>
      </w:r>
    </w:p>
    <w:p>
      <w:pPr>
        <w:pStyle w:val="Normal"/>
        <w:numPr>
          <w:ilvl w:val="0"/>
          <w:numId w:val="0"/>
        </w:numPr>
        <w:tabs>
          <w:tab w:val="clear" w:pos="708"/>
          <w:tab w:val="left" w:pos="0" w:leader="none"/>
        </w:tabs>
        <w:spacing w:lineRule="auto" w:line="240" w:before="0" w:after="0"/>
        <w:ind w:firstLine="530" w:left="0" w:right="0"/>
        <w:jc w:val="center"/>
        <w:outlineLvl w:val="0"/>
        <w:rPr>
          <w:sz w:val="22"/>
          <w:szCs w:val="22"/>
        </w:rPr>
      </w:pPr>
      <w:r>
        <w:rPr>
          <w:b/>
          <w:caps/>
          <w:sz w:val="22"/>
          <w:szCs w:val="22"/>
        </w:rPr>
        <w:t xml:space="preserve">1. Предмет </w:t>
      </w:r>
      <w:r>
        <w:rPr>
          <w:b/>
          <w:iCs/>
          <w:caps/>
          <w:sz w:val="22"/>
          <w:szCs w:val="22"/>
        </w:rPr>
        <w:t>КОНТРАКТА</w:t>
      </w:r>
    </w:p>
    <w:p>
      <w:pPr>
        <w:pStyle w:val="Normal"/>
        <w:spacing w:lineRule="auto" w:line="240" w:before="0" w:after="0"/>
        <w:ind w:firstLine="567" w:right="65"/>
        <w:rPr>
          <w:sz w:val="22"/>
          <w:szCs w:val="22"/>
        </w:rPr>
      </w:pPr>
      <w:r>
        <w:rPr>
          <w:sz w:val="22"/>
          <w:szCs w:val="22"/>
        </w:rPr>
        <w:t xml:space="preserve">1.1. Подрядчик </w:t>
      </w:r>
      <w:r>
        <w:rPr>
          <w:rFonts w:eastAsia="Times New Roman" w:cs="Times New Roman"/>
          <w:color w:val="000000"/>
          <w:sz w:val="22"/>
          <w:szCs w:val="22"/>
          <w:lang w:eastAsia="ru-RU"/>
        </w:rPr>
        <w:t>принимает на себя обязательства выполнить работы по разработке проектной документации по организации электроснабжения с подключением от ГРЩ, а также монтаж электромагистрали от ГРЩ до энергопринимающих устройств в рамках капитального ремонта, в соответствии с условиями настоящего Контракта, законодательством о  градостроительной деятельности, действующими техническими регламентами, строител</w:t>
      </w:r>
      <w:r>
        <w:rPr>
          <w:sz w:val="22"/>
          <w:szCs w:val="22"/>
        </w:rPr>
        <w:t>ьными нормами и правилами и сдать их результат Заказчику в оговоренные в настоящем Контракте сроки, а Заказчик обязуется принять и оплатить выполненные работы в порядке и в размере, установленном настоящим Контрактом.</w:t>
      </w:r>
    </w:p>
    <w:p>
      <w:pPr>
        <w:pStyle w:val="Normal"/>
        <w:spacing w:lineRule="auto" w:line="240" w:before="0" w:after="0"/>
        <w:ind w:firstLine="567" w:right="65"/>
        <w:rPr>
          <w:sz w:val="22"/>
          <w:szCs w:val="22"/>
        </w:rPr>
      </w:pPr>
      <w:r>
        <w:rPr>
          <w:sz w:val="22"/>
          <w:szCs w:val="22"/>
        </w:rPr>
        <w:t>1.2. Подрядчик обязуется выполнить работы, указанные в пункте 1.1 контракта в соответствии с Техническими условиями для присоединения к электрическим сетям (Приложение №1 к контракту), Актом об осуществлении технологического присоединения (Приложение №2 к контракту), Техническим заданием (Приложение №3 к контракту) и спецификацией (Приложение №4 к контракту).</w:t>
      </w:r>
    </w:p>
    <w:p>
      <w:pPr>
        <w:pStyle w:val="Normal"/>
        <w:spacing w:lineRule="auto" w:line="240" w:before="0" w:after="0"/>
        <w:ind w:firstLine="567" w:right="65"/>
        <w:rPr>
          <w:sz w:val="22"/>
          <w:szCs w:val="22"/>
        </w:rPr>
      </w:pPr>
      <w:r>
        <w:rPr>
          <w:sz w:val="22"/>
          <w:szCs w:val="22"/>
        </w:rPr>
        <w:t xml:space="preserve">1.3. Заказчик обязуется принять результат выполненных работ и оплатить Подрядчику обусловленную настоящим контрактом цену в соответствии с условиями настоящего контракта. </w:t>
      </w:r>
    </w:p>
    <w:p>
      <w:pPr>
        <w:pStyle w:val="Normal"/>
        <w:spacing w:lineRule="auto" w:line="240" w:before="0" w:after="0"/>
        <w:rPr>
          <w:sz w:val="22"/>
          <w:szCs w:val="22"/>
        </w:rPr>
      </w:pPr>
      <w:r>
        <w:rPr>
          <w:sz w:val="22"/>
          <w:szCs w:val="22"/>
        </w:rPr>
        <w:t>1.4. Идентификационный код зак</w:t>
      </w:r>
      <w:r>
        <w:rPr>
          <w:rFonts w:eastAsia="Times New Roman" w:cs="Times New Roman"/>
          <w:color w:val="000000"/>
          <w:sz w:val="22"/>
          <w:szCs w:val="22"/>
          <w:lang w:eastAsia="ru-RU"/>
        </w:rPr>
        <w:t>упки: 261783802769178380100100150000000244.</w:t>
      </w:r>
      <w:bookmarkStart w:id="2" w:name="_GoBack"/>
      <w:bookmarkEnd w:id="1"/>
      <w:bookmarkEnd w:id="2"/>
    </w:p>
    <w:p>
      <w:pPr>
        <w:pStyle w:val="Normal"/>
        <w:spacing w:lineRule="auto" w:line="240" w:before="0" w:after="0"/>
        <w:ind w:firstLine="530" w:right="0"/>
        <w:jc w:val="center"/>
        <w:rPr>
          <w:sz w:val="22"/>
          <w:szCs w:val="22"/>
          <w:highlight w:val="yellow"/>
        </w:rPr>
      </w:pPr>
      <w:r>
        <w:rPr>
          <w:sz w:val="22"/>
          <w:szCs w:val="22"/>
          <w:highlight w:val="yellow"/>
        </w:rPr>
      </w:r>
    </w:p>
    <w:p>
      <w:pPr>
        <w:pStyle w:val="Normal"/>
        <w:numPr>
          <w:ilvl w:val="0"/>
          <w:numId w:val="0"/>
        </w:numPr>
        <w:tabs>
          <w:tab w:val="clear" w:pos="708"/>
          <w:tab w:val="left" w:pos="0" w:leader="none"/>
        </w:tabs>
        <w:snapToGrid w:val="false"/>
        <w:spacing w:lineRule="auto" w:line="240" w:before="0" w:after="0"/>
        <w:ind w:firstLine="530" w:left="0" w:right="0"/>
        <w:jc w:val="center"/>
        <w:outlineLvl w:val="0"/>
        <w:rPr>
          <w:sz w:val="22"/>
          <w:szCs w:val="22"/>
        </w:rPr>
      </w:pPr>
      <w:r>
        <w:rPr>
          <w:b/>
          <w:caps/>
          <w:sz w:val="22"/>
          <w:szCs w:val="22"/>
        </w:rPr>
        <w:t>2. МЕСТО И Сроки выполнения работ</w:t>
      </w:r>
    </w:p>
    <w:p>
      <w:pPr>
        <w:pStyle w:val="Normal"/>
        <w:spacing w:lineRule="auto" w:line="240" w:before="0" w:after="0"/>
        <w:ind w:firstLine="567" w:right="0"/>
        <w:rPr>
          <w:sz w:val="22"/>
          <w:szCs w:val="22"/>
        </w:rPr>
      </w:pPr>
      <w:r>
        <w:rPr>
          <w:sz w:val="22"/>
          <w:szCs w:val="22"/>
        </w:rPr>
        <w:t xml:space="preserve">2.1. Место выполнения работ: </w:t>
      </w:r>
      <w:r>
        <w:rPr>
          <w:rFonts w:eastAsia="Calibri"/>
          <w:iCs/>
          <w:sz w:val="22"/>
          <w:szCs w:val="22"/>
        </w:rPr>
        <w:t>г</w:t>
      </w:r>
      <w:r>
        <w:rPr>
          <w:rFonts w:eastAsia="Calibri" w:cs="Times New Roman"/>
          <w:iCs/>
          <w:color w:val="000000"/>
          <w:sz w:val="22"/>
          <w:szCs w:val="22"/>
          <w:shd w:fill="auto" w:val="clear"/>
          <w:lang w:eastAsia="ru-RU"/>
        </w:rPr>
        <w:t>. Санкт-Петербург, пр. Обуховской обороны, д. 123 лит. А.</w:t>
      </w:r>
    </w:p>
    <w:p>
      <w:pPr>
        <w:pStyle w:val="Normal"/>
        <w:spacing w:lineRule="auto" w:line="240" w:before="0" w:after="0"/>
        <w:ind w:firstLine="567" w:right="0"/>
        <w:rPr>
          <w:sz w:val="22"/>
          <w:szCs w:val="22"/>
        </w:rPr>
      </w:pPr>
      <w:r>
        <w:rPr>
          <w:sz w:val="22"/>
          <w:szCs w:val="22"/>
        </w:rPr>
        <w:t xml:space="preserve">2.2. Сроки выполнения работ: </w:t>
      </w:r>
    </w:p>
    <w:p>
      <w:pPr>
        <w:pStyle w:val="Normal"/>
        <w:ind w:firstLine="567" w:right="65"/>
        <w:jc w:val="both"/>
        <w:rPr>
          <w:sz w:val="22"/>
          <w:szCs w:val="22"/>
        </w:rPr>
      </w:pPr>
      <w:r>
        <w:rPr>
          <w:rFonts w:eastAsia="Calibri"/>
          <w:iCs/>
          <w:sz w:val="22"/>
          <w:szCs w:val="22"/>
        </w:rPr>
        <w:t>Начало выполнения работ, с даты подписания акта передачи объекта для выполнения работ. Заказчик должен передать объект Подрядчику по акту, а Подрядчик обязан принять объект и подписать акт передачи объекта для выполнения работ в течение 3 (трех) рабочих дней с даты заключения Контракта.</w:t>
      </w:r>
    </w:p>
    <w:p>
      <w:pPr>
        <w:pStyle w:val="Normal"/>
        <w:spacing w:lineRule="auto" w:line="240" w:before="0" w:after="0"/>
        <w:ind w:firstLine="567" w:right="0"/>
        <w:rPr>
          <w:sz w:val="22"/>
          <w:szCs w:val="22"/>
        </w:rPr>
      </w:pPr>
      <w:r>
        <w:rPr>
          <w:color w:val="000000"/>
          <w:sz w:val="22"/>
          <w:szCs w:val="22"/>
          <w:shd w:fill="FFFFFF" w:val="clear"/>
        </w:rPr>
        <w:t>Окончание выполнения работ: не позднее 20 декабря 2026 года.</w:t>
      </w:r>
    </w:p>
    <w:p>
      <w:pPr>
        <w:pStyle w:val="Normal"/>
        <w:spacing w:lineRule="auto" w:line="240" w:before="0" w:after="0"/>
        <w:ind w:firstLine="567" w:right="0"/>
        <w:rPr>
          <w:sz w:val="22"/>
          <w:szCs w:val="22"/>
        </w:rPr>
      </w:pPr>
      <w:r>
        <w:rPr>
          <w:sz w:val="22"/>
          <w:szCs w:val="22"/>
        </w:rPr>
        <w:t xml:space="preserve">2.3. Подрядчик вправе выполнить работы досрочно. При этом Заказчик обязан принять выполненные работы и оплатить их в соответствии с условиями настоящего контракта. </w:t>
      </w:r>
    </w:p>
    <w:p>
      <w:pPr>
        <w:pStyle w:val="Normal"/>
        <w:spacing w:lineRule="auto" w:line="240" w:before="0" w:after="0"/>
        <w:ind w:firstLine="567" w:right="0"/>
        <w:rPr>
          <w:sz w:val="22"/>
          <w:szCs w:val="22"/>
        </w:rPr>
      </w:pPr>
      <w:r>
        <w:rPr>
          <w:sz w:val="22"/>
          <w:szCs w:val="22"/>
        </w:rPr>
      </w:r>
    </w:p>
    <w:p>
      <w:pPr>
        <w:pStyle w:val="Normal"/>
        <w:numPr>
          <w:ilvl w:val="0"/>
          <w:numId w:val="0"/>
        </w:numPr>
        <w:tabs>
          <w:tab w:val="clear" w:pos="708"/>
          <w:tab w:val="left" w:pos="0" w:leader="none"/>
        </w:tabs>
        <w:snapToGrid w:val="false"/>
        <w:spacing w:lineRule="auto" w:line="240" w:before="0" w:after="0"/>
        <w:ind w:firstLine="530" w:left="0" w:right="0"/>
        <w:jc w:val="center"/>
        <w:outlineLvl w:val="0"/>
        <w:rPr>
          <w:sz w:val="22"/>
          <w:szCs w:val="22"/>
        </w:rPr>
      </w:pPr>
      <w:r>
        <w:rPr>
          <w:b/>
          <w:caps/>
          <w:sz w:val="22"/>
          <w:szCs w:val="22"/>
        </w:rPr>
        <w:t>3. Цена контракта и порядок расчетов</w:t>
      </w:r>
    </w:p>
    <w:p>
      <w:pPr>
        <w:pStyle w:val="Normal"/>
        <w:tabs>
          <w:tab w:val="clear" w:pos="708"/>
          <w:tab w:val="left" w:pos="567" w:leader="none"/>
        </w:tabs>
        <w:spacing w:lineRule="auto" w:line="240" w:before="0" w:after="0"/>
        <w:ind w:firstLine="567" w:right="0"/>
        <w:rPr>
          <w:sz w:val="22"/>
        </w:rPr>
      </w:pPr>
      <w:r>
        <w:rPr>
          <w:sz w:val="22"/>
        </w:rPr>
        <w:t>3.1. Цена контракта составляет _____________ (____________) руб. _____ коп., в том числе НДС - ___ %, ________ (________________________________) рублей ___ копеек / НДС не облагается на основании _________________, из них:</w:t>
      </w:r>
    </w:p>
    <w:p>
      <w:pPr>
        <w:pStyle w:val="Normal"/>
        <w:widowControl/>
        <w:tabs>
          <w:tab w:val="clear" w:pos="708"/>
          <w:tab w:val="left" w:pos="567" w:leader="none"/>
        </w:tabs>
        <w:bidi w:val="0"/>
        <w:spacing w:lineRule="auto" w:line="240" w:before="0" w:after="0"/>
        <w:ind w:hanging="0" w:left="0" w:right="0"/>
        <w:jc w:val="both"/>
        <w:rPr>
          <w:sz w:val="22"/>
        </w:rPr>
      </w:pPr>
      <w:r>
        <w:rPr>
          <w:rFonts w:eastAsia="Times New Roman" w:cs="Times New Roman"/>
          <w:color w:val="000000"/>
          <w:sz w:val="22"/>
          <w:szCs w:val="18"/>
          <w:lang w:eastAsia="ru-RU"/>
        </w:rPr>
        <w:t xml:space="preserve">- </w:t>
      </w:r>
      <w:r>
        <w:rPr>
          <w:rFonts w:eastAsia="Times New Roman" w:cs="Times New Roman"/>
          <w:color w:val="000000"/>
          <w:sz w:val="22"/>
          <w:szCs w:val="22"/>
          <w:lang w:eastAsia="ru-RU"/>
        </w:rPr>
        <w:t>Выполнение работ по разработке проектной документации по организации электроснабжения с подключением от ГРЩ в рамках капитального ремонта, в сумме: _________ (___________) руб. ____коп.;</w:t>
      </w:r>
    </w:p>
    <w:p>
      <w:pPr>
        <w:pStyle w:val="Normal"/>
        <w:widowControl/>
        <w:tabs>
          <w:tab w:val="clear" w:pos="708"/>
          <w:tab w:val="left" w:pos="567" w:leader="none"/>
        </w:tabs>
        <w:bidi w:val="0"/>
        <w:spacing w:lineRule="auto" w:line="240" w:before="0" w:after="0"/>
        <w:ind w:hanging="0" w:left="0" w:right="0"/>
        <w:jc w:val="both"/>
        <w:rPr/>
      </w:pPr>
      <w:r>
        <w:rPr>
          <w:rFonts w:eastAsia="Times New Roman" w:cs="Times New Roman"/>
          <w:color w:val="000000"/>
          <w:sz w:val="22"/>
          <w:szCs w:val="22"/>
          <w:lang w:eastAsia="ru-RU"/>
        </w:rPr>
        <w:t>- Выполнение работ по монтажу электромагистрали от ГРЩ до энергопринимающих устройств в рамках проведения капитального ремонта зданий, в сумме: _________ (___________) руб. ____коп.</w:t>
      </w:r>
    </w:p>
    <w:p>
      <w:pPr>
        <w:pStyle w:val="BodyText"/>
        <w:tabs>
          <w:tab w:val="clear" w:pos="708"/>
          <w:tab w:val="left" w:pos="567" w:leader="none"/>
        </w:tabs>
        <w:ind w:firstLine="567" w:right="0"/>
        <w:rPr>
          <w:sz w:val="22"/>
          <w:szCs w:val="22"/>
        </w:rPr>
      </w:pPr>
      <w:r>
        <w:rPr>
          <w:sz w:val="22"/>
          <w:szCs w:val="22"/>
        </w:rPr>
        <w:t>3.2. Авансирование не предусмотрено.</w:t>
      </w:r>
    </w:p>
    <w:p>
      <w:pPr>
        <w:pStyle w:val="BodyText"/>
        <w:tabs>
          <w:tab w:val="clear" w:pos="708"/>
          <w:tab w:val="left" w:pos="567" w:leader="none"/>
        </w:tabs>
        <w:ind w:firstLine="567" w:right="0"/>
        <w:rPr>
          <w:sz w:val="22"/>
          <w:szCs w:val="22"/>
        </w:rPr>
      </w:pPr>
      <w:r>
        <w:rPr>
          <w:sz w:val="22"/>
          <w:szCs w:val="22"/>
        </w:rPr>
        <w:t>3.3. Цена контракта является твердой и определяется на весь срок исполнения контракта.</w:t>
      </w:r>
    </w:p>
    <w:p>
      <w:pPr>
        <w:pStyle w:val="Normal"/>
        <w:numPr>
          <w:ilvl w:val="0"/>
          <w:numId w:val="0"/>
        </w:numPr>
        <w:spacing w:lineRule="auto" w:line="240" w:before="0" w:after="0"/>
        <w:ind w:firstLine="567" w:left="0" w:right="0"/>
        <w:outlineLvl w:val="1"/>
        <w:rPr>
          <w:iCs/>
          <w:sz w:val="22"/>
        </w:rPr>
      </w:pPr>
      <w:r>
        <w:rPr>
          <w:sz w:val="22"/>
        </w:rPr>
        <w:t>3.4. В цену контракта включены все расходы Подрядчика, необходимые для осуществления своих обязательств по контракту в полном объеме, надлежащего качества, в том числе: стоимости материалов и оборудования, используемых для выполнения работ, транспортные расходы по их доставке, стоимость необходимых погрузочно-разгрузочных работ, вывоз мусора, стоимость страхования и иные расходы, а также уплата налогов, сборов, таможенных пошлин, и других обязательных платежей, установленных законодательством Российской Федерации, и иные расходы Подрядчика, связанные с исполнением настоящего контракта.</w:t>
      </w:r>
    </w:p>
    <w:p>
      <w:pPr>
        <w:pStyle w:val="Normal"/>
        <w:spacing w:lineRule="auto" w:line="240" w:before="0" w:after="0"/>
        <w:ind w:firstLine="567" w:right="65"/>
        <w:contextualSpacing/>
        <w:rPr>
          <w:rFonts w:eastAsia="Arial Unicode MS"/>
          <w:color w:themeColor="text1" w:val="000000"/>
          <w:sz w:val="22"/>
        </w:rPr>
      </w:pPr>
      <w:r>
        <w:rPr>
          <w:color w:val="auto"/>
          <w:sz w:val="22"/>
        </w:rPr>
        <w:t>3.5. Оплата выполненных работ производится Заказчиком частями за фактически выполненные работы в безналичной форме путем перечисления денежных средств на расчетный счет Подрядчика, указанный в контракте, по факту выполнения работ в течение 10 (десяти) рабочих дней с даты подписания Заказчиком документа о приемке, счета и счета-фактуры (при УСН не требуется). Оплата по Контракту осуществляется в рублях Российской Федерации.</w:t>
      </w:r>
      <w:r>
        <w:rPr>
          <w:rFonts w:eastAsia="Arial Unicode MS"/>
          <w:color w:themeColor="text1" w:val="000000"/>
          <w:sz w:val="22"/>
        </w:rPr>
        <w:t xml:space="preserve"> </w:t>
      </w:r>
    </w:p>
    <w:p>
      <w:pPr>
        <w:pStyle w:val="Normal"/>
        <w:tabs>
          <w:tab w:val="clear" w:pos="708"/>
          <w:tab w:val="left" w:pos="567" w:leader="none"/>
        </w:tabs>
        <w:spacing w:lineRule="auto" w:line="240" w:before="0" w:after="0"/>
        <w:ind w:firstLine="567" w:right="0"/>
        <w:rPr>
          <w:sz w:val="22"/>
        </w:rPr>
      </w:pPr>
      <w:r>
        <w:rPr>
          <w:sz w:val="22"/>
        </w:rPr>
        <w:t xml:space="preserve"> </w:t>
      </w:r>
      <w:r>
        <w:rPr>
          <w:sz w:val="22"/>
        </w:rPr>
        <w:t>3.6. Объемы работ, выполненные Подрядчиком с отклонениями от требований настоящего Контракта, от требований строительных норм и правил или других нормативных документов, или иными недоста</w:t>
      </w:r>
      <w:r>
        <w:rPr>
          <w:sz w:val="22"/>
          <w:shd w:fill="auto" w:val="clear"/>
        </w:rPr>
        <w:t>тками не подлежат подписанию и оплате Заказчиком до устранения Подрядчиком обнаруженных недостатков.</w:t>
      </w:r>
    </w:p>
    <w:p>
      <w:pPr>
        <w:pStyle w:val="Normal"/>
        <w:spacing w:lineRule="auto" w:line="240" w:before="0" w:after="0"/>
        <w:ind w:firstLine="567" w:right="0"/>
        <w:rPr>
          <w:highlight w:val="none"/>
          <w:shd w:fill="auto" w:val="clear"/>
        </w:rPr>
      </w:pPr>
      <w:r>
        <w:rPr>
          <w:sz w:val="22"/>
          <w:shd w:fill="auto" w:val="clear"/>
        </w:rPr>
        <w:t xml:space="preserve">3.7. Работы, выполненные Подрядчиком сверх объемов и стоимости, предусмотренных настоящим контрактом, не подлежат оплате Заказчиком. </w:t>
      </w:r>
    </w:p>
    <w:p>
      <w:pPr>
        <w:pStyle w:val="Normal"/>
        <w:spacing w:lineRule="auto" w:line="240" w:before="0" w:after="0"/>
        <w:ind w:firstLine="601" w:right="0"/>
        <w:rPr>
          <w:highlight w:val="none"/>
          <w:shd w:fill="auto" w:val="clear"/>
        </w:rPr>
      </w:pPr>
      <w:r>
        <w:rPr>
          <w:sz w:val="22"/>
          <w:shd w:fill="auto" w:val="clear"/>
          <w:lang w:eastAsia="en-US"/>
        </w:rPr>
        <w:t>3.8. Источник финансирования контракта: Федеральный бюджет РФ 2026 года.</w:t>
      </w:r>
    </w:p>
    <w:p>
      <w:pPr>
        <w:pStyle w:val="ConsPlusNonformat"/>
        <w:tabs>
          <w:tab w:val="clear" w:pos="708"/>
          <w:tab w:val="left" w:pos="567" w:leader="none"/>
        </w:tabs>
        <w:ind w:firstLine="567"/>
        <w:jc w:val="both"/>
        <w:rPr>
          <w:rFonts w:ascii="Times New Roman" w:hAnsi="Times New Roman" w:cs="Times New Roman"/>
          <w:sz w:val="22"/>
          <w:szCs w:val="22"/>
        </w:rPr>
      </w:pPr>
      <w:r>
        <w:rPr>
          <w:rFonts w:cs="Times New Roman" w:ascii="Times New Roman" w:hAnsi="Times New Roman"/>
          <w:sz w:val="22"/>
          <w:szCs w:val="22"/>
          <w:shd w:fill="auto" w:val="clear"/>
        </w:rPr>
        <w:t>3.9. Сумм</w:t>
      </w:r>
      <w:r>
        <w:rPr>
          <w:rFonts w:cs="Times New Roman" w:ascii="Times New Roman" w:hAnsi="Times New Roman"/>
          <w:sz w:val="22"/>
          <w:szCs w:val="22"/>
        </w:rPr>
        <w:t>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ListParagraph"/>
        <w:widowControl w:val="false"/>
        <w:numPr>
          <w:ilvl w:val="1"/>
          <w:numId w:val="3"/>
        </w:numPr>
        <w:tabs>
          <w:tab w:val="clear" w:pos="708"/>
          <w:tab w:val="left" w:pos="1134" w:leader="none"/>
        </w:tabs>
        <w:ind w:firstLine="567" w:left="0" w:right="0"/>
        <w:jc w:val="both"/>
        <w:rPr>
          <w:sz w:val="22"/>
          <w:szCs w:val="22"/>
        </w:rPr>
      </w:pPr>
      <w:r>
        <w:rPr>
          <w:sz w:val="22"/>
          <w:szCs w:val="22"/>
        </w:rPr>
        <w:t>В случае ненадлежащего исполнения и (или) неисполнения Подрядчиком своих обязательств по контракту Заказчик вправе произвести Подрядчику оплату по контракту за вычетом соответствующего размера неустойки (штрафа, пени). Уведомление о принятии такого решения Заказчик направляет Подрядчику в срок, не превышающий 5 (Пяти) рабочих дней с даты принятия такого решения.</w:t>
      </w:r>
    </w:p>
    <w:p>
      <w:pPr>
        <w:pStyle w:val="ListParagraph"/>
        <w:widowControl w:val="false"/>
        <w:numPr>
          <w:ilvl w:val="0"/>
          <w:numId w:val="0"/>
        </w:numPr>
        <w:tabs>
          <w:tab w:val="clear" w:pos="708"/>
          <w:tab w:val="left" w:pos="1134" w:leader="none"/>
        </w:tabs>
        <w:ind w:hanging="0" w:left="0" w:right="0"/>
        <w:jc w:val="both"/>
        <w:rPr>
          <w:sz w:val="22"/>
          <w:szCs w:val="22"/>
        </w:rPr>
      </w:pPr>
      <w:r>
        <w:rPr>
          <w:sz w:val="22"/>
          <w:szCs w:val="22"/>
        </w:rPr>
      </w:r>
    </w:p>
    <w:p>
      <w:pPr>
        <w:pStyle w:val="Normal"/>
        <w:spacing w:lineRule="auto" w:line="240" w:before="0" w:after="0"/>
        <w:ind w:firstLine="530" w:right="0"/>
        <w:jc w:val="center"/>
        <w:rPr>
          <w:b/>
          <w:bCs/>
          <w:smallCaps/>
          <w:sz w:val="22"/>
        </w:rPr>
      </w:pPr>
      <w:r>
        <w:rPr>
          <w:b/>
          <w:smallCaps/>
          <w:sz w:val="22"/>
        </w:rPr>
        <w:t>4. ПРАВА И ОБЯЗАННОСТИ СТОРОН</w:t>
      </w:r>
    </w:p>
    <w:p>
      <w:pPr>
        <w:pStyle w:val="Normal"/>
        <w:spacing w:lineRule="auto" w:line="240" w:before="0" w:after="0"/>
        <w:ind w:firstLine="567" w:right="0"/>
        <w:rPr>
          <w:b/>
          <w:sz w:val="22"/>
        </w:rPr>
      </w:pPr>
      <w:r>
        <w:rPr>
          <w:b/>
          <w:sz w:val="22"/>
        </w:rPr>
        <w:t>4.1. Заказчик обязан:</w:t>
      </w:r>
    </w:p>
    <w:p>
      <w:pPr>
        <w:pStyle w:val="Normal"/>
        <w:spacing w:lineRule="auto" w:line="240" w:before="0" w:after="0"/>
        <w:ind w:firstLine="539" w:right="0"/>
        <w:rPr>
          <w:sz w:val="22"/>
        </w:rPr>
      </w:pPr>
      <w:r>
        <w:rPr>
          <w:sz w:val="22"/>
        </w:rPr>
        <w:t>4.1.1. Предоставить Подрядчику по акту объект для выполнения работ.</w:t>
      </w:r>
    </w:p>
    <w:p>
      <w:pPr>
        <w:pStyle w:val="Normal"/>
        <w:ind w:firstLine="567" w:right="65"/>
        <w:jc w:val="both"/>
        <w:rPr>
          <w:sz w:val="22"/>
          <w:szCs w:val="22"/>
        </w:rPr>
      </w:pPr>
      <w:r>
        <w:rPr>
          <w:rFonts w:eastAsia="Calibri"/>
          <w:iCs/>
          <w:sz w:val="22"/>
          <w:szCs w:val="22"/>
        </w:rPr>
        <w:t>Заказчик должен передать объект Подрядчику по акту, а Подрядчик обязан принять объект и подписать акт передачи объекта для выполнения работ в течение 3 (трех) рабочих дней с даты заключения Контракта.</w:t>
      </w:r>
    </w:p>
    <w:p>
      <w:pPr>
        <w:pStyle w:val="Normal"/>
        <w:spacing w:lineRule="auto" w:line="240" w:before="0" w:after="0"/>
        <w:rPr>
          <w:sz w:val="22"/>
        </w:rPr>
      </w:pPr>
      <w:r>
        <w:rPr>
          <w:sz w:val="22"/>
        </w:rPr>
        <w:t>4.1.2. Обеспечить представителям Подрядчика допуск на объект для выполнения работ.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pPr>
        <w:pStyle w:val="Normal"/>
        <w:spacing w:lineRule="auto" w:line="240" w:before="0" w:after="0"/>
        <w:ind w:firstLine="567" w:right="0"/>
        <w:rPr>
          <w:sz w:val="22"/>
        </w:rPr>
      </w:pPr>
      <w:r>
        <w:rPr>
          <w:sz w:val="22"/>
        </w:rPr>
        <w:t xml:space="preserve">4.1.3. Участвовать в освидетельствовании скрытых работ. </w:t>
      </w:r>
    </w:p>
    <w:p>
      <w:pPr>
        <w:pStyle w:val="Normal"/>
        <w:spacing w:lineRule="auto" w:line="240" w:before="0" w:after="0"/>
        <w:ind w:firstLine="567" w:right="0"/>
        <w:rPr>
          <w:highlight w:val="none"/>
          <w:shd w:fill="auto" w:val="clear"/>
        </w:rPr>
      </w:pPr>
      <w:r>
        <w:rPr>
          <w:sz w:val="22"/>
          <w:shd w:fill="auto" w:val="clear"/>
        </w:rPr>
        <w:t>4.1.4. Осуществлять контроль и надзор за ходом и качеством выполняемых работ, соблюдением сроков их выполнения, не вмешиваясь при этом в оперативно-хозяйственную деятельность Подрядчика.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немедленно заявить об этом Подрядчику в письменной форме, назначив срок их устранения.</w:t>
      </w:r>
    </w:p>
    <w:p>
      <w:pPr>
        <w:pStyle w:val="Normal"/>
        <w:suppressAutoHyphens w:val="true"/>
        <w:spacing w:lineRule="auto" w:line="240" w:before="0" w:after="0"/>
        <w:ind w:firstLine="530" w:right="61"/>
        <w:rPr>
          <w:sz w:val="22"/>
        </w:rPr>
      </w:pPr>
      <w:r>
        <w:rPr>
          <w:sz w:val="22"/>
        </w:rPr>
        <w:t>4.1.6. Оплатить выполненные работы в случае надлежащего исполнения обязательств по Контракту в порядке и на условиях, предусмотренным Контрактом.</w:t>
      </w:r>
    </w:p>
    <w:p>
      <w:pPr>
        <w:pStyle w:val="NoSpacing"/>
        <w:ind w:firstLine="567"/>
        <w:rPr>
          <w:sz w:val="22"/>
          <w:szCs w:val="22"/>
        </w:rPr>
      </w:pPr>
      <w:r>
        <w:rPr>
          <w:sz w:val="22"/>
          <w:szCs w:val="22"/>
        </w:rPr>
        <w:t>4.1.7. В сроки и порядке, которые предусмотрены контрактом, с участием Подрядчика, совместно с организацией, осуществляющей строительный контроль на основании контракта с Заказчиком,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pPr>
        <w:pStyle w:val="Normal"/>
        <w:spacing w:lineRule="auto" w:line="240" w:before="0" w:after="0"/>
        <w:ind w:firstLine="567" w:right="0"/>
        <w:rPr>
          <w:sz w:val="22"/>
        </w:rPr>
      </w:pPr>
      <w:r>
        <w:rPr>
          <w:sz w:val="22"/>
        </w:rPr>
        <w:t xml:space="preserve">4.1.8.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рабочих дней со дня их поступления, если иной срок не установлен контрактом. </w:t>
      </w:r>
    </w:p>
    <w:p>
      <w:pPr>
        <w:pStyle w:val="ListParagraph"/>
        <w:spacing w:before="0" w:after="0"/>
        <w:ind w:firstLine="567" w:left="0" w:right="0"/>
        <w:contextualSpacing w:val="false"/>
        <w:jc w:val="both"/>
        <w:rPr>
          <w:b/>
          <w:sz w:val="22"/>
          <w:szCs w:val="22"/>
        </w:rPr>
      </w:pPr>
      <w:r>
        <w:rPr>
          <w:b/>
          <w:sz w:val="22"/>
          <w:szCs w:val="22"/>
        </w:rPr>
        <w:t>4.2. Заказчик вправе:</w:t>
      </w:r>
    </w:p>
    <w:p>
      <w:pPr>
        <w:pStyle w:val="ListParagraph"/>
        <w:ind w:firstLine="567" w:left="0" w:right="0"/>
        <w:jc w:val="both"/>
        <w:rPr>
          <w:sz w:val="22"/>
          <w:szCs w:val="22"/>
        </w:rPr>
      </w:pPr>
      <w:r>
        <w:rPr>
          <w:sz w:val="22"/>
          <w:szCs w:val="22"/>
        </w:rPr>
        <w:t>4.2.1. Требовать надлежащего исполнения обязательств в соответствии с Контрактом.</w:t>
      </w:r>
    </w:p>
    <w:p>
      <w:pPr>
        <w:pStyle w:val="ListParagraph"/>
        <w:tabs>
          <w:tab w:val="clear" w:pos="708"/>
          <w:tab w:val="left" w:pos="1134" w:leader="none"/>
        </w:tabs>
        <w:ind w:firstLine="567" w:left="0" w:right="0"/>
        <w:jc w:val="both"/>
        <w:rPr>
          <w:sz w:val="22"/>
          <w:szCs w:val="22"/>
        </w:rPr>
      </w:pPr>
      <w:r>
        <w:rPr>
          <w:sz w:val="22"/>
          <w:szCs w:val="22"/>
        </w:rPr>
        <w:t>4.2.2.</w:t>
        <w:tab/>
        <w:t>Требовать представления оформленных надлежащим образом, отчетных и финансовых документов, подтверждающих исполнение обязательств в соответствии с контрактом.</w:t>
      </w:r>
    </w:p>
    <w:p>
      <w:pPr>
        <w:pStyle w:val="ListParagraph"/>
        <w:tabs>
          <w:tab w:val="clear" w:pos="708"/>
          <w:tab w:val="left" w:pos="1134" w:leader="none"/>
        </w:tabs>
        <w:ind w:firstLine="567" w:left="0" w:right="0"/>
        <w:jc w:val="both"/>
        <w:rPr>
          <w:sz w:val="22"/>
          <w:szCs w:val="22"/>
        </w:rPr>
      </w:pPr>
      <w:r>
        <w:rPr>
          <w:sz w:val="22"/>
          <w:szCs w:val="22"/>
        </w:rPr>
        <w:t>4.2.3.</w:t>
        <w:tab/>
        <w:t>Запрашивать информацию о ходе и состоянии исполнения обязательств по контракту.</w:t>
      </w:r>
    </w:p>
    <w:p>
      <w:pPr>
        <w:pStyle w:val="ListParagraph"/>
        <w:tabs>
          <w:tab w:val="clear" w:pos="708"/>
          <w:tab w:val="left" w:pos="1134" w:leader="none"/>
        </w:tabs>
        <w:ind w:firstLine="567" w:left="0" w:right="0"/>
        <w:jc w:val="both"/>
        <w:rPr>
          <w:sz w:val="22"/>
          <w:szCs w:val="22"/>
        </w:rPr>
      </w:pPr>
      <w:r>
        <w:rPr>
          <w:sz w:val="22"/>
          <w:szCs w:val="22"/>
        </w:rPr>
        <w:t>4.2.4.</w:t>
        <w:tab/>
        <w:t>Осуществлять контроль за порядком и сроками выполнения работ, не вмешиваясь в оперативно-хозяйственную деятельность Подрядчика.</w:t>
      </w:r>
    </w:p>
    <w:p>
      <w:pPr>
        <w:pStyle w:val="ListParagraph"/>
        <w:tabs>
          <w:tab w:val="clear" w:pos="708"/>
          <w:tab w:val="left" w:pos="1134" w:leader="none"/>
        </w:tabs>
        <w:ind w:firstLine="567" w:left="0" w:right="0"/>
        <w:jc w:val="both"/>
        <w:rPr>
          <w:sz w:val="22"/>
          <w:szCs w:val="22"/>
        </w:rPr>
      </w:pPr>
      <w:r>
        <w:rPr>
          <w:sz w:val="22"/>
          <w:szCs w:val="22"/>
        </w:rPr>
        <w:t>4.2.5.</w:t>
        <w:tab/>
        <w:t>Отказаться от принятия и оплаты работ, не соответствующих требованиям Контракта.</w:t>
      </w:r>
    </w:p>
    <w:p>
      <w:pPr>
        <w:pStyle w:val="ListParagraph"/>
        <w:tabs>
          <w:tab w:val="clear" w:pos="708"/>
          <w:tab w:val="left" w:pos="1134" w:leader="none"/>
        </w:tabs>
        <w:spacing w:before="0" w:after="0"/>
        <w:ind w:firstLine="567" w:left="0" w:right="0"/>
        <w:contextualSpacing w:val="false"/>
        <w:jc w:val="both"/>
        <w:rPr>
          <w:sz w:val="22"/>
          <w:szCs w:val="22"/>
        </w:rPr>
      </w:pPr>
      <w:r>
        <w:rPr>
          <w:sz w:val="22"/>
          <w:szCs w:val="22"/>
        </w:rPr>
        <w:t>4.2.6.</w:t>
        <w:tab/>
        <w:t>Потребовать возврата уплаченных сумм, в случае оплаты работ, не соответствующих требованиям контракта, до устранения выявленных недостатков, а также выплаты неустойки.</w:t>
      </w:r>
    </w:p>
    <w:p>
      <w:pPr>
        <w:pStyle w:val="ListParagraph"/>
        <w:spacing w:before="0" w:after="0"/>
        <w:ind w:firstLine="567" w:left="0" w:right="0"/>
        <w:contextualSpacing w:val="false"/>
        <w:jc w:val="both"/>
        <w:rPr>
          <w:sz w:val="22"/>
          <w:szCs w:val="22"/>
        </w:rPr>
      </w:pPr>
      <w:r>
        <w:rPr>
          <w:sz w:val="22"/>
          <w:szCs w:val="22"/>
        </w:rPr>
        <w:t>4.2.7. В случае нарушения Подрядчиком условий</w:t>
      </w:r>
      <w:r>
        <w:rPr>
          <w:sz w:val="22"/>
          <w:szCs w:val="22"/>
          <w:shd w:fill="auto" w:val="clear"/>
        </w:rPr>
        <w:t xml:space="preserve"> настоящего контракта, принять решение об одностороннем отказе от исполнения контракта в соответствии с разделом 9 контракта.</w:t>
      </w:r>
    </w:p>
    <w:p>
      <w:pPr>
        <w:pStyle w:val="Normal"/>
        <w:spacing w:lineRule="auto" w:line="240" w:before="0" w:after="0"/>
        <w:ind w:firstLine="567" w:right="0"/>
        <w:rPr>
          <w:sz w:val="22"/>
        </w:rPr>
      </w:pPr>
      <w:r>
        <w:rPr>
          <w:sz w:val="22"/>
        </w:rPr>
        <w:t>4.2.8. В любое время в период выполнения работ требовать от Подрядчика отчетов о ходе выполнения работ. Требовать надлежащего исполнения Подрядчиком своих обязательств по контракту.</w:t>
      </w:r>
    </w:p>
    <w:p>
      <w:pPr>
        <w:pStyle w:val="Normal"/>
        <w:spacing w:lineRule="auto" w:line="240" w:before="0" w:after="0"/>
        <w:ind w:firstLine="567" w:right="0"/>
        <w:rPr>
          <w:b/>
          <w:sz w:val="22"/>
        </w:rPr>
      </w:pPr>
      <w:r>
        <w:rPr>
          <w:b/>
          <w:sz w:val="22"/>
        </w:rPr>
        <w:t>4.3. Подрядчик обязан:</w:t>
      </w:r>
    </w:p>
    <w:p>
      <w:pPr>
        <w:pStyle w:val="Normal"/>
        <w:spacing w:lineRule="auto" w:line="240" w:before="0" w:after="0"/>
        <w:ind w:firstLine="567" w:right="0"/>
        <w:rPr>
          <w:sz w:val="22"/>
        </w:rPr>
      </w:pPr>
      <w:r>
        <w:rPr>
          <w:sz w:val="22"/>
        </w:rPr>
        <w:t>4.3.1. Принять объект и подписать акт передачи объекта в течение 3 (трех) рабочих дней с даты получения Подрядчиком от Заказчика уведомления о начале работ (уведомление направляется Подрядчику средствами факсимильной связи или электронной почты).</w:t>
      </w:r>
    </w:p>
    <w:p>
      <w:pPr>
        <w:pStyle w:val="Normal"/>
        <w:spacing w:lineRule="auto" w:line="240" w:before="0" w:after="0"/>
        <w:ind w:firstLine="567" w:right="0"/>
        <w:rPr>
          <w:sz w:val="22"/>
        </w:rPr>
      </w:pPr>
      <w:r>
        <w:rPr>
          <w:sz w:val="22"/>
        </w:rPr>
        <w:t>4.3.2. При выполнении работ обеспечить строительную площадку строительной техникой, поставлять необходимые товары, оборудование, изделия, конструкции, а также осуществлять их разгрузку и складирование.</w:t>
      </w:r>
    </w:p>
    <w:p>
      <w:pPr>
        <w:pStyle w:val="ListParagraph"/>
        <w:spacing w:before="0" w:after="0"/>
        <w:ind w:firstLine="567" w:left="0" w:right="0"/>
        <w:contextualSpacing w:val="false"/>
        <w:jc w:val="both"/>
        <w:rPr>
          <w:sz w:val="22"/>
          <w:szCs w:val="22"/>
        </w:rPr>
      </w:pPr>
      <w:r>
        <w:rPr>
          <w:sz w:val="22"/>
          <w:szCs w:val="22"/>
        </w:rPr>
        <w:t>4.3.3. Использовать при производстве работ материалы, оборудование, конструкции и детали в соответствии с государственными стандартами.</w:t>
      </w:r>
    </w:p>
    <w:p>
      <w:pPr>
        <w:pStyle w:val="Normal"/>
        <w:spacing w:lineRule="auto" w:line="240" w:before="0" w:after="0"/>
        <w:ind w:firstLine="567" w:right="0"/>
        <w:rPr>
          <w:sz w:val="22"/>
        </w:rPr>
      </w:pPr>
      <w:r>
        <w:rPr>
          <w:sz w:val="22"/>
        </w:rPr>
        <w:t>4.3.4. Обеспечить безопасность выполнения работ и обеспечение требований безопасности для жизни, здоровья, имущества и окружающей среды.</w:t>
      </w:r>
    </w:p>
    <w:p>
      <w:pPr>
        <w:pStyle w:val="Normal"/>
        <w:spacing w:lineRule="auto" w:line="240" w:before="0" w:after="0"/>
        <w:ind w:firstLine="567" w:right="0"/>
        <w:rPr>
          <w:sz w:val="22"/>
        </w:rPr>
      </w:pPr>
      <w:r>
        <w:rPr>
          <w:sz w:val="22"/>
        </w:rPr>
        <w:t xml:space="preserve">4.3.5. Обеспечить уборку мусора. </w:t>
      </w:r>
    </w:p>
    <w:p>
      <w:pPr>
        <w:pStyle w:val="Normal"/>
        <w:spacing w:lineRule="auto" w:line="240" w:before="0" w:after="0"/>
        <w:ind w:firstLine="567" w:right="0"/>
        <w:rPr>
          <w:sz w:val="22"/>
        </w:rPr>
      </w:pPr>
      <w:r>
        <w:rPr>
          <w:sz w:val="22"/>
        </w:rPr>
        <w:t>4.3.6. Немедленно письменно предупредить Заказчика при обнаружении не зависящих от Подрядчика обстоятельств, которые снижают качество выполняемых работ либо создают невозможность их завершения в срок.</w:t>
      </w:r>
    </w:p>
    <w:p>
      <w:pPr>
        <w:pStyle w:val="Normal"/>
        <w:spacing w:lineRule="auto" w:line="240" w:before="0" w:after="0"/>
        <w:ind w:firstLine="567" w:right="0"/>
        <w:rPr>
          <w:sz w:val="22"/>
        </w:rPr>
      </w:pPr>
      <w:r>
        <w:rPr>
          <w:sz w:val="22"/>
        </w:rPr>
        <w:t xml:space="preserve">4.3.7. Исполнять полученные в ходе выполнения работ указания Заказчика, которые заносятся в соответствующие журналы, а также в срок, установленный предписанием Заказчика, устранять обнаруженные им недостатки в выполненной работе или иные отступления от условий настоящего контракта. </w:t>
      </w:r>
    </w:p>
    <w:p>
      <w:pPr>
        <w:pStyle w:val="Normal"/>
        <w:spacing w:lineRule="auto" w:line="240" w:before="0" w:after="0"/>
        <w:ind w:firstLine="567" w:right="0"/>
        <w:rPr>
          <w:sz w:val="22"/>
        </w:rPr>
      </w:pPr>
      <w:r>
        <w:rPr>
          <w:sz w:val="22"/>
        </w:rPr>
        <w:t>4.3.8. Обеспечивать сохранность материалов и оборудования, находящихся на объекте, в период выполнения работ, а также в период устранения недостатков в выполненной работе.</w:t>
      </w:r>
    </w:p>
    <w:p>
      <w:pPr>
        <w:pStyle w:val="Normal"/>
        <w:spacing w:lineRule="auto" w:line="240" w:before="0" w:after="0"/>
        <w:ind w:firstLine="567" w:right="0"/>
        <w:rPr>
          <w:sz w:val="22"/>
        </w:rPr>
      </w:pPr>
      <w:r>
        <w:rPr>
          <w:sz w:val="22"/>
        </w:rPr>
        <w:t xml:space="preserve">4.3.9. Обеспечивать Заказчику и специализированной организации, осуществляющей строительный контроль, возможность контроля и надзора за ходом выполнения работ, качеством используемых материалов и оборудования, в том числе беспрепятственно допускать их представителей к любому конструктивному элементу объекта, представлять по требованию Заказчика отчеты о ходе выполнения работ, исполнительную документацию. </w:t>
      </w:r>
    </w:p>
    <w:p>
      <w:pPr>
        <w:pStyle w:val="ListParagraph"/>
        <w:spacing w:before="0" w:after="0"/>
        <w:ind w:firstLine="567" w:left="0" w:right="0"/>
        <w:contextualSpacing w:val="false"/>
        <w:jc w:val="both"/>
        <w:rPr>
          <w:sz w:val="22"/>
          <w:szCs w:val="22"/>
        </w:rPr>
      </w:pPr>
      <w:r>
        <w:rPr>
          <w:sz w:val="22"/>
          <w:szCs w:val="22"/>
        </w:rPr>
        <w:t xml:space="preserve">4.3.10. </w:t>
      </w:r>
      <w:r>
        <w:rPr>
          <w:sz w:val="22"/>
        </w:rPr>
        <w:t>С момента начала работ до их завершения вести журнал производства работ, (КС-6) в котором отражать весь ход производства. Своевременно оформлять исполнительную документацию (в составе которой предоставляются материалы фотофиксации в части подтверждения объема выполненных работ, в т.ч. скрытых) и акты на скрытые работы, извещая Заказчика и строительный контроль не менее чем за 2 (два) рабочих дня до времени освидетельствования скрытых работ.</w:t>
      </w:r>
    </w:p>
    <w:p>
      <w:pPr>
        <w:pStyle w:val="Normal"/>
        <w:spacing w:lineRule="auto" w:line="240" w:before="0" w:after="0"/>
        <w:ind w:firstLine="567" w:right="0"/>
        <w:rPr>
          <w:sz w:val="22"/>
        </w:rPr>
      </w:pPr>
      <w:r>
        <w:rPr>
          <w:sz w:val="22"/>
        </w:rPr>
        <w:t>4.3.11. Сдать объект (результат выполненных работ) приемочной комиссии, передав при этом Заказчику всю документацию, относящуюся к выполненным работам.</w:t>
      </w:r>
    </w:p>
    <w:p>
      <w:pPr>
        <w:pStyle w:val="Normal"/>
        <w:spacing w:lineRule="auto" w:line="240" w:before="0" w:after="0"/>
        <w:ind w:firstLine="567" w:right="0"/>
        <w:rPr>
          <w:sz w:val="22"/>
        </w:rPr>
      </w:pPr>
      <w:r>
        <w:rPr>
          <w:sz w:val="22"/>
        </w:rPr>
        <w:t>4.3.12. В случае привлечения к выполнению работ Субподрядчиков, самостоятельно осуществлять контроль за действиями последнего, соблюдением Субподрядчиком требований настоящего контракта и приложений к нему, внутреннего распорядка и регламентирующих документов Заказчика, при этом Подрядчик несет ответственность за отступление Субподрядчиком от таковых.</w:t>
      </w:r>
    </w:p>
    <w:p>
      <w:pPr>
        <w:pStyle w:val="Normal"/>
        <w:spacing w:lineRule="auto" w:line="240" w:before="0" w:after="0"/>
        <w:ind w:firstLine="567" w:right="0"/>
        <w:rPr>
          <w:sz w:val="22"/>
        </w:rPr>
      </w:pPr>
      <w:r>
        <w:rPr>
          <w:sz w:val="22"/>
        </w:rPr>
        <w:t xml:space="preserve">4.3.13. </w:t>
      </w:r>
      <w:r>
        <w:rPr>
          <w:b/>
          <w:bCs/>
          <w:sz w:val="20"/>
          <w:szCs w:val="20"/>
        </w:rPr>
        <w:t>Все работы должны выполняться в обязательном порядке гражданами РФ, либо с привлечением иностранных граждан, которые согласованы с территориальным органом ФСБ для выполнения подрядных работ, а также имеют необходимые документы и разрешения в соответствии с законодательством РФ.</w:t>
      </w:r>
    </w:p>
    <w:p>
      <w:pPr>
        <w:pStyle w:val="Normal"/>
        <w:spacing w:lineRule="auto" w:line="240" w:before="0" w:after="0"/>
        <w:ind w:firstLine="567" w:right="0"/>
        <w:rPr>
          <w:sz w:val="22"/>
        </w:rPr>
      </w:pPr>
      <w:r>
        <w:rPr>
          <w:sz w:val="22"/>
        </w:rPr>
        <w:t>4.3.14. Своевременно и надлежащим образом предоставить Заказчику необходимые документы по итогам исполнения условий настоящего контракта.</w:t>
      </w:r>
    </w:p>
    <w:p>
      <w:pPr>
        <w:pStyle w:val="NormalWeb"/>
        <w:spacing w:beforeAutospacing="0" w:before="0" w:afterAutospacing="0" w:after="0"/>
        <w:ind w:firstLine="540" w:right="0"/>
        <w:jc w:val="both"/>
        <w:rPr>
          <w:sz w:val="22"/>
          <w:szCs w:val="22"/>
        </w:rPr>
      </w:pPr>
      <w:r>
        <w:rPr>
          <w:color w:themeColor="text1" w:val="000000"/>
          <w:sz w:val="22"/>
          <w:szCs w:val="22"/>
        </w:rPr>
        <w:t>4.3.15.</w:t>
      </w:r>
      <w:r>
        <w:rPr>
          <w:sz w:val="22"/>
          <w:szCs w:val="22"/>
        </w:rPr>
        <w:t xml:space="preserve"> 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капитального строительства,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pPr>
        <w:pStyle w:val="NormalWeb"/>
        <w:spacing w:beforeAutospacing="0" w:before="0" w:afterAutospacing="0" w:after="0"/>
        <w:ind w:firstLine="540" w:right="0"/>
        <w:jc w:val="both"/>
        <w:rPr>
          <w:sz w:val="22"/>
          <w:szCs w:val="22"/>
        </w:rPr>
      </w:pPr>
      <w:r>
        <w:rPr>
          <w:sz w:val="22"/>
          <w:szCs w:val="22"/>
        </w:rPr>
        <w:t>4.3.16. Обеспечить устранение выявленных недостатков и не приступать к продолжению работ до составления актов об устранении выявленных недостатков.</w:t>
      </w:r>
    </w:p>
    <w:p>
      <w:pPr>
        <w:pStyle w:val="NormalWeb"/>
        <w:spacing w:beforeAutospacing="0" w:before="0" w:afterAutospacing="0" w:after="0"/>
        <w:ind w:firstLine="540" w:right="0"/>
        <w:jc w:val="both"/>
        <w:rPr>
          <w:sz w:val="22"/>
          <w:szCs w:val="22"/>
        </w:rPr>
      </w:pPr>
      <w:r>
        <w:rPr>
          <w:sz w:val="22"/>
          <w:szCs w:val="22"/>
        </w:rPr>
        <w:t xml:space="preserve">4.3.17. </w:t>
      </w:r>
      <w:bookmarkStart w:id="3" w:name="_Hlk198048667"/>
      <w:r>
        <w:rPr>
          <w:sz w:val="22"/>
          <w:szCs w:val="22"/>
        </w:rPr>
        <w:t>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bookmarkEnd w:id="3"/>
    </w:p>
    <w:p>
      <w:pPr>
        <w:pStyle w:val="Normal"/>
        <w:spacing w:lineRule="auto" w:line="240" w:before="0" w:after="0"/>
        <w:ind w:firstLine="567" w:right="0"/>
        <w:rPr>
          <w:color w:themeColor="text1" w:val="000000"/>
          <w:sz w:val="22"/>
        </w:rPr>
      </w:pPr>
      <w:r>
        <w:rPr>
          <w:color w:themeColor="text1" w:val="000000"/>
          <w:sz w:val="22"/>
        </w:rPr>
      </w:r>
    </w:p>
    <w:p>
      <w:pPr>
        <w:pStyle w:val="Normal"/>
        <w:tabs>
          <w:tab w:val="clear" w:pos="708"/>
          <w:tab w:val="left" w:pos="1134" w:leader="none"/>
        </w:tabs>
        <w:spacing w:lineRule="auto" w:line="240" w:before="0" w:after="0"/>
        <w:rPr>
          <w:b/>
          <w:sz w:val="22"/>
        </w:rPr>
      </w:pPr>
      <w:r>
        <w:rPr>
          <w:b/>
          <w:sz w:val="22"/>
        </w:rPr>
        <w:t xml:space="preserve">   </w:t>
      </w:r>
      <w:r>
        <w:rPr>
          <w:b/>
          <w:sz w:val="22"/>
        </w:rPr>
        <w:t>4.4. Подрядчик вправе:</w:t>
      </w:r>
    </w:p>
    <w:p>
      <w:pPr>
        <w:pStyle w:val="Normal"/>
        <w:spacing w:lineRule="auto" w:line="240" w:before="0" w:after="0"/>
        <w:ind w:firstLine="709" w:right="65"/>
        <w:rPr>
          <w:sz w:val="22"/>
        </w:rPr>
      </w:pPr>
      <w:r>
        <w:rPr>
          <w:sz w:val="22"/>
        </w:rPr>
        <w:t>4.4.1.</w:t>
        <w:tab/>
        <w:t>Требовать оплаты по контракту в случае надлежащего исполнения своих обязательств по контракту.</w:t>
      </w:r>
    </w:p>
    <w:p>
      <w:pPr>
        <w:pStyle w:val="Normal"/>
        <w:spacing w:lineRule="auto" w:line="240" w:before="0" w:after="0"/>
        <w:ind w:firstLine="709" w:right="65"/>
        <w:rPr>
          <w:sz w:val="22"/>
        </w:rPr>
      </w:pPr>
      <w:r>
        <w:rPr>
          <w:sz w:val="22"/>
        </w:rPr>
        <w:t>4.4.2.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pPr>
        <w:pStyle w:val="Normal"/>
        <w:spacing w:lineRule="auto" w:line="240" w:before="0" w:after="0"/>
        <w:ind w:hanging="0" w:right="0"/>
        <w:rPr>
          <w:b/>
          <w:sz w:val="22"/>
        </w:rPr>
      </w:pPr>
      <w:r>
        <w:rPr>
          <w:b/>
          <w:sz w:val="22"/>
        </w:rPr>
      </w:r>
    </w:p>
    <w:p>
      <w:pPr>
        <w:pStyle w:val="Normal"/>
        <w:spacing w:lineRule="auto" w:line="240" w:before="0" w:after="0"/>
        <w:ind w:hanging="0" w:right="65"/>
        <w:jc w:val="center"/>
        <w:rPr>
          <w:b/>
          <w:smallCaps/>
          <w:sz w:val="22"/>
        </w:rPr>
      </w:pPr>
      <w:r>
        <w:rPr>
          <w:b/>
          <w:smallCaps/>
          <w:sz w:val="22"/>
        </w:rPr>
        <w:t>5. ПОРЯДОК СДАЧИ И ПРИЕМКИ РАБОТ</w:t>
      </w:r>
    </w:p>
    <w:p>
      <w:pPr>
        <w:pStyle w:val="ListParagraph"/>
        <w:spacing w:before="0" w:after="0"/>
        <w:ind w:firstLine="567" w:left="0" w:right="0"/>
        <w:contextualSpacing w:val="false"/>
        <w:jc w:val="both"/>
        <w:rPr>
          <w:sz w:val="22"/>
          <w:szCs w:val="22"/>
        </w:rPr>
      </w:pPr>
      <w:r>
        <w:rPr>
          <w:sz w:val="22"/>
          <w:szCs w:val="22"/>
        </w:rPr>
        <w:t>5.1. По завершении работ по настоящему контракту, Подрядчик извещает Заказчика о готовности работ к сдаче и предоставляет ему документацию, состоящую из:</w:t>
      </w:r>
    </w:p>
    <w:p>
      <w:pPr>
        <w:pStyle w:val="ListParagraph"/>
        <w:spacing w:before="0" w:after="0"/>
        <w:ind w:firstLine="567" w:left="0" w:right="0"/>
        <w:contextualSpacing w:val="false"/>
        <w:jc w:val="both"/>
        <w:rPr>
          <w:sz w:val="22"/>
          <w:szCs w:val="22"/>
        </w:rPr>
      </w:pPr>
      <w:r>
        <w:rPr>
          <w:sz w:val="22"/>
          <w:szCs w:val="22"/>
        </w:rPr>
        <w:t>- счет/счет-фактура;</w:t>
      </w:r>
    </w:p>
    <w:p>
      <w:pPr>
        <w:pStyle w:val="ListParagraph"/>
        <w:spacing w:before="0" w:after="0"/>
        <w:ind w:firstLine="567" w:left="0" w:right="0"/>
        <w:contextualSpacing w:val="false"/>
        <w:jc w:val="both"/>
        <w:rPr>
          <w:sz w:val="22"/>
          <w:szCs w:val="22"/>
        </w:rPr>
      </w:pPr>
      <w:r>
        <w:rPr>
          <w:sz w:val="22"/>
          <w:szCs w:val="22"/>
        </w:rPr>
        <w:t>- документа о приемке выполненных работ;</w:t>
      </w:r>
    </w:p>
    <w:p>
      <w:pPr>
        <w:pStyle w:val="ListParagraph"/>
        <w:spacing w:before="0" w:after="0"/>
        <w:ind w:firstLine="567" w:left="0" w:right="0"/>
        <w:contextualSpacing w:val="false"/>
        <w:jc w:val="both"/>
        <w:rPr>
          <w:sz w:val="22"/>
          <w:szCs w:val="22"/>
        </w:rPr>
      </w:pPr>
      <w:r>
        <w:rPr>
          <w:sz w:val="22"/>
          <w:szCs w:val="22"/>
        </w:rPr>
        <w:t>- акта ввода объекта в эксплуатацию (по завершении всего объема работ по настоящему контракту).</w:t>
      </w:r>
    </w:p>
    <w:p>
      <w:pPr>
        <w:pStyle w:val="ListParagraph"/>
        <w:spacing w:before="0" w:after="0"/>
        <w:ind w:firstLine="567" w:left="0" w:right="0"/>
        <w:contextualSpacing w:val="false"/>
        <w:jc w:val="both"/>
        <w:rPr>
          <w:sz w:val="22"/>
          <w:szCs w:val="22"/>
        </w:rPr>
      </w:pPr>
      <w:r>
        <w:rPr>
          <w:sz w:val="22"/>
          <w:szCs w:val="22"/>
        </w:rPr>
        <w:t>Дополнительно Подрядчик передает Заказчику следующую исполнительную документацию:</w:t>
      </w:r>
    </w:p>
    <w:p>
      <w:pPr>
        <w:pStyle w:val="Normal"/>
        <w:spacing w:lineRule="auto" w:line="240" w:before="0" w:after="0"/>
        <w:ind w:firstLine="567" w:right="0"/>
        <w:rPr>
          <w:sz w:val="22"/>
        </w:rPr>
      </w:pPr>
      <w:r>
        <w:rPr>
          <w:sz w:val="22"/>
        </w:rPr>
        <w:t>- акты освидетельствования скрытых работ;</w:t>
      </w:r>
    </w:p>
    <w:p>
      <w:pPr>
        <w:pStyle w:val="Normal"/>
        <w:spacing w:lineRule="auto" w:line="240" w:before="0" w:after="0"/>
        <w:ind w:firstLine="567" w:right="0"/>
        <w:rPr>
          <w:sz w:val="22"/>
        </w:rPr>
      </w:pPr>
      <w:r>
        <w:rPr>
          <w:sz w:val="22"/>
        </w:rPr>
        <w:t>- сертификаты, технические паспорта или другие документы, удостоверяющие качество поставляемых материалов, оборудования, конструкций и деталей;</w:t>
      </w:r>
    </w:p>
    <w:p>
      <w:pPr>
        <w:pStyle w:val="Normal"/>
        <w:spacing w:lineRule="auto" w:line="240" w:before="0" w:after="0"/>
        <w:ind w:firstLine="567" w:right="0"/>
        <w:rPr>
          <w:sz w:val="22"/>
        </w:rPr>
      </w:pPr>
      <w:r>
        <w:rPr>
          <w:sz w:val="22"/>
        </w:rPr>
        <w:t>- иные необходимые документы, информацию.</w:t>
      </w:r>
    </w:p>
    <w:p>
      <w:pPr>
        <w:pStyle w:val="Normal"/>
        <w:tabs>
          <w:tab w:val="clear" w:pos="708"/>
          <w:tab w:val="left" w:pos="0" w:leader="none"/>
        </w:tabs>
        <w:spacing w:lineRule="auto" w:line="240" w:before="0" w:after="0"/>
        <w:contextualSpacing/>
        <w:rPr>
          <w:i/>
          <w:i/>
          <w:sz w:val="22"/>
        </w:rPr>
      </w:pPr>
      <w:r>
        <w:rPr>
          <w:bCs/>
          <w:kern w:val="2"/>
          <w:sz w:val="22"/>
        </w:rPr>
        <w:t>5.2. Приемка выполненных работ производится приемочной комиссией Заказчика.</w:t>
      </w:r>
    </w:p>
    <w:p>
      <w:pPr>
        <w:pStyle w:val="Normal"/>
        <w:tabs>
          <w:tab w:val="clear" w:pos="708"/>
          <w:tab w:val="left" w:pos="1134" w:leader="none"/>
        </w:tabs>
        <w:spacing w:lineRule="auto" w:line="240" w:before="0" w:after="0"/>
        <w:ind w:firstLine="567" w:right="65"/>
        <w:contextualSpacing/>
        <w:rPr/>
      </w:pPr>
      <w:r>
        <w:rPr>
          <w:bCs/>
          <w:sz w:val="22"/>
          <w:shd w:fill="auto" w:val="clear"/>
        </w:rPr>
        <w:t xml:space="preserve">5.3. Для проверки соответствия выполненных работ условиям контракта, Заказчик обязан провести экспертизу. Экспертиза выполненных работ может проводиться Заказчиком </w:t>
      </w:r>
      <w:hyperlink r:id="rId2">
        <w:r>
          <w:rPr>
            <w:rStyle w:val="ListLabel28"/>
            <w:bCs/>
            <w:sz w:val="22"/>
            <w:shd w:fill="auto" w:val="clear"/>
          </w:rPr>
          <w:t>своими силами</w:t>
        </w:r>
      </w:hyperlink>
      <w:r>
        <w:rPr>
          <w:bCs/>
          <w:sz w:val="22"/>
          <w:shd w:fill="auto" w:val="clear"/>
        </w:rPr>
        <w:t xml:space="preserve"> или к ее проведению могут привлекаться эксперты, экспертные организации на основании контрактов, заключенных в соответствии с </w:t>
      </w:r>
      <w:r>
        <w:rPr>
          <w:sz w:val="22"/>
          <w:shd w:fill="auto" w:val="clear"/>
        </w:rPr>
        <w:t>Законом № 44-ФЗ</w:t>
      </w:r>
      <w:r>
        <w:rPr>
          <w:bCs/>
          <w:sz w:val="22"/>
          <w:shd w:fill="auto" w:val="clear"/>
        </w:rPr>
        <w:t>.</w:t>
      </w:r>
    </w:p>
    <w:p>
      <w:pPr>
        <w:pStyle w:val="Normal"/>
        <w:tabs>
          <w:tab w:val="clear" w:pos="708"/>
          <w:tab w:val="left" w:pos="1134" w:leader="none"/>
        </w:tabs>
        <w:spacing w:lineRule="auto" w:line="240" w:before="0" w:after="0"/>
        <w:ind w:firstLine="567" w:right="65"/>
        <w:contextualSpacing/>
        <w:rPr>
          <w:i/>
          <w:i/>
          <w:sz w:val="22"/>
        </w:rPr>
      </w:pPr>
      <w:r>
        <w:rPr>
          <w:sz w:val="22"/>
        </w:rPr>
        <w:t xml:space="preserve">5.4. </w:t>
      </w:r>
      <w:r>
        <w:rPr>
          <w:bCs/>
          <w:sz w:val="22"/>
        </w:rPr>
        <w:t xml:space="preserve">Порядок </w:t>
      </w:r>
      <w:r>
        <w:rPr>
          <w:sz w:val="22"/>
        </w:rPr>
        <w:t>приемки выполненных работ:</w:t>
      </w:r>
    </w:p>
    <w:p>
      <w:pPr>
        <w:pStyle w:val="Normal"/>
        <w:spacing w:lineRule="auto" w:line="240" w:before="0" w:after="0"/>
        <w:ind w:firstLine="567" w:right="65"/>
        <w:rPr>
          <w:sz w:val="22"/>
        </w:rPr>
      </w:pPr>
      <w:r>
        <w:rPr>
          <w:sz w:val="22"/>
        </w:rPr>
        <w:t xml:space="preserve">По факту выполнения работ, Подрядчиком, не позднее </w:t>
      </w:r>
      <w:r>
        <w:rPr>
          <w:b/>
          <w:sz w:val="22"/>
        </w:rPr>
        <w:t>2 (двух) рабочих</w:t>
      </w:r>
      <w:r>
        <w:rPr>
          <w:sz w:val="22"/>
        </w:rPr>
        <w:t xml:space="preserve"> </w:t>
      </w:r>
      <w:r>
        <w:rPr>
          <w:b/>
          <w:bCs/>
          <w:sz w:val="22"/>
        </w:rPr>
        <w:t xml:space="preserve"> после выполнения работ</w:t>
      </w:r>
      <w:r>
        <w:rPr>
          <w:sz w:val="22"/>
        </w:rPr>
        <w:t xml:space="preserve"> Подрядчик направляет уведомление об окончании работ и документы в соответствии с ч. 5.1 настоящего контракта.</w:t>
      </w:r>
    </w:p>
    <w:p>
      <w:pPr>
        <w:pStyle w:val="Normal"/>
        <w:spacing w:lineRule="auto" w:line="240" w:before="0" w:after="0"/>
        <w:rPr>
          <w:sz w:val="22"/>
        </w:rPr>
      </w:pPr>
      <w:r>
        <w:rPr>
          <w:sz w:val="22"/>
        </w:rPr>
        <w:t>5.5. Заказчик в срок не более, чем 20 (двадцать) рабочих дней, следующих за днем поступления документа о приемке, осуществляет одно из следующих действий:</w:t>
      </w:r>
    </w:p>
    <w:p>
      <w:pPr>
        <w:pStyle w:val="Normal"/>
        <w:spacing w:lineRule="auto" w:line="240" w:before="0" w:after="0"/>
        <w:ind w:firstLine="567" w:right="65"/>
        <w:rPr>
          <w:sz w:val="22"/>
        </w:rPr>
      </w:pPr>
      <w:bookmarkStart w:id="4" w:name="Par11"/>
      <w:bookmarkEnd w:id="4"/>
      <w:r>
        <w:rPr>
          <w:sz w:val="22"/>
        </w:rPr>
        <w:t>- подписывает документ о приемке;</w:t>
      </w:r>
    </w:p>
    <w:p>
      <w:pPr>
        <w:pStyle w:val="Normal"/>
        <w:spacing w:lineRule="auto" w:line="240" w:before="0" w:after="0"/>
        <w:ind w:firstLine="567" w:right="65"/>
        <w:rPr>
          <w:sz w:val="22"/>
        </w:rPr>
      </w:pPr>
      <w:bookmarkStart w:id="5" w:name="Par12"/>
      <w:bookmarkEnd w:id="5"/>
      <w:r>
        <w:rPr>
          <w:sz w:val="22"/>
        </w:rPr>
        <w:t>- формирует мотивированный отказ от подписания документа о приемке с указанием причин такого отказа.</w:t>
      </w:r>
    </w:p>
    <w:p>
      <w:pPr>
        <w:pStyle w:val="Normal"/>
        <w:spacing w:lineRule="auto" w:line="240" w:before="0" w:after="0"/>
        <w:rPr>
          <w:sz w:val="22"/>
        </w:rPr>
      </w:pPr>
      <w:r>
        <w:rPr>
          <w:sz w:val="22"/>
        </w:rPr>
        <w:t>5.6. 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указанном в пункте 5.4. контракта.</w:t>
      </w:r>
    </w:p>
    <w:p>
      <w:pPr>
        <w:pStyle w:val="Normal"/>
        <w:spacing w:lineRule="auto" w:line="240" w:before="0" w:after="0"/>
        <w:ind w:firstLine="530" w:right="0"/>
        <w:rPr>
          <w:sz w:val="22"/>
        </w:rPr>
      </w:pPr>
      <w:r>
        <w:rPr>
          <w:sz w:val="22"/>
        </w:rPr>
        <w:t>5.7. Датой приемки выполненных работ считается дата подписания документа о приемке Заказчиком.</w:t>
      </w:r>
    </w:p>
    <w:p>
      <w:pPr>
        <w:pStyle w:val="ListParagraph"/>
        <w:spacing w:before="0" w:after="0"/>
        <w:ind w:firstLine="567" w:left="0" w:right="0"/>
        <w:contextualSpacing w:val="false"/>
        <w:jc w:val="both"/>
        <w:rPr>
          <w:sz w:val="22"/>
          <w:szCs w:val="22"/>
        </w:rPr>
      </w:pPr>
      <w:r>
        <w:rPr>
          <w:sz w:val="22"/>
          <w:szCs w:val="22"/>
        </w:rPr>
        <w:t>5.8. Подрядчик обязан устранить все обнаруженные недостатки своими силами и за свой счет в сроки, указанные в рекламационном акте, обеспечив при этом сохранность объектов или их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w:t>
      </w:r>
    </w:p>
    <w:p>
      <w:pPr>
        <w:pStyle w:val="Normal"/>
        <w:spacing w:lineRule="auto" w:line="240" w:before="0" w:after="0"/>
        <w:ind w:firstLine="567" w:right="0"/>
        <w:rPr>
          <w:spacing w:val="-1"/>
          <w:sz w:val="22"/>
        </w:rPr>
      </w:pPr>
      <w:r>
        <w:rPr>
          <w:sz w:val="22"/>
        </w:rPr>
        <w:t>5.9. Заказчик вправе отказаться от приемки результатов выполненных работ в случае обнаружения недостатков, которые исключают эксплуатацию объектов и не могут быть устранены Подрядчиком.</w:t>
      </w:r>
    </w:p>
    <w:p>
      <w:pPr>
        <w:pStyle w:val="Normal"/>
        <w:spacing w:lineRule="auto" w:line="240" w:before="0" w:after="0"/>
        <w:ind w:firstLine="567" w:right="0"/>
        <w:rPr>
          <w:sz w:val="22"/>
        </w:rPr>
      </w:pPr>
      <w:r>
        <w:rPr>
          <w:sz w:val="22"/>
        </w:rPr>
        <w:t>5.10. Риск случайной гибели или случайного повреждения результата работ переходят от Подрядчика к Заказчику с момента сдачи объектов, а в случае обнаружения в ходе приемки результата работ недостатков - с момента устранения Подрядчиком всех выявленных недостатков согласно составленного мотивированного отказа от подписания документа о приемке.</w:t>
      </w:r>
    </w:p>
    <w:p>
      <w:pPr>
        <w:pStyle w:val="Normal"/>
        <w:numPr>
          <w:ilvl w:val="0"/>
          <w:numId w:val="0"/>
        </w:numPr>
        <w:spacing w:lineRule="auto" w:line="240" w:before="0" w:after="0"/>
        <w:ind w:hanging="0" w:left="0" w:right="65"/>
        <w:jc w:val="center"/>
        <w:outlineLvl w:val="0"/>
        <w:rPr>
          <w:highlight w:val="none"/>
          <w:shd w:fill="auto" w:val="clear"/>
        </w:rPr>
      </w:pPr>
      <w:r>
        <w:rPr>
          <w:b/>
          <w:sz w:val="22"/>
          <w:shd w:fill="auto" w:val="clear"/>
        </w:rPr>
        <w:t>6. ГАРАНТИЯ КАЧЕСТВА РАБОТ</w:t>
      </w:r>
    </w:p>
    <w:p>
      <w:pPr>
        <w:pStyle w:val="Normal"/>
        <w:spacing w:lineRule="auto" w:line="240" w:before="0" w:after="0"/>
        <w:ind w:firstLine="567" w:right="0"/>
        <w:rPr>
          <w:sz w:val="22"/>
        </w:rPr>
      </w:pPr>
      <w:r>
        <w:rPr>
          <w:sz w:val="22"/>
        </w:rPr>
        <w:t>6.1. Качество работ, а также используемых материалов (комплектующих и оборудования) должно соответствовать требованиям следующей нормативно-технической методической документации:</w:t>
      </w:r>
    </w:p>
    <w:p>
      <w:pPr>
        <w:pStyle w:val="Normal"/>
        <w:tabs>
          <w:tab w:val="clear" w:pos="708"/>
          <w:tab w:val="left" w:pos="690" w:leader="none"/>
          <w:tab w:val="right" w:pos="9355" w:leader="none"/>
        </w:tabs>
        <w:suppressAutoHyphens w:val="true"/>
        <w:spacing w:lineRule="auto" w:line="240" w:before="0" w:after="0"/>
        <w:ind w:firstLine="567" w:right="0"/>
        <w:rPr>
          <w:sz w:val="22"/>
          <w:lang w:eastAsia="ar-SA"/>
        </w:rPr>
      </w:pPr>
      <w:r>
        <w:rPr>
          <w:sz w:val="22"/>
          <w:lang w:eastAsia="ar-SA"/>
        </w:rPr>
        <w:t>- Правила охраны труда (СНиП от 23.07.2001 № 12-03-2001 «Безопасность труда в строительстве. Часть I. Общие требования»;</w:t>
      </w:r>
    </w:p>
    <w:p>
      <w:pPr>
        <w:pStyle w:val="Normal"/>
        <w:suppressAutoHyphens w:val="true"/>
        <w:spacing w:lineRule="auto" w:line="240" w:before="0" w:after="0"/>
        <w:ind w:firstLine="567" w:right="0"/>
        <w:rPr>
          <w:sz w:val="22"/>
          <w:lang w:eastAsia="ar-SA"/>
        </w:rPr>
      </w:pPr>
      <w:r>
        <w:rPr>
          <w:sz w:val="22"/>
          <w:lang w:eastAsia="ar-SA"/>
        </w:rPr>
        <w:t>- Федеральный Закон от 30 марта 1999 года № 52-ФЗ «О санитарно-эпидемиологическом благополучии населения»;</w:t>
      </w:r>
    </w:p>
    <w:p>
      <w:pPr>
        <w:pStyle w:val="Normal"/>
        <w:suppressAutoHyphens w:val="true"/>
        <w:spacing w:lineRule="auto" w:line="240" w:before="0" w:after="0"/>
        <w:ind w:firstLine="567" w:right="0"/>
        <w:rPr>
          <w:sz w:val="22"/>
          <w:lang w:eastAsia="ar-SA"/>
        </w:rPr>
      </w:pPr>
      <w:r>
        <w:rPr>
          <w:sz w:val="22"/>
          <w:lang w:eastAsia="ar-SA"/>
        </w:rPr>
        <w:t>- СНиП 12-04-2002 «О принятии строительных норм и правил Российской Федерации "Безопасность труда в строительстве. Часть 2. Строительное производство» (</w:t>
      </w:r>
      <w:r>
        <w:fldChar w:fldCharType="begin"/>
      </w:r>
      <w:r>
        <w:rPr>
          <w:rStyle w:val="ListLabel29"/>
          <w:sz w:val="22"/>
          <w:lang w:eastAsia="ar-SA"/>
        </w:rPr>
        <w:instrText xml:space="preserve"> HYPERLINK "http://main/law?d&amp;nd=9000494&amp;prevDoc=901829466" \l "_blank"</w:instrText>
      </w:r>
      <w:r>
        <w:rPr>
          <w:rStyle w:val="ListLabel29"/>
          <w:sz w:val="22"/>
          <w:lang w:eastAsia="ar-SA"/>
        </w:rPr>
        <w:fldChar w:fldCharType="separate"/>
      </w:r>
      <w:r>
        <w:rPr>
          <w:rStyle w:val="ListLabel29"/>
          <w:sz w:val="22"/>
          <w:lang w:eastAsia="ar-SA"/>
        </w:rPr>
        <w:t>Постановление Госстроя России</w:t>
      </w:r>
      <w:r>
        <w:rPr>
          <w:rStyle w:val="ListLabel29"/>
          <w:sz w:val="22"/>
          <w:lang w:eastAsia="ar-SA"/>
        </w:rPr>
        <w:fldChar w:fldCharType="end"/>
      </w:r>
      <w:r>
        <w:rPr>
          <w:sz w:val="22"/>
          <w:lang w:eastAsia="ar-SA"/>
        </w:rPr>
        <w:t xml:space="preserve"> от 17.9.2002 N 123)., Безопасность труда в строительстве. Часть 2. Строительное производство. СНиП 12-04-2002. </w:t>
      </w:r>
    </w:p>
    <w:p>
      <w:pPr>
        <w:pStyle w:val="Normal"/>
        <w:spacing w:lineRule="auto" w:line="240" w:before="0" w:after="0"/>
        <w:ind w:firstLine="567" w:right="0"/>
        <w:rPr>
          <w:sz w:val="22"/>
        </w:rPr>
      </w:pPr>
      <w:r>
        <w:rPr>
          <w:sz w:val="22"/>
        </w:rPr>
        <w:t>6.2. Гарантия качества результата работ, предусмотренного контрактом, распространяется на все, составляющее результат работ.</w:t>
      </w:r>
    </w:p>
    <w:p>
      <w:pPr>
        <w:pStyle w:val="Normal"/>
        <w:snapToGrid w:val="false"/>
        <w:spacing w:lineRule="auto" w:line="240" w:before="0" w:after="0"/>
        <w:ind w:firstLine="709" w:right="65"/>
        <w:rPr>
          <w:sz w:val="22"/>
          <w:lang w:eastAsia="ar-SA"/>
        </w:rPr>
      </w:pPr>
      <w:r>
        <w:rPr>
          <w:sz w:val="22"/>
          <w:lang w:eastAsia="ar-SA"/>
        </w:rPr>
        <w:t>Гарантийный срок на результат работ устанавливается со дня приемки Заказчиком результата работ (по завершению всего объема работ по настоящему контракту),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 и составляет 5 лет.</w:t>
      </w:r>
    </w:p>
    <w:p>
      <w:pPr>
        <w:pStyle w:val="Normal"/>
        <w:spacing w:lineRule="auto" w:line="240" w:before="0" w:after="0"/>
        <w:ind w:firstLine="567" w:right="0"/>
        <w:rPr>
          <w:sz w:val="22"/>
        </w:rPr>
      </w:pPr>
      <w:r>
        <w:rPr>
          <w:sz w:val="22"/>
        </w:rPr>
        <w:t>6.3.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pPr>
        <w:pStyle w:val="Normal"/>
        <w:spacing w:lineRule="auto" w:line="240" w:before="0" w:after="0"/>
        <w:ind w:firstLine="567" w:right="0"/>
        <w:rPr>
          <w:sz w:val="22"/>
        </w:rPr>
      </w:pPr>
      <w:r>
        <w:rPr>
          <w:sz w:val="22"/>
        </w:rPr>
        <w:t>6.4. Устранение недостатков (дефектов) результата работ, выявленных в течение гарантийного срока, осуществляется силами Подрядчика и за его счет.</w:t>
      </w:r>
    </w:p>
    <w:p>
      <w:pPr>
        <w:pStyle w:val="Normal"/>
        <w:spacing w:lineRule="auto" w:line="240" w:before="0" w:after="0"/>
        <w:ind w:firstLine="567" w:right="0"/>
        <w:rPr>
          <w:sz w:val="22"/>
        </w:rPr>
      </w:pPr>
      <w:r>
        <w:rPr>
          <w:sz w:val="22"/>
        </w:rPr>
        <w:t>6.5.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pPr>
        <w:pStyle w:val="Normal"/>
        <w:spacing w:lineRule="auto" w:line="240" w:before="0" w:after="0"/>
        <w:ind w:firstLine="567" w:right="0"/>
        <w:rPr>
          <w:sz w:val="22"/>
        </w:rPr>
      </w:pPr>
      <w:r>
        <w:rPr>
          <w:sz w:val="22"/>
        </w:rPr>
        <w:t>6.6. Не позднее 5-го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pPr>
        <w:pStyle w:val="Normal"/>
        <w:spacing w:lineRule="auto" w:line="240" w:before="0" w:after="0"/>
        <w:ind w:firstLine="567" w:right="0"/>
        <w:rPr>
          <w:sz w:val="22"/>
        </w:rPr>
      </w:pPr>
      <w:r>
        <w:rPr>
          <w:sz w:val="22"/>
        </w:rPr>
        <w:t>6.7.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pPr>
        <w:pStyle w:val="Normal"/>
        <w:spacing w:lineRule="auto" w:line="240" w:before="0" w:after="0"/>
        <w:ind w:firstLine="567" w:right="0"/>
        <w:rPr>
          <w:sz w:val="22"/>
        </w:rPr>
      </w:pPr>
      <w:r>
        <w:rPr>
          <w:sz w:val="22"/>
        </w:rPr>
        <w:t>6.8.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15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pPr>
        <w:pStyle w:val="Normal"/>
        <w:spacing w:lineRule="auto" w:line="240" w:before="0" w:after="0"/>
        <w:ind w:firstLine="567" w:right="0"/>
        <w:rPr>
          <w:sz w:val="22"/>
        </w:rPr>
      </w:pPr>
      <w:r>
        <w:rPr>
          <w:sz w:val="22"/>
        </w:rPr>
        <w:t>6.9. 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pPr>
        <w:pStyle w:val="Normal"/>
        <w:spacing w:lineRule="auto" w:line="240" w:before="0" w:after="0"/>
        <w:ind w:firstLine="567" w:right="0"/>
        <w:rPr>
          <w:sz w:val="22"/>
        </w:rPr>
      </w:pPr>
      <w:r>
        <w:rPr>
          <w:sz w:val="22"/>
        </w:rPr>
        <w:t>6.10.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pPr>
        <w:pStyle w:val="Heading5"/>
        <w:rPr>
          <w:b/>
          <w:sz w:val="22"/>
          <w:szCs w:val="22"/>
        </w:rPr>
      </w:pPr>
      <w:r>
        <w:rPr>
          <w:b/>
          <w:sz w:val="22"/>
          <w:szCs w:val="22"/>
        </w:rPr>
        <w:t>7. ОТВЕТСТВЕННОСТЬ СТОРОН</w:t>
      </w:r>
    </w:p>
    <w:p>
      <w:pPr>
        <w:pStyle w:val="Normal"/>
        <w:spacing w:lineRule="auto" w:line="240" w:before="0" w:after="0"/>
        <w:ind w:firstLine="567" w:right="-2"/>
        <w:contextualSpacing/>
        <w:rPr>
          <w:color w:themeColor="text1" w:val="000000"/>
          <w:sz w:val="22"/>
        </w:rPr>
      </w:pPr>
      <w:r>
        <w:rPr>
          <w:sz w:val="22"/>
        </w:rPr>
        <w:t xml:space="preserve">7.1. </w:t>
      </w:r>
      <w:r>
        <w:rPr>
          <w:color w:themeColor="text1" w:val="000000"/>
          <w:sz w:val="22"/>
        </w:rPr>
        <w:t>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 Законом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pPr>
        <w:pStyle w:val="Normal"/>
        <w:spacing w:lineRule="auto" w:line="240" w:before="0" w:after="0"/>
        <w:ind w:firstLine="284" w:right="-2"/>
        <w:contextualSpacing/>
        <w:rPr>
          <w:color w:themeColor="text1" w:val="000000"/>
          <w:sz w:val="22"/>
        </w:rPr>
      </w:pPr>
      <w:r>
        <w:rPr>
          <w:color w:themeColor="text1" w:val="000000"/>
          <w:sz w:val="22"/>
        </w:rPr>
        <w:t xml:space="preserve">Заказчик и Подрядчик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 </w:t>
      </w:r>
    </w:p>
    <w:p>
      <w:pPr>
        <w:pStyle w:val="Normal"/>
        <w:spacing w:lineRule="auto" w:line="240" w:before="0" w:after="0"/>
        <w:ind w:firstLine="284" w:right="-2"/>
        <w:contextualSpacing/>
        <w:rPr>
          <w:color w:themeColor="text1" w:val="000000"/>
          <w:sz w:val="22"/>
        </w:rPr>
      </w:pPr>
      <w:r>
        <w:rPr>
          <w:color w:themeColor="text1" w:val="000000"/>
          <w:sz w:val="22"/>
        </w:rPr>
        <w:t>7.2.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Normal"/>
        <w:spacing w:lineRule="auto" w:line="240" w:before="0" w:after="0"/>
        <w:ind w:firstLine="284" w:right="-2"/>
        <w:contextualSpacing/>
        <w:rPr>
          <w:color w:themeColor="text1" w:val="000000"/>
          <w:sz w:val="22"/>
        </w:rPr>
      </w:pPr>
      <w:r>
        <w:rPr>
          <w:color w:themeColor="text1" w:val="000000"/>
          <w:sz w:val="22"/>
        </w:rPr>
        <w:t>а) 10 процентов цены контракта (этапа) в случае, если цена контракта (этапа) не превышает 3 млн. рублей;</w:t>
      </w:r>
    </w:p>
    <w:p>
      <w:pPr>
        <w:pStyle w:val="Normal"/>
        <w:spacing w:lineRule="auto" w:line="240" w:before="0" w:after="0"/>
        <w:ind w:firstLine="284" w:right="-2"/>
        <w:contextualSpacing/>
        <w:rPr>
          <w:color w:themeColor="text1" w:val="000000"/>
          <w:sz w:val="22"/>
        </w:rPr>
      </w:pPr>
      <w:r>
        <w:rPr>
          <w:color w:themeColor="text1" w:val="000000"/>
          <w:sz w:val="22"/>
        </w:rPr>
        <w:t>б) 5 процентов цены контракта (этапа) в случае, если цена контракта (этапа) составляет от 3 млн. рублей до 50 млн. рублей (включительно).</w:t>
      </w:r>
    </w:p>
    <w:p>
      <w:pPr>
        <w:pStyle w:val="Normal"/>
        <w:spacing w:lineRule="auto" w:line="240" w:before="0" w:after="0"/>
        <w:ind w:firstLine="284" w:right="-2"/>
        <w:contextualSpacing/>
        <w:rPr>
          <w:color w:themeColor="text1" w:val="000000"/>
          <w:sz w:val="22"/>
        </w:rPr>
      </w:pPr>
      <w:r>
        <w:rPr>
          <w:color w:themeColor="text1" w:val="000000"/>
          <w:sz w:val="22"/>
        </w:rPr>
        <w:t>7.3.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Normal"/>
        <w:spacing w:lineRule="auto" w:line="240" w:before="0" w:after="0"/>
        <w:ind w:firstLine="284" w:right="-2"/>
        <w:contextualSpacing/>
        <w:rPr>
          <w:color w:themeColor="text1" w:val="000000"/>
          <w:sz w:val="22"/>
        </w:rPr>
      </w:pPr>
      <w:r>
        <w:rPr>
          <w:color w:themeColor="text1" w:val="000000"/>
          <w:sz w:val="22"/>
        </w:rPr>
        <w:t>а) в случае, если цена контракта не превышает начальную (максимальную) цену контракта:</w:t>
      </w:r>
    </w:p>
    <w:p>
      <w:pPr>
        <w:pStyle w:val="Normal"/>
        <w:spacing w:lineRule="auto" w:line="240" w:before="0" w:after="0"/>
        <w:ind w:firstLine="284" w:right="-2"/>
        <w:contextualSpacing/>
        <w:rPr>
          <w:color w:themeColor="text1" w:val="000000"/>
          <w:sz w:val="22"/>
        </w:rPr>
      </w:pPr>
      <w:r>
        <w:rPr>
          <w:color w:themeColor="text1" w:val="000000"/>
          <w:sz w:val="22"/>
        </w:rPr>
        <w:t>- 10 процентов начальной (максимальной) цены контракта, если цена контракта не превышает 3 млн. рублей;</w:t>
      </w:r>
    </w:p>
    <w:p>
      <w:pPr>
        <w:pStyle w:val="Normal"/>
        <w:spacing w:lineRule="auto" w:line="240" w:before="0" w:after="0"/>
        <w:ind w:firstLine="284" w:right="-2"/>
        <w:contextualSpacing/>
        <w:rPr>
          <w:color w:themeColor="text1" w:val="000000"/>
          <w:sz w:val="22"/>
        </w:rPr>
      </w:pPr>
      <w:r>
        <w:rPr>
          <w:color w:themeColor="text1" w:val="000000"/>
          <w:sz w:val="22"/>
        </w:rPr>
        <w:t>- 5 процентов начальной (максимальной) цены контракта, если цена контракта составляет от 3 млн. рублей до 50 млн. рублей (включительно);</w:t>
      </w:r>
    </w:p>
    <w:p>
      <w:pPr>
        <w:pStyle w:val="Normal"/>
        <w:spacing w:lineRule="auto" w:line="240" w:before="0" w:after="0"/>
        <w:ind w:firstLine="284" w:right="-2"/>
        <w:contextualSpacing/>
        <w:rPr>
          <w:color w:themeColor="text1" w:val="000000"/>
          <w:sz w:val="22"/>
        </w:rPr>
      </w:pPr>
      <w:r>
        <w:rPr>
          <w:color w:themeColor="text1" w:val="000000"/>
          <w:sz w:val="22"/>
        </w:rPr>
        <w:t>б) в случае, если цена контракта превышает начальную (максимальную) цену контракта:</w:t>
      </w:r>
    </w:p>
    <w:p>
      <w:pPr>
        <w:pStyle w:val="Normal"/>
        <w:spacing w:lineRule="auto" w:line="240" w:before="0" w:after="0"/>
        <w:ind w:firstLine="284" w:right="-2"/>
        <w:contextualSpacing/>
        <w:rPr>
          <w:color w:themeColor="text1" w:val="000000"/>
          <w:sz w:val="22"/>
        </w:rPr>
      </w:pPr>
      <w:r>
        <w:rPr>
          <w:color w:themeColor="text1" w:val="000000"/>
          <w:sz w:val="22"/>
        </w:rPr>
        <w:t>- 10 процентов цены контракта, если цена контракта не превышает 3 млн. рублей;</w:t>
      </w:r>
    </w:p>
    <w:p>
      <w:pPr>
        <w:pStyle w:val="Normal"/>
        <w:spacing w:lineRule="auto" w:line="240" w:before="0" w:after="0"/>
        <w:ind w:firstLine="284" w:right="-2"/>
        <w:contextualSpacing/>
        <w:rPr>
          <w:color w:themeColor="text1" w:val="000000"/>
          <w:sz w:val="22"/>
        </w:rPr>
      </w:pPr>
      <w:r>
        <w:rPr>
          <w:color w:themeColor="text1" w:val="000000"/>
          <w:sz w:val="22"/>
        </w:rPr>
        <w:t>- 5 процентов цены контракта, если цена контракта составляет от 3 млн. рублей до 50 млн. рублей (включительно).</w:t>
      </w:r>
    </w:p>
    <w:p>
      <w:pPr>
        <w:pStyle w:val="Normal"/>
        <w:spacing w:lineRule="auto" w:line="240" w:before="0" w:after="0"/>
        <w:ind w:firstLine="284" w:right="-2"/>
        <w:contextualSpacing/>
        <w:rPr>
          <w:color w:themeColor="text1" w:val="000000"/>
          <w:sz w:val="22"/>
        </w:rPr>
      </w:pPr>
      <w:r>
        <w:rPr>
          <w:color w:themeColor="text1" w:val="000000"/>
          <w:sz w:val="22"/>
        </w:rPr>
        <w:t>7.4.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следующем порядке:</w:t>
      </w:r>
    </w:p>
    <w:p>
      <w:pPr>
        <w:pStyle w:val="Normal"/>
        <w:spacing w:lineRule="auto" w:line="240" w:before="0" w:after="0"/>
        <w:ind w:firstLine="284" w:right="-2"/>
        <w:contextualSpacing/>
        <w:rPr>
          <w:color w:themeColor="text1" w:val="000000"/>
          <w:sz w:val="22"/>
        </w:rPr>
      </w:pPr>
      <w:r>
        <w:rPr>
          <w:color w:themeColor="text1" w:val="000000"/>
          <w:sz w:val="22"/>
        </w:rPr>
        <w:t>а) 1000 рублей, если цена контракта не превышает 3 млн. рублей;</w:t>
      </w:r>
    </w:p>
    <w:p>
      <w:pPr>
        <w:pStyle w:val="Normal"/>
        <w:spacing w:lineRule="auto" w:line="240" w:before="0" w:after="0"/>
        <w:ind w:firstLine="284" w:right="-2"/>
        <w:contextualSpacing/>
        <w:rPr>
          <w:color w:themeColor="text1" w:val="000000"/>
          <w:sz w:val="22"/>
        </w:rPr>
      </w:pPr>
      <w:r>
        <w:rPr>
          <w:color w:themeColor="text1" w:val="000000"/>
          <w:sz w:val="22"/>
        </w:rPr>
        <w:t>б) 5000 рублей, если цена контракта составляет от 3 млн. рублей до 50 млн. рублей (включительно).</w:t>
      </w:r>
    </w:p>
    <w:p>
      <w:pPr>
        <w:pStyle w:val="Normal"/>
        <w:spacing w:lineRule="auto" w:line="240" w:before="0" w:after="0"/>
        <w:ind w:firstLine="284" w:right="-2"/>
        <w:contextualSpacing/>
        <w:rPr>
          <w:color w:themeColor="text1" w:val="000000"/>
          <w:sz w:val="22"/>
        </w:rPr>
      </w:pPr>
      <w:r>
        <w:rPr>
          <w:color w:themeColor="text1" w:val="000000"/>
          <w:sz w:val="22"/>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spacing w:lineRule="auto" w:line="240" w:before="0" w:after="0"/>
        <w:ind w:firstLine="284" w:right="-2"/>
        <w:contextualSpacing/>
        <w:rPr>
          <w:color w:themeColor="text1" w:val="000000"/>
          <w:sz w:val="22"/>
        </w:rPr>
      </w:pPr>
      <w:r>
        <w:rPr>
          <w:color w:themeColor="text1" w:val="000000"/>
          <w:sz w:val="22"/>
        </w:rPr>
        <w:t>а) 1000 рублей, если цена контракта не превышает 3 млн. рублей (включительно);</w:t>
      </w:r>
    </w:p>
    <w:p>
      <w:pPr>
        <w:pStyle w:val="Normal"/>
        <w:spacing w:lineRule="auto" w:line="240" w:before="0" w:after="0"/>
        <w:ind w:firstLine="284" w:right="-2"/>
        <w:contextualSpacing/>
        <w:rPr>
          <w:color w:themeColor="text1" w:val="000000"/>
          <w:sz w:val="22"/>
        </w:rPr>
      </w:pPr>
      <w:r>
        <w:rPr>
          <w:color w:themeColor="text1" w:val="000000"/>
          <w:sz w:val="22"/>
        </w:rPr>
        <w:t>б) 5000 рублей, если цена контракта составляет от 3 млн. рублей до 50 млн. рублей (включительно).</w:t>
      </w:r>
    </w:p>
    <w:p>
      <w:pPr>
        <w:pStyle w:val="Normal"/>
        <w:spacing w:lineRule="auto" w:line="240" w:before="0" w:after="0"/>
        <w:ind w:firstLine="284" w:right="-2"/>
        <w:contextualSpacing/>
        <w:rPr>
          <w:color w:themeColor="text1" w:val="000000"/>
          <w:sz w:val="22"/>
        </w:rPr>
      </w:pPr>
      <w:r>
        <w:rPr>
          <w:color w:themeColor="text1" w:val="000000"/>
          <w:sz w:val="22"/>
        </w:rPr>
        <w:t>7.6. За неисполнение Подрядчиком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pPr>
        <w:pStyle w:val="Normal"/>
        <w:spacing w:lineRule="auto" w:line="240" w:before="0" w:after="0"/>
        <w:ind w:firstLine="284" w:right="-2"/>
        <w:contextualSpacing/>
        <w:rPr>
          <w:color w:themeColor="text1" w:val="000000"/>
          <w:sz w:val="22"/>
        </w:rPr>
      </w:pPr>
      <w:r>
        <w:rPr>
          <w:color w:themeColor="text1" w:val="000000"/>
          <w:sz w:val="22"/>
        </w:rPr>
        <w:t>7.7. К обязательствам, не имеющим стоимостного выражения, относятся обязательства Подрядчика по настоящему контракту, связанные с не предоставлением в сроки, предусмотренные контрактом, документов в соответствии с пунктами 5.1., 5.4. контракта.</w:t>
      </w:r>
    </w:p>
    <w:p>
      <w:pPr>
        <w:pStyle w:val="Normal"/>
        <w:spacing w:lineRule="auto" w:line="240" w:before="0" w:after="0"/>
        <w:ind w:firstLine="284" w:right="-2"/>
        <w:contextualSpacing/>
        <w:rPr>
          <w:color w:themeColor="text1" w:val="000000"/>
          <w:sz w:val="22"/>
        </w:rPr>
      </w:pPr>
      <w:r>
        <w:rPr>
          <w:color w:themeColor="text1" w:val="000000"/>
          <w:sz w:val="22"/>
        </w:rPr>
        <w:t>7.8.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pPr>
        <w:pStyle w:val="Normal"/>
        <w:spacing w:lineRule="auto" w:line="240" w:before="0" w:after="0"/>
        <w:ind w:firstLine="284" w:right="-2"/>
        <w:contextualSpacing/>
        <w:rPr>
          <w:color w:themeColor="text1" w:val="000000"/>
          <w:sz w:val="22"/>
        </w:rPr>
      </w:pPr>
      <w:r>
        <w:rPr>
          <w:color w:themeColor="text1" w:val="000000"/>
          <w:sz w:val="22"/>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pPr>
        <w:pStyle w:val="Normal"/>
        <w:spacing w:lineRule="auto" w:line="240" w:before="0" w:after="0"/>
        <w:ind w:firstLine="284" w:right="-2"/>
        <w:contextualSpacing/>
        <w:rPr>
          <w:color w:themeColor="text1" w:val="000000"/>
          <w:sz w:val="22"/>
        </w:rPr>
      </w:pPr>
      <w:r>
        <w:rPr>
          <w:color w:themeColor="text1" w:val="000000"/>
          <w:sz w:val="22"/>
        </w:rPr>
        <w:t>7.9. В случае неисполнения или ненадлежащего исполнения Подрядчиком обязательств по перечислению неустойки (штрафа, пени), Заказчик вправе осуществлять оплату по контракту с учетом уменьшения суммы выплаты, предусмотренной контрактом, на сумму указанной неустойки.</w:t>
      </w:r>
    </w:p>
    <w:p>
      <w:pPr>
        <w:pStyle w:val="Normal"/>
        <w:spacing w:lineRule="auto" w:line="240" w:before="0" w:after="0"/>
        <w:ind w:firstLine="284" w:right="-2"/>
        <w:contextualSpacing/>
        <w:rPr>
          <w:color w:themeColor="text1" w:val="000000"/>
          <w:sz w:val="22"/>
        </w:rPr>
      </w:pPr>
      <w:r>
        <w:rPr>
          <w:color w:themeColor="text1" w:val="000000"/>
          <w:sz w:val="22"/>
        </w:rPr>
        <w:t xml:space="preserve">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spacing w:lineRule="auto" w:line="240" w:before="0" w:after="0"/>
        <w:ind w:firstLine="284" w:right="-2"/>
        <w:contextualSpacing/>
        <w:rPr>
          <w:color w:themeColor="text1" w:val="000000"/>
          <w:sz w:val="22"/>
        </w:rPr>
      </w:pPr>
      <w:r>
        <w:rPr>
          <w:color w:themeColor="text1" w:val="000000"/>
          <w:sz w:val="22"/>
        </w:rPr>
        <w:t>7.11.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pPr>
        <w:pStyle w:val="Normal"/>
        <w:spacing w:lineRule="auto" w:line="240" w:before="0" w:after="0"/>
        <w:ind w:firstLine="284" w:right="-2"/>
        <w:contextualSpacing/>
        <w:rPr>
          <w:color w:themeColor="text1" w:val="000000"/>
          <w:sz w:val="22"/>
        </w:rPr>
      </w:pPr>
      <w:r>
        <w:rPr>
          <w:color w:themeColor="text1" w:val="000000"/>
          <w:sz w:val="22"/>
        </w:rPr>
        <w:t>7.12.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firstLine="284" w:right="-2"/>
        <w:contextualSpacing/>
        <w:rPr>
          <w:color w:themeColor="text1" w:val="000000"/>
          <w:sz w:val="22"/>
        </w:rPr>
      </w:pPr>
      <w:r>
        <w:rPr>
          <w:color w:themeColor="text1" w:val="000000"/>
          <w:sz w:val="22"/>
        </w:rPr>
        <w:t>7.13.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pPr>
        <w:pStyle w:val="Normal"/>
        <w:spacing w:lineRule="auto" w:line="240" w:before="0" w:after="0"/>
        <w:ind w:firstLine="284" w:right="-2"/>
        <w:contextualSpacing/>
        <w:rPr>
          <w:color w:themeColor="text1" w:val="000000"/>
          <w:sz w:val="22"/>
        </w:rPr>
      </w:pPr>
      <w:r>
        <w:rPr>
          <w:color w:themeColor="text1" w:val="000000"/>
          <w:sz w:val="22"/>
        </w:rPr>
        <w:t>7.14. Сторона освобождается от уплаты неустойки (пеней, штрафов), если докажет, что неисполнение или ненадлежащее исполнение обязательств, предусмотренных контрактом, произошло по вине другой Стороны.</w:t>
      </w:r>
    </w:p>
    <w:p>
      <w:pPr>
        <w:pStyle w:val="Normal"/>
        <w:spacing w:lineRule="auto" w:line="240" w:before="0" w:after="0"/>
        <w:ind w:firstLine="284" w:right="-2"/>
        <w:contextualSpacing/>
        <w:rPr>
          <w:color w:themeColor="text1" w:val="000000"/>
          <w:sz w:val="22"/>
        </w:rPr>
      </w:pPr>
      <w:r>
        <w:rPr>
          <w:color w:themeColor="text1" w:val="000000"/>
          <w:sz w:val="22"/>
        </w:rPr>
        <w:t>7.15. Уплата неустойки (пени, штрафа) не освобождает стороны от выполнения принятых обязательств.</w:t>
      </w:r>
    </w:p>
    <w:p>
      <w:pPr>
        <w:pStyle w:val="Normal"/>
        <w:spacing w:lineRule="auto" w:line="240" w:before="0" w:after="0"/>
        <w:ind w:firstLine="284" w:right="-2"/>
        <w:contextualSpacing/>
        <w:rPr>
          <w:color w:themeColor="text1" w:val="000000"/>
          <w:sz w:val="22"/>
        </w:rPr>
      </w:pPr>
      <w:r>
        <w:rPr>
          <w:color w:themeColor="text1" w:val="000000"/>
          <w:sz w:val="22"/>
        </w:rPr>
        <w:t>7.16. Указанная в настоящем разделе неустойка (штрафы, пени) взимается за каждое нарушение в отдельности.</w:t>
      </w:r>
    </w:p>
    <w:p>
      <w:pPr>
        <w:pStyle w:val="Normal"/>
        <w:spacing w:lineRule="auto" w:line="240" w:before="0" w:after="0"/>
        <w:ind w:firstLine="284" w:right="-2"/>
        <w:contextualSpacing/>
        <w:rPr>
          <w:color w:themeColor="text1" w:val="000000"/>
          <w:sz w:val="22"/>
        </w:rPr>
      </w:pPr>
      <w:r>
        <w:rPr>
          <w:color w:themeColor="text1" w:val="000000"/>
          <w:sz w:val="22"/>
        </w:rPr>
        <w:t>7.17. Заказчик вправе взыскать размер начисленной неустойки (штрафов, пени) за счет денежных средств, внесенных Подрядчиком в качестве обеспечения исполнения контракта.</w:t>
      </w:r>
    </w:p>
    <w:p>
      <w:pPr>
        <w:pStyle w:val="Normal"/>
        <w:spacing w:lineRule="auto" w:line="240" w:before="0" w:after="0"/>
        <w:ind w:firstLine="284" w:right="-2"/>
        <w:contextualSpacing/>
        <w:rPr>
          <w:color w:themeColor="text1" w:val="000000"/>
          <w:sz w:val="22"/>
        </w:rPr>
      </w:pPr>
      <w:r>
        <w:rPr>
          <w:color w:themeColor="text1" w:val="000000"/>
          <w:sz w:val="22"/>
        </w:rPr>
        <w:t>7.18.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 официальном сайте.</w:t>
      </w:r>
    </w:p>
    <w:p>
      <w:pPr>
        <w:pStyle w:val="Normal"/>
        <w:spacing w:lineRule="auto" w:line="240" w:before="0" w:after="0"/>
        <w:ind w:firstLine="284" w:right="-2"/>
        <w:contextualSpacing/>
        <w:rPr>
          <w:color w:themeColor="text1" w:val="000000"/>
          <w:sz w:val="22"/>
        </w:rPr>
      </w:pPr>
      <w:r>
        <w:rPr>
          <w:color w:themeColor="text1" w:val="000000"/>
          <w:sz w:val="22"/>
        </w:rPr>
        <w:t>7.19. Споры по настоящему контракту разрешаются путем переговоров между Заказчиком и Подрядчиком. В случае неурегулирования спора, возникшего между Заказчиком и Подрядчиком путем переговоров, он может быть передан на разрешение в Арбитражный суд Санкт-Петербурга и Ленинградской области в порядке, установленном законодательством Российской Федерации.</w:t>
      </w:r>
    </w:p>
    <w:p>
      <w:pPr>
        <w:pStyle w:val="Normal"/>
        <w:tabs>
          <w:tab w:val="clear" w:pos="708"/>
          <w:tab w:val="left" w:pos="8371" w:leader="none"/>
        </w:tabs>
        <w:spacing w:lineRule="auto" w:line="240" w:before="0" w:after="0"/>
        <w:ind w:firstLine="567" w:right="0"/>
        <w:rPr>
          <w:sz w:val="22"/>
          <w:shd w:fill="FFFFFF" w:val="clear"/>
        </w:rPr>
      </w:pPr>
      <w:r>
        <w:rPr>
          <w:sz w:val="22"/>
          <w:shd w:fill="FFFFFF" w:val="clear"/>
        </w:rPr>
      </w:r>
    </w:p>
    <w:p>
      <w:pPr>
        <w:pStyle w:val="Normal"/>
        <w:spacing w:lineRule="auto" w:line="240" w:before="0" w:after="0"/>
        <w:ind w:firstLine="530" w:right="0"/>
        <w:jc w:val="center"/>
        <w:rPr>
          <w:b/>
          <w:sz w:val="22"/>
        </w:rPr>
      </w:pPr>
      <w:r>
        <w:rPr>
          <w:b/>
          <w:sz w:val="22"/>
        </w:rPr>
        <w:t>8. ОБЕСПЕЧЕНИЕ ИСПОЛНЕНИЯ КОНТРАКТА</w:t>
      </w:r>
    </w:p>
    <w:p>
      <w:pPr>
        <w:pStyle w:val="Normal"/>
        <w:spacing w:lineRule="auto" w:line="240" w:before="0" w:after="0"/>
        <w:ind w:firstLine="530" w:right="0"/>
        <w:rPr>
          <w:sz w:val="22"/>
        </w:rPr>
      </w:pPr>
      <w:r>
        <w:rPr>
          <w:rFonts w:eastAsia="Calibri"/>
          <w:sz w:val="22"/>
        </w:rPr>
        <w:t>Не установлено.</w:t>
      </w:r>
    </w:p>
    <w:p>
      <w:pPr>
        <w:pStyle w:val="Normal"/>
        <w:spacing w:lineRule="auto" w:line="240" w:before="0" w:after="0"/>
        <w:ind w:firstLine="530" w:right="0"/>
        <w:rPr>
          <w:b/>
          <w:sz w:val="22"/>
        </w:rPr>
      </w:pPr>
      <w:r>
        <w:rPr>
          <w:b/>
          <w:sz w:val="22"/>
        </w:rPr>
      </w:r>
    </w:p>
    <w:p>
      <w:pPr>
        <w:pStyle w:val="Normal"/>
        <w:spacing w:lineRule="auto" w:line="240" w:before="0" w:after="0"/>
        <w:ind w:firstLine="530" w:right="0"/>
        <w:jc w:val="center"/>
        <w:rPr>
          <w:caps/>
          <w:sz w:val="22"/>
        </w:rPr>
      </w:pPr>
      <w:r>
        <w:rPr>
          <w:b/>
          <w:caps/>
          <w:sz w:val="22"/>
        </w:rPr>
        <w:t>9. Срок действия контракта и ПОРЯДОК ИЗМЕНЕНИЯ И РАСТОРЖЕНИЯ КОНТРАКТА</w:t>
      </w:r>
    </w:p>
    <w:p>
      <w:pPr>
        <w:pStyle w:val="BodyTextIndent"/>
        <w:spacing w:before="0" w:after="0"/>
        <w:ind w:firstLine="567" w:left="0" w:right="0"/>
        <w:jc w:val="both"/>
        <w:rPr>
          <w:sz w:val="22"/>
          <w:szCs w:val="22"/>
        </w:rPr>
      </w:pPr>
      <w:r>
        <w:rPr>
          <w:sz w:val="22"/>
          <w:szCs w:val="22"/>
        </w:rPr>
        <w:t>9.1. Настоящий контракт вступает в силу со дня заключения и действует по 31 декабря 2026 г., в части финансовых взаиморасчетов и предъявления претензий до полного их завершения и устранения, а по гарантийным обязательствам до истечения срока таковых.</w:t>
      </w:r>
    </w:p>
    <w:p>
      <w:pPr>
        <w:pStyle w:val="BodyTextIndent"/>
        <w:spacing w:before="0" w:after="0"/>
        <w:ind w:firstLine="567" w:left="0" w:right="0"/>
        <w:jc w:val="both"/>
        <w:rPr>
          <w:sz w:val="22"/>
          <w:szCs w:val="22"/>
        </w:rPr>
      </w:pPr>
      <w:r>
        <w:rPr>
          <w:sz w:val="22"/>
          <w:szCs w:val="22"/>
        </w:rPr>
        <w:t>9.2. 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pPr>
        <w:pStyle w:val="Normal"/>
        <w:widowControl/>
        <w:suppressAutoHyphens w:val="true"/>
        <w:bidi w:val="0"/>
        <w:spacing w:lineRule="auto" w:line="264" w:before="0" w:after="0"/>
        <w:ind w:firstLine="567" w:left="0" w:right="57"/>
        <w:contextualSpacing/>
        <w:jc w:val="both"/>
        <w:rPr>
          <w:sz w:val="22"/>
          <w:szCs w:val="22"/>
        </w:rPr>
      </w:pPr>
      <w:r>
        <w:rPr>
          <w:sz w:val="22"/>
          <w:szCs w:val="22"/>
        </w:rPr>
        <w:t xml:space="preserve">9.3. </w:t>
      </w:r>
      <w:r>
        <w:rPr>
          <w:sz w:val="22"/>
          <w:szCs w:val="22"/>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pPr>
        <w:pStyle w:val="Normal"/>
        <w:widowControl/>
        <w:suppressAutoHyphens w:val="true"/>
        <w:bidi w:val="0"/>
        <w:spacing w:lineRule="auto" w:line="264" w:before="0" w:after="0"/>
        <w:ind w:firstLine="567" w:left="0" w:right="57"/>
        <w:contextualSpacing/>
        <w:jc w:val="both"/>
        <w:rPr>
          <w:sz w:val="22"/>
          <w:szCs w:val="22"/>
        </w:rPr>
      </w:pPr>
      <w:r>
        <w:rPr>
          <w:sz w:val="22"/>
          <w:szCs w:val="22"/>
          <w:lang w:eastAsia="ar-SA"/>
        </w:rPr>
        <w:t xml:space="preserve">9.4. Односторонний отказ от исполнения Контракта осуществляется Сторонами в порядке, предусмотренном частями 9-23 статьи 95 </w:t>
      </w:r>
      <w:r>
        <w:rPr>
          <w:sz w:val="22"/>
          <w:szCs w:val="22"/>
        </w:rPr>
        <w:t>Федерального закона № 44-ФЗ.</w:t>
      </w:r>
    </w:p>
    <w:p>
      <w:pPr>
        <w:pStyle w:val="Normal"/>
        <w:widowControl/>
        <w:tabs>
          <w:tab w:val="clear" w:pos="708"/>
          <w:tab w:val="left" w:pos="0" w:leader="none"/>
        </w:tabs>
        <w:suppressAutoHyphens w:val="true"/>
        <w:bidi w:val="0"/>
        <w:spacing w:lineRule="auto" w:line="264" w:before="0" w:after="0"/>
        <w:ind w:firstLine="567" w:left="0" w:right="57"/>
        <w:contextualSpacing/>
        <w:jc w:val="both"/>
        <w:rPr>
          <w:sz w:val="22"/>
          <w:szCs w:val="22"/>
        </w:rPr>
      </w:pPr>
      <w:r>
        <w:rPr>
          <w:sz w:val="22"/>
          <w:szCs w:val="22"/>
        </w:rPr>
        <w:t>9.5. Заказчик вправе в одностороннем порядке отказаться от исполнения настоящего Контракта в случае, если:</w:t>
      </w:r>
    </w:p>
    <w:p>
      <w:pPr>
        <w:pStyle w:val="16"/>
        <w:numPr>
          <w:ilvl w:val="2"/>
          <w:numId w:val="2"/>
        </w:numPr>
        <w:tabs>
          <w:tab w:val="clear" w:pos="708"/>
          <w:tab w:val="left" w:pos="946" w:leader="none"/>
        </w:tabs>
        <w:snapToGrid w:val="true"/>
        <w:ind w:firstLine="720" w:left="0" w:right="65"/>
        <w:rPr>
          <w:sz w:val="22"/>
          <w:szCs w:val="22"/>
        </w:rPr>
      </w:pPr>
      <w:r>
        <w:rPr>
          <w:sz w:val="22"/>
          <w:szCs w:val="22"/>
        </w:rPr>
        <w:t>Подрядчиком выполнены работы ненадлежащего качества и недостатки не могут быть устранены в приемлемый для Заказчика срок.</w:t>
      </w:r>
    </w:p>
    <w:p>
      <w:pPr>
        <w:pStyle w:val="16"/>
        <w:widowControl w:val="false"/>
        <w:tabs>
          <w:tab w:val="clear" w:pos="708"/>
          <w:tab w:val="left" w:pos="922" w:leader="none"/>
        </w:tabs>
        <w:suppressAutoHyphens w:val="true"/>
        <w:bidi w:val="0"/>
        <w:snapToGrid w:val="true"/>
        <w:spacing w:lineRule="auto" w:line="264" w:before="0" w:after="5"/>
        <w:ind w:firstLine="567" w:left="0" w:right="57"/>
        <w:jc w:val="both"/>
        <w:rPr>
          <w:sz w:val="22"/>
          <w:szCs w:val="22"/>
        </w:rPr>
      </w:pPr>
      <w:r>
        <w:rPr>
          <w:sz w:val="22"/>
          <w:szCs w:val="22"/>
        </w:rPr>
        <w:t>9.6. Подрядчик не приступает к исполнению Контракта в срок, установленный Контрактом, или неоднократно нарушает сроки (график) оказания услуг, предусмотренный Контрактом, или выполняет работы так, что окончание их оказания к сроку, установленному Контрактом, становится явно невозможно, либо в ходе оказания услуг стало очевидно, что они не будут выполнены надлежащим образом в установленный Контрактом срок.</w:t>
      </w:r>
    </w:p>
    <w:p>
      <w:pPr>
        <w:pStyle w:val="16"/>
        <w:numPr>
          <w:ilvl w:val="0"/>
          <w:numId w:val="0"/>
        </w:numPr>
        <w:tabs>
          <w:tab w:val="clear" w:pos="708"/>
          <w:tab w:val="left" w:pos="990" w:leader="none"/>
        </w:tabs>
        <w:snapToGrid w:val="true"/>
        <w:ind w:hanging="0" w:left="0" w:right="65"/>
        <w:rPr>
          <w:sz w:val="22"/>
          <w:szCs w:val="22"/>
        </w:rPr>
      </w:pPr>
      <w:r>
        <w:rPr>
          <w:sz w:val="22"/>
          <w:szCs w:val="22"/>
        </w:rPr>
        <w:t xml:space="preserve">        </w:t>
      </w:r>
      <w:r>
        <w:rPr>
          <w:sz w:val="22"/>
          <w:szCs w:val="22"/>
        </w:rPr>
        <w:t>9.7. Если отступления в выполнении работ от условий Контракта или иные недостатки результата выполненных работ в установленный Заказчиком разумный срок не были устранены либо являются существенными и неустранимыми.</w:t>
      </w:r>
    </w:p>
    <w:p>
      <w:pPr>
        <w:pStyle w:val="16"/>
        <w:widowControl w:val="false"/>
        <w:numPr>
          <w:ilvl w:val="0"/>
          <w:numId w:val="0"/>
        </w:numPr>
        <w:tabs>
          <w:tab w:val="clear" w:pos="708"/>
          <w:tab w:val="left" w:pos="573" w:leader="none"/>
        </w:tabs>
        <w:suppressAutoHyphens w:val="true"/>
        <w:bidi w:val="0"/>
        <w:snapToGrid w:val="true"/>
        <w:spacing w:lineRule="auto" w:line="264" w:before="0" w:after="5"/>
        <w:ind w:hanging="0" w:left="0" w:right="57"/>
        <w:jc w:val="both"/>
        <w:rPr>
          <w:sz w:val="22"/>
          <w:szCs w:val="22"/>
        </w:rPr>
      </w:pPr>
      <w:r>
        <w:rPr>
          <w:sz w:val="22"/>
          <w:szCs w:val="22"/>
        </w:rPr>
        <w:t xml:space="preserve">      </w:t>
      </w:r>
      <w:r>
        <w:rPr>
          <w:sz w:val="22"/>
          <w:szCs w:val="22"/>
        </w:rPr>
        <w:t>9.8.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spacing w:before="0" w:after="0"/>
        <w:ind w:firstLine="709" w:right="65"/>
        <w:contextualSpacing/>
        <w:jc w:val="both"/>
        <w:rPr>
          <w:sz w:val="22"/>
          <w:szCs w:val="22"/>
        </w:rPr>
      </w:pPr>
      <w:r>
        <w:rPr>
          <w:sz w:val="22"/>
          <w:szCs w:val="22"/>
        </w:rPr>
        <w:t>9.9. Подрядчик вправе в одностороннем порядке отказаться от исполнения настоящего Контракта по основаниям, предусмотренным Гражданским кодексом Российской Федерации об одностороннем отказе от исполнения отдельных видов обязательств.</w:t>
      </w:r>
    </w:p>
    <w:p>
      <w:pPr>
        <w:pStyle w:val="16"/>
        <w:tabs>
          <w:tab w:val="clear" w:pos="708"/>
          <w:tab w:val="left" w:pos="922" w:leader="none"/>
        </w:tabs>
        <w:snapToGrid w:val="true"/>
        <w:ind w:firstLine="709" w:right="65"/>
        <w:rPr>
          <w:sz w:val="22"/>
          <w:szCs w:val="22"/>
        </w:rPr>
      </w:pPr>
      <w:r>
        <w:rPr>
          <w:rFonts w:cs="Times New Roman"/>
          <w:sz w:val="22"/>
          <w:szCs w:val="22"/>
          <w:lang w:eastAsia="ar-SA"/>
        </w:rPr>
        <w:t xml:space="preserve">9.10. </w:t>
      </w:r>
      <w:r>
        <w:rPr>
          <w:rFonts w:cs="Times New Roman"/>
          <w:bCs/>
          <w:sz w:val="22"/>
          <w:szCs w:val="22"/>
        </w:rPr>
        <w:t xml:space="preserve">Расторжение Контракта по соглашению Сторон осуществляется </w:t>
      </w:r>
      <w:r>
        <w:rPr>
          <w:bCs/>
          <w:sz w:val="22"/>
          <w:szCs w:val="22"/>
        </w:rPr>
        <w:t xml:space="preserve">в письменной или электронной форме </w:t>
      </w:r>
      <w:r>
        <w:rPr>
          <w:rFonts w:cs="Times New Roman"/>
          <w:bCs/>
          <w:sz w:val="22"/>
          <w:szCs w:val="22"/>
        </w:rPr>
        <w:t>путем подписания Сторонами соответствующего Соглашения о расторжении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В случае расторжения настоящего Контракта Стороны при необходимости производят сверку расчетов.</w:t>
      </w:r>
    </w:p>
    <w:p>
      <w:pPr>
        <w:pStyle w:val="Normal"/>
        <w:ind w:firstLine="709" w:right="65"/>
        <w:jc w:val="both"/>
        <w:rPr>
          <w:sz w:val="22"/>
          <w:szCs w:val="22"/>
        </w:rPr>
      </w:pPr>
      <w:r>
        <w:rPr>
          <w:bCs/>
          <w:sz w:val="22"/>
          <w:szCs w:val="22"/>
        </w:rPr>
        <w:t>Сторона контракта, получившая проект соглашения о расторжении контракта по соглашению Сторон, должна дать письменный ответ по существу в срок, не превышающий 5 (пяти) рабочих дней с даты его получения.</w:t>
      </w:r>
    </w:p>
    <w:p>
      <w:pPr>
        <w:pStyle w:val="Normal"/>
        <w:ind w:firstLine="709" w:right="65"/>
        <w:jc w:val="both"/>
        <w:rPr>
          <w:sz w:val="22"/>
          <w:szCs w:val="22"/>
        </w:rPr>
      </w:pPr>
      <w:r>
        <w:rPr>
          <w:sz w:val="22"/>
          <w:szCs w:val="22"/>
          <w:lang w:eastAsia="ar-SA"/>
        </w:rPr>
        <w:t xml:space="preserve">9.11.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Pr>
          <w:sz w:val="22"/>
          <w:szCs w:val="22"/>
        </w:rPr>
        <w:t>Федеральным законом № 44-ФЗ.</w:t>
      </w:r>
    </w:p>
    <w:p>
      <w:pPr>
        <w:pStyle w:val="BodyTextIndent"/>
        <w:spacing w:before="0" w:after="0"/>
        <w:ind w:firstLine="567" w:left="0" w:right="0"/>
        <w:jc w:val="center"/>
        <w:rPr>
          <w:sz w:val="22"/>
        </w:rPr>
      </w:pPr>
      <w:r>
        <w:rPr>
          <w:b/>
          <w:sz w:val="22"/>
        </w:rPr>
        <w:t>10.  ОБСТОЯТЕЛЬСТВА НЕПРЕОДОЛИМОЙ СИЛЫ</w:t>
      </w:r>
    </w:p>
    <w:p>
      <w:pPr>
        <w:pStyle w:val="Normal"/>
        <w:spacing w:lineRule="auto" w:line="240" w:before="0" w:after="0"/>
        <w:ind w:firstLine="709" w:right="65"/>
        <w:rPr>
          <w:sz w:val="22"/>
        </w:rPr>
      </w:pPr>
      <w:r>
        <w:rPr>
          <w:sz w:val="22"/>
        </w:rPr>
        <w:t xml:space="preserve">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стихийных бедствий, диверсий, военных действий, блокад, изменений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и которые Стороны были не в состоянии предвидеть и предотвратить. </w:t>
      </w:r>
    </w:p>
    <w:p>
      <w:pPr>
        <w:pStyle w:val="Normal"/>
        <w:spacing w:lineRule="auto" w:line="240" w:before="0" w:after="0"/>
        <w:ind w:firstLine="709" w:right="65"/>
        <w:rPr>
          <w:sz w:val="22"/>
        </w:rPr>
      </w:pPr>
      <w:r>
        <w:rPr>
          <w:sz w:val="22"/>
        </w:rPr>
        <w:t xml:space="preserve">10.2. О наступлении обстоятельств непреодолимой силы Стороны уведомляют друг друга в 10-дневный срок с момента их возникновения. Факт наступления обстоятельств непреодолимой силы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контракта, их получающая, вправе не принимать во внимание наступление указанных обстоятельств при предъявлении претензий (исков) к другой Стороне в связи с ненадлежащим исполнением условий контракта. </w:t>
      </w:r>
    </w:p>
    <w:p>
      <w:pPr>
        <w:pStyle w:val="Normal"/>
        <w:spacing w:lineRule="auto" w:line="240" w:before="0" w:after="0"/>
        <w:ind w:firstLine="709" w:right="65"/>
        <w:rPr>
          <w:sz w:val="22"/>
        </w:rPr>
      </w:pPr>
      <w:r>
        <w:rPr>
          <w:sz w:val="22"/>
        </w:rPr>
        <w:t>10.3. При возникновении обстоятельств непреодолимой силы все вопросы, связанные со взаиморасчётами, решаются Сторонами контракта по взаимному согласованию, а при не достижении согласия – в судебном порядке.</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567" w:right="65"/>
        <w:jc w:val="center"/>
        <w:rPr>
          <w:sz w:val="22"/>
          <w:lang w:eastAsia="ar-SA"/>
        </w:rPr>
      </w:pPr>
      <w:r>
        <w:rPr>
          <w:b/>
          <w:sz w:val="22"/>
        </w:rPr>
        <w:t>11</w:t>
      </w:r>
      <w:r>
        <w:rPr>
          <w:b/>
          <w:sz w:val="22"/>
          <w:lang w:eastAsia="ar-SA"/>
        </w:rPr>
        <w:t>. ПОРЯДОК РАССМОТРЕНИЯ СПОРОВ</w:t>
      </w:r>
    </w:p>
    <w:p>
      <w:pPr>
        <w:pStyle w:val="Normal"/>
        <w:tabs>
          <w:tab w:val="left" w:pos="426" w:leader="none"/>
          <w:tab w:val="left" w:pos="708" w:leader="none"/>
        </w:tabs>
        <w:suppressAutoHyphens w:val="true"/>
        <w:spacing w:lineRule="auto" w:line="240" w:before="0" w:after="0"/>
        <w:ind w:firstLine="284" w:right="65"/>
        <w:rPr>
          <w:iCs/>
          <w:sz w:val="22"/>
        </w:rPr>
      </w:pPr>
      <w:r>
        <w:rPr>
          <w:sz w:val="22"/>
          <w:lang w:eastAsia="ar-SA"/>
        </w:rPr>
        <w:t xml:space="preserve">11.1. Споры, возникающие из настоящего Контракта или в связи с ним, Стороны </w:t>
      </w:r>
      <w:r>
        <w:rPr>
          <w:iCs/>
          <w:sz w:val="22"/>
        </w:rPr>
        <w:t xml:space="preserve">будут стремиться решить путем переговоров с соблюдением обязательного претензионного порядка. </w:t>
      </w:r>
    </w:p>
    <w:p>
      <w:pPr>
        <w:pStyle w:val="Normal"/>
        <w:tabs>
          <w:tab w:val="left" w:pos="426" w:leader="none"/>
          <w:tab w:val="left" w:pos="708" w:leader="none"/>
        </w:tabs>
        <w:suppressAutoHyphens w:val="true"/>
        <w:spacing w:lineRule="auto" w:line="240" w:before="0" w:after="0"/>
        <w:ind w:firstLine="284" w:right="65"/>
        <w:rPr>
          <w:sz w:val="22"/>
          <w:lang w:eastAsia="ar-SA"/>
        </w:rPr>
      </w:pPr>
      <w:r>
        <w:rPr>
          <w:iCs/>
          <w:sz w:val="22"/>
        </w:rPr>
        <w:t xml:space="preserve">11.1.1. </w:t>
      </w:r>
      <w:r>
        <w:rPr>
          <w:sz w:val="22"/>
          <w:lang w:eastAsia="ar-SA"/>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pPr>
        <w:pStyle w:val="Normal"/>
        <w:spacing w:lineRule="auto" w:line="240" w:before="0" w:after="0"/>
        <w:ind w:firstLine="284" w:right="-2"/>
        <w:contextualSpacing/>
        <w:rPr>
          <w:color w:themeColor="text1" w:val="000000"/>
          <w:sz w:val="22"/>
        </w:rPr>
      </w:pPr>
      <w:r>
        <w:rPr>
          <w:color w:themeColor="text1" w:val="000000"/>
          <w:sz w:val="22"/>
        </w:rPr>
        <w:t>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 официальном сайте.</w:t>
      </w:r>
    </w:p>
    <w:p>
      <w:pPr>
        <w:pStyle w:val="Normal"/>
        <w:tabs>
          <w:tab w:val="left" w:pos="426" w:leader="none"/>
          <w:tab w:val="left" w:pos="708" w:leader="none"/>
        </w:tabs>
        <w:suppressAutoHyphens w:val="true"/>
        <w:spacing w:lineRule="auto" w:line="240" w:before="0" w:after="0"/>
        <w:ind w:firstLine="284" w:right="65"/>
        <w:rPr>
          <w:sz w:val="22"/>
          <w:lang w:eastAsia="ar-SA"/>
        </w:rPr>
      </w:pPr>
      <w:r>
        <w:rPr>
          <w:sz w:val="22"/>
          <w:lang w:eastAsia="ar-SA"/>
        </w:rPr>
        <w:t>11.1.2.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могут быть приложены копии документов, подтверждающих изложенные в ней обстоятельства.</w:t>
      </w:r>
    </w:p>
    <w:p>
      <w:pPr>
        <w:pStyle w:val="Normal"/>
        <w:tabs>
          <w:tab w:val="left" w:pos="426" w:leader="none"/>
          <w:tab w:val="left" w:pos="708" w:leader="none"/>
        </w:tabs>
        <w:suppressAutoHyphens w:val="true"/>
        <w:spacing w:lineRule="auto" w:line="240" w:before="0" w:after="0"/>
        <w:ind w:firstLine="284" w:right="65"/>
        <w:rPr>
          <w:sz w:val="22"/>
          <w:lang w:eastAsia="ar-SA"/>
        </w:rPr>
      </w:pPr>
      <w:r>
        <w:rPr>
          <w:sz w:val="22"/>
          <w:lang w:eastAsia="ar-SA"/>
        </w:rPr>
        <w:t>11.1.3. Сторона, которая получила претензию, обязана ее рассмотреть и в течение 5 (Пяти) рабочих дней направить письменный мотивированный ответ другой Стороне.</w:t>
      </w:r>
    </w:p>
    <w:p>
      <w:pPr>
        <w:pStyle w:val="Normal"/>
        <w:tabs>
          <w:tab w:val="left" w:pos="426" w:leader="none"/>
          <w:tab w:val="left" w:pos="708" w:leader="none"/>
        </w:tabs>
        <w:suppressAutoHyphens w:val="true"/>
        <w:spacing w:lineRule="auto" w:line="240" w:before="0" w:after="0"/>
        <w:ind w:firstLine="284" w:right="65"/>
        <w:rPr>
          <w:sz w:val="22"/>
          <w:lang w:eastAsia="ar-SA"/>
        </w:rPr>
      </w:pPr>
      <w:r>
        <w:rPr>
          <w:sz w:val="22"/>
          <w:lang w:eastAsia="ar-SA"/>
        </w:rPr>
        <w:t>11.1.4. В случае неполучения ответа в указанный срок, несогласия с ответом или не удовлетворения претензионных требований (полностью или частично) в установленный в претензии разумный срок заинтересованная Сторона вправе обратиться в суд в соответствии с правилами о подсудности, установленными в п. 11.2. настоящего контракта.</w:t>
      </w:r>
    </w:p>
    <w:p>
      <w:pPr>
        <w:pStyle w:val="Normal"/>
        <w:tabs>
          <w:tab w:val="left" w:pos="426" w:leader="none"/>
          <w:tab w:val="left" w:pos="708" w:leader="none"/>
        </w:tabs>
        <w:suppressAutoHyphens w:val="true"/>
        <w:spacing w:lineRule="auto" w:line="240" w:before="0" w:after="0"/>
        <w:ind w:firstLine="284" w:right="65"/>
        <w:rPr>
          <w:sz w:val="22"/>
          <w:lang w:eastAsia="ar-SA"/>
        </w:rPr>
      </w:pPr>
      <w:r>
        <w:rPr>
          <w:sz w:val="22"/>
          <w:lang w:eastAsia="ar-SA"/>
        </w:rPr>
        <w:t>11.2. Споры передаются на рассмотрение в Арбитражный суд города Санкт-Петербурга и Ленинградской области.</w:t>
      </w:r>
    </w:p>
    <w:p>
      <w:pPr>
        <w:pStyle w:val="Normal"/>
        <w:tabs>
          <w:tab w:val="clear" w:pos="708"/>
          <w:tab w:val="left" w:pos="426" w:leader="none"/>
          <w:tab w:val="left" w:pos="720" w:leader="none"/>
        </w:tabs>
        <w:suppressAutoHyphens w:val="true"/>
        <w:spacing w:lineRule="auto" w:line="240" w:before="0" w:after="0"/>
        <w:ind w:firstLine="709" w:right="65"/>
        <w:rPr>
          <w:b/>
          <w:sz w:val="22"/>
        </w:rPr>
      </w:pPr>
      <w:r>
        <w:rPr>
          <w:b/>
          <w:sz w:val="22"/>
        </w:rPr>
      </w:r>
    </w:p>
    <w:p>
      <w:pPr>
        <w:pStyle w:val="Normal"/>
        <w:spacing w:lineRule="auto" w:line="240" w:before="0" w:after="0"/>
        <w:jc w:val="center"/>
        <w:rPr>
          <w:sz w:val="22"/>
        </w:rPr>
      </w:pPr>
      <w:r>
        <w:rPr>
          <w:b/>
          <w:sz w:val="22"/>
          <w:lang w:eastAsia="ar-SA"/>
        </w:rPr>
        <w:t>12</w:t>
      </w:r>
      <w:r>
        <w:rPr>
          <w:b/>
          <w:sz w:val="22"/>
        </w:rPr>
        <w:t>. ПРОЧИЕ УСЛОВИЯ</w:t>
      </w:r>
    </w:p>
    <w:p>
      <w:pPr>
        <w:pStyle w:val="Normal"/>
        <w:spacing w:lineRule="auto" w:line="240" w:before="0" w:after="0"/>
        <w:ind w:firstLine="567" w:right="65"/>
        <w:rPr>
          <w:rFonts w:eastAsia="Cambria"/>
          <w:sz w:val="22"/>
        </w:rPr>
      </w:pPr>
      <w:r>
        <w:rPr>
          <w:sz w:val="22"/>
        </w:rPr>
        <w:t>12.1. Стороны вправе исключительно по взаимному соглашению вносить изменения в настоящий контракт в случаях:</w:t>
      </w:r>
    </w:p>
    <w:p>
      <w:pPr>
        <w:pStyle w:val="Normal"/>
        <w:widowControl w:val="false"/>
        <w:tabs>
          <w:tab w:val="clear" w:pos="708"/>
          <w:tab w:val="left" w:pos="1276" w:leader="none"/>
          <w:tab w:val="left" w:pos="1418" w:leader="none"/>
        </w:tabs>
        <w:spacing w:lineRule="auto" w:line="240" w:before="0" w:after="0"/>
        <w:ind w:firstLine="567" w:right="65"/>
        <w:rPr>
          <w:sz w:val="22"/>
        </w:rPr>
      </w:pPr>
      <w:r>
        <w:rPr>
          <w:sz w:val="22"/>
        </w:rPr>
        <w:t>- устранение технических и /или арифметических ошибок, в том числе в расчете цены (в части стоимости единицы работ, суммы по строчке, количества работ);</w:t>
      </w:r>
    </w:p>
    <w:p>
      <w:pPr>
        <w:pStyle w:val="Normal"/>
        <w:widowControl w:val="false"/>
        <w:tabs>
          <w:tab w:val="clear" w:pos="708"/>
          <w:tab w:val="left" w:pos="1276" w:leader="none"/>
          <w:tab w:val="left" w:pos="1418" w:leader="none"/>
        </w:tabs>
        <w:spacing w:lineRule="auto" w:line="240" w:before="0" w:after="0"/>
        <w:ind w:firstLine="567" w:right="65"/>
        <w:rPr>
          <w:sz w:val="22"/>
        </w:rPr>
      </w:pPr>
      <w:r>
        <w:rPr>
          <w:sz w:val="22"/>
        </w:rPr>
        <w:t>- при изменении отдельных терминов и понятий для приведения в соответствие текста контракта;</w:t>
      </w:r>
    </w:p>
    <w:p>
      <w:pPr>
        <w:pStyle w:val="Normal"/>
        <w:widowControl w:val="false"/>
        <w:tabs>
          <w:tab w:val="clear" w:pos="708"/>
          <w:tab w:val="left" w:pos="1276" w:leader="none"/>
          <w:tab w:val="left" w:pos="1418" w:leader="none"/>
        </w:tabs>
        <w:spacing w:lineRule="auto" w:line="240" w:before="0" w:after="0"/>
        <w:ind w:firstLine="567" w:right="65"/>
        <w:rPr>
          <w:sz w:val="22"/>
        </w:rPr>
      </w:pPr>
      <w:r>
        <w:rPr>
          <w:sz w:val="22"/>
        </w:rPr>
        <w:t>- при изменении отдельных положений контракта для приведения его в соответствие с действующим законодательством.</w:t>
      </w:r>
    </w:p>
    <w:p>
      <w:pPr>
        <w:pStyle w:val="Normal"/>
        <w:widowControl w:val="false"/>
        <w:tabs>
          <w:tab w:val="clear" w:pos="708"/>
          <w:tab w:val="left" w:pos="1276" w:leader="none"/>
          <w:tab w:val="left" w:pos="1418" w:leader="none"/>
        </w:tabs>
        <w:spacing w:lineRule="auto" w:line="240" w:before="0" w:after="0"/>
        <w:ind w:firstLine="567" w:right="65"/>
        <w:rPr>
          <w:sz w:val="22"/>
        </w:rPr>
      </w:pPr>
      <w:r>
        <w:rPr>
          <w:sz w:val="22"/>
        </w:rPr>
        <w:t>Для Сторон данные изменения признаются изменениями несущественных условий контракта в целях применения положений ч.1 ст. 95 Закона № 44-ФЗ.</w:t>
      </w:r>
    </w:p>
    <w:p>
      <w:pPr>
        <w:pStyle w:val="Normal"/>
        <w:widowControl w:val="false"/>
        <w:tabs>
          <w:tab w:val="clear" w:pos="708"/>
          <w:tab w:val="left" w:pos="1276" w:leader="none"/>
          <w:tab w:val="left" w:pos="1418" w:leader="none"/>
        </w:tabs>
        <w:spacing w:lineRule="auto" w:line="240" w:before="0" w:after="0"/>
        <w:ind w:firstLine="567" w:right="65"/>
        <w:rPr>
          <w:sz w:val="22"/>
        </w:rPr>
      </w:pPr>
      <w:r>
        <w:rPr>
          <w:sz w:val="22"/>
        </w:rPr>
        <w:t>12.2.  Антикоррупционная оговорка.</w:t>
      </w:r>
    </w:p>
    <w:p>
      <w:pPr>
        <w:pStyle w:val="Normal"/>
        <w:widowControl w:val="false"/>
        <w:tabs>
          <w:tab w:val="clear" w:pos="708"/>
          <w:tab w:val="left" w:pos="1276" w:leader="none"/>
          <w:tab w:val="left" w:pos="1418" w:leader="none"/>
        </w:tabs>
        <w:spacing w:lineRule="auto" w:line="240" w:before="0" w:after="0"/>
        <w:ind w:firstLine="567" w:right="65"/>
        <w:rPr>
          <w:sz w:val="22"/>
        </w:rPr>
      </w:pPr>
      <w:r>
        <w:rPr>
          <w:sz w:val="22"/>
        </w:rPr>
        <w:t xml:space="preserve">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 </w:t>
      </w:r>
    </w:p>
    <w:p>
      <w:pPr>
        <w:pStyle w:val="Normal"/>
        <w:widowControl w:val="false"/>
        <w:tabs>
          <w:tab w:val="clear" w:pos="708"/>
          <w:tab w:val="left" w:pos="1276" w:leader="none"/>
          <w:tab w:val="left" w:pos="1418" w:leader="none"/>
        </w:tabs>
        <w:spacing w:lineRule="auto" w:line="240" w:before="0" w:after="0"/>
        <w:ind w:firstLine="567" w:right="65"/>
        <w:rPr>
          <w:sz w:val="22"/>
        </w:rPr>
      </w:pPr>
      <w:r>
        <w:rPr>
          <w:sz w:val="22"/>
        </w:rPr>
        <w:t>-</w:t>
        <w:tab/>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 </w:t>
      </w:r>
    </w:p>
    <w:p>
      <w:pPr>
        <w:pStyle w:val="Normal"/>
        <w:widowControl w:val="false"/>
        <w:tabs>
          <w:tab w:val="clear" w:pos="708"/>
          <w:tab w:val="left" w:pos="1276" w:leader="none"/>
          <w:tab w:val="left" w:pos="1418" w:leader="none"/>
        </w:tabs>
        <w:spacing w:lineRule="auto" w:line="240" w:before="0" w:after="0"/>
        <w:ind w:firstLine="567" w:right="65"/>
        <w:rPr>
          <w:sz w:val="22"/>
        </w:rPr>
      </w:pPr>
      <w:r>
        <w:rPr>
          <w:sz w:val="22"/>
        </w:rPr>
        <w:t>-</w:t>
        <w:tab/>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pPr>
        <w:pStyle w:val="Normal"/>
        <w:widowControl w:val="false"/>
        <w:tabs>
          <w:tab w:val="clear" w:pos="708"/>
          <w:tab w:val="left" w:pos="1276" w:leader="none"/>
          <w:tab w:val="left" w:pos="1418" w:leader="none"/>
        </w:tabs>
        <w:spacing w:lineRule="auto" w:line="240" w:before="0" w:after="0"/>
        <w:ind w:firstLine="567" w:right="65"/>
        <w:rPr>
          <w:sz w:val="22"/>
        </w:rPr>
      </w:pPr>
      <w:r>
        <w:rPr>
          <w:sz w:val="22"/>
        </w:rPr>
        <w:t>-</w:t>
        <w:tab/>
        <w:t>не совершать иных действий, нарушающих антикоррупционное законодательство Российской Федерации.</w:t>
      </w:r>
    </w:p>
    <w:p>
      <w:pPr>
        <w:pStyle w:val="Normal"/>
        <w:spacing w:lineRule="auto" w:line="240" w:before="0" w:after="0"/>
        <w:ind w:firstLine="567" w:right="65"/>
        <w:rPr>
          <w:sz w:val="22"/>
        </w:rPr>
      </w:pPr>
      <w:r>
        <w:rPr>
          <w:sz w:val="22"/>
        </w:rPr>
        <w:t xml:space="preserve">12.3. В случае изменения срока исполнения контракта в соответствии с частью 27 статьи 34 Закона </w:t>
      </w:r>
      <w:r>
        <w:rPr>
          <w:color w:val="auto"/>
          <w:sz w:val="22"/>
        </w:rPr>
        <w:t xml:space="preserve">№ 44-ФЗ </w:t>
      </w:r>
      <w:r>
        <w:rPr>
          <w:sz w:val="22"/>
        </w:rPr>
        <w:t>по соглашению сторон устанавливается новый срок возврата Заказчиком Подрядчику денежных средств, внесенных в качестве обеспечения исполнения контракта.</w:t>
      </w:r>
    </w:p>
    <w:p>
      <w:pPr>
        <w:pStyle w:val="Normal"/>
        <w:spacing w:lineRule="auto" w:line="240" w:before="0" w:after="0"/>
        <w:ind w:firstLine="567" w:right="65"/>
        <w:rPr>
          <w:sz w:val="22"/>
        </w:rPr>
      </w:pPr>
      <w:r>
        <w:rPr>
          <w:sz w:val="22"/>
        </w:rPr>
        <w:t>12.4. Банковское сопровождение контракта не предусмотрено.</w:t>
      </w:r>
    </w:p>
    <w:p>
      <w:pPr>
        <w:pStyle w:val="Normal"/>
        <w:spacing w:lineRule="auto" w:line="240" w:before="0" w:after="0"/>
        <w:ind w:firstLine="567" w:right="65"/>
        <w:rPr>
          <w:sz w:val="22"/>
        </w:rPr>
      </w:pPr>
      <w:r>
        <w:rPr>
          <w:sz w:val="22"/>
        </w:rPr>
        <w:t>12.5.  К настоящему контракту прилагаются и являются его неотъемлемой частью:</w:t>
      </w:r>
    </w:p>
    <w:p>
      <w:pPr>
        <w:pStyle w:val="Normal"/>
        <w:widowControl w:val="false"/>
        <w:spacing w:lineRule="auto" w:line="240" w:before="0" w:after="0"/>
        <w:ind w:firstLine="567" w:right="0"/>
        <w:rPr>
          <w:rFonts w:ascii="Times New Roman" w:hAnsi="Times New Roman"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Приложение №1 - Технические условия для присоединения к электрическим сетям;</w:t>
      </w:r>
    </w:p>
    <w:p>
      <w:pPr>
        <w:pStyle w:val="Normal"/>
        <w:widowControl w:val="false"/>
        <w:spacing w:lineRule="auto" w:line="240" w:before="0" w:after="0"/>
        <w:ind w:firstLine="567" w:right="0"/>
        <w:rPr>
          <w:rFonts w:ascii="Times New Roman" w:hAnsi="Times New Roman"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Приложение №2 - Акт об осуществлении технологического присоединения;</w:t>
      </w:r>
    </w:p>
    <w:p>
      <w:pPr>
        <w:pStyle w:val="Normal"/>
        <w:spacing w:lineRule="auto" w:line="240" w:before="0" w:after="0"/>
        <w:ind w:firstLine="567" w:right="65"/>
        <w:rPr>
          <w:rFonts w:ascii="Times New Roman" w:hAnsi="Times New Roman"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Приложение №3 - Техническое задание;</w:t>
      </w:r>
    </w:p>
    <w:p>
      <w:pPr>
        <w:pStyle w:val="Normal"/>
        <w:spacing w:lineRule="auto" w:line="240" w:before="0" w:after="0"/>
        <w:ind w:firstLine="567" w:right="65"/>
        <w:rPr>
          <w:rFonts w:ascii="Times New Roman" w:hAnsi="Times New Roman" w:eastAsia="Times New Roman" w:cs="Times New Roman"/>
          <w:color w:val="000000"/>
          <w:kern w:val="0"/>
          <w:sz w:val="22"/>
          <w:szCs w:val="22"/>
          <w:lang w:val="ru-RU" w:eastAsia="ru-RU" w:bidi="ar-SA"/>
        </w:rPr>
      </w:pPr>
      <w:r>
        <w:rPr>
          <w:rFonts w:eastAsia="Times New Roman" w:cs="Times New Roman"/>
          <w:color w:val="000000"/>
          <w:kern w:val="0"/>
          <w:sz w:val="22"/>
          <w:szCs w:val="22"/>
          <w:lang w:val="ru-RU" w:eastAsia="ru-RU" w:bidi="ar-SA"/>
        </w:rPr>
        <w:t>Приложение №4 - Спецификация.</w:t>
      </w:r>
    </w:p>
    <w:p>
      <w:pPr>
        <w:pStyle w:val="Normal"/>
        <w:tabs>
          <w:tab w:val="clear" w:pos="708"/>
          <w:tab w:val="left" w:pos="-360" w:leader="none"/>
          <w:tab w:val="left" w:pos="0" w:leader="none"/>
          <w:tab w:val="left" w:pos="540" w:leader="none"/>
          <w:tab w:val="left" w:pos="8371" w:leader="none"/>
        </w:tabs>
        <w:spacing w:lineRule="auto" w:line="240" w:before="0" w:after="0"/>
        <w:ind w:firstLine="530" w:right="0"/>
        <w:rPr>
          <w:b/>
          <w:sz w:val="22"/>
        </w:rPr>
      </w:pPr>
      <w:r>
        <w:rPr>
          <w:b/>
          <w:sz w:val="22"/>
        </w:rPr>
      </w:r>
    </w:p>
    <w:p>
      <w:pPr>
        <w:pStyle w:val="Normal"/>
        <w:tabs>
          <w:tab w:val="clear" w:pos="708"/>
          <w:tab w:val="left" w:pos="-360" w:leader="none"/>
          <w:tab w:val="left" w:pos="0" w:leader="none"/>
          <w:tab w:val="left" w:pos="540" w:leader="none"/>
          <w:tab w:val="left" w:pos="8371" w:leader="none"/>
        </w:tabs>
        <w:spacing w:lineRule="auto" w:line="240" w:before="0" w:after="0"/>
        <w:ind w:firstLine="530" w:right="0"/>
        <w:rPr>
          <w:b/>
          <w:sz w:val="22"/>
        </w:rPr>
      </w:pPr>
      <w:r>
        <w:rPr>
          <w:rFonts w:eastAsia="Arial Unicode MS"/>
          <w:b/>
          <w:sz w:val="22"/>
        </w:rPr>
        <w:t>13.</w:t>
      </w:r>
      <w:r>
        <w:rPr>
          <w:b/>
          <w:sz w:val="22"/>
        </w:rPr>
        <w:t>ЮРИДИЧЕСКИЕ АДРЕСА, БАНКОВСКИЕ РЕКВИЗИТЫ И ПОДПИСИ СТОРОН</w:t>
      </w:r>
    </w:p>
    <w:p>
      <w:pPr>
        <w:pStyle w:val="Normal"/>
        <w:tabs>
          <w:tab w:val="clear" w:pos="708"/>
          <w:tab w:val="left" w:pos="-360" w:leader="none"/>
          <w:tab w:val="left" w:pos="0" w:leader="none"/>
          <w:tab w:val="left" w:pos="540" w:leader="none"/>
          <w:tab w:val="left" w:pos="8371" w:leader="none"/>
        </w:tabs>
        <w:spacing w:lineRule="auto" w:line="240" w:before="0" w:after="0"/>
        <w:ind w:firstLine="530" w:right="0"/>
        <w:jc w:val="center"/>
        <w:rPr>
          <w:b/>
          <w:sz w:val="22"/>
        </w:rPr>
      </w:pPr>
      <w:r>
        <w:rPr>
          <w:b/>
          <w:sz w:val="22"/>
        </w:rPr>
      </w:r>
    </w:p>
    <w:tbl>
      <w:tblPr>
        <w:tblW w:w="10050" w:type="dxa"/>
        <w:jc w:val="left"/>
        <w:tblInd w:w="0" w:type="dxa"/>
        <w:tblLayout w:type="fixed"/>
        <w:tblCellMar>
          <w:top w:w="102" w:type="dxa"/>
          <w:left w:w="62" w:type="dxa"/>
          <w:bottom w:w="102" w:type="dxa"/>
          <w:right w:w="62" w:type="dxa"/>
        </w:tblCellMar>
        <w:tblLook w:val="04a0" w:noHBand="0" w:noVBand="1" w:firstColumn="1" w:lastRow="0" w:lastColumn="0" w:firstRow="1"/>
      </w:tblPr>
      <w:tblGrid>
        <w:gridCol w:w="4772"/>
        <w:gridCol w:w="5277"/>
      </w:tblGrid>
      <w:tr>
        <w:trPr>
          <w:trHeight w:val="3773" w:hRule="atLeast"/>
        </w:trPr>
        <w:tc>
          <w:tcPr>
            <w:tcW w:w="4772" w:type="dxa"/>
            <w:tcBorders/>
          </w:tcPr>
          <w:p>
            <w:pPr>
              <w:pStyle w:val="Normal"/>
              <w:widowControl w:val="false"/>
              <w:spacing w:lineRule="auto" w:line="240" w:before="0" w:after="0"/>
              <w:ind w:hanging="0" w:right="65"/>
              <w:jc w:val="left"/>
              <w:rPr>
                <w:sz w:val="20"/>
                <w:szCs w:val="20"/>
              </w:rPr>
            </w:pPr>
            <w:r>
              <w:rPr>
                <w:b/>
                <w:bCs/>
                <w:sz w:val="20"/>
                <w:szCs w:val="20"/>
              </w:rPr>
              <w:t>ЗАКАЗЧИК:</w:t>
            </w:r>
          </w:p>
          <w:p>
            <w:pPr>
              <w:pStyle w:val="Normal"/>
              <w:spacing w:lineRule="auto" w:line="240" w:before="0" w:after="0"/>
              <w:ind w:hanging="0" w:right="65"/>
              <w:rPr>
                <w:sz w:val="20"/>
                <w:szCs w:val="20"/>
              </w:rPr>
            </w:pPr>
            <w:r>
              <w:rPr>
                <w:rFonts w:cs="Times New Roman"/>
                <w:b/>
                <w:sz w:val="20"/>
                <w:szCs w:val="20"/>
              </w:rPr>
              <w:t>Главное управление Федеральной службы судебных  приставов по г. Санкт-Петербургу</w:t>
            </w:r>
          </w:p>
          <w:p>
            <w:pPr>
              <w:pStyle w:val="Normal"/>
              <w:spacing w:lineRule="auto" w:line="240" w:before="0" w:after="0"/>
              <w:ind w:hanging="0" w:right="65"/>
              <w:rPr>
                <w:sz w:val="20"/>
                <w:szCs w:val="20"/>
              </w:rPr>
            </w:pPr>
            <w:r>
              <w:rPr>
                <w:rFonts w:cs="Times New Roman"/>
                <w:sz w:val="20"/>
                <w:szCs w:val="20"/>
              </w:rPr>
              <w:t>190121, г.Санкт-Петербург, ул. Большая Морская, д.59.</w:t>
            </w:r>
          </w:p>
          <w:p>
            <w:pPr>
              <w:pStyle w:val="Normal"/>
              <w:spacing w:lineRule="auto" w:line="240" w:before="0" w:after="0"/>
              <w:ind w:hanging="0" w:right="65"/>
              <w:rPr>
                <w:sz w:val="20"/>
                <w:szCs w:val="20"/>
              </w:rPr>
            </w:pPr>
            <w:r>
              <w:rPr>
                <w:rFonts w:cs="Times New Roman"/>
                <w:sz w:val="20"/>
                <w:szCs w:val="20"/>
              </w:rPr>
              <w:t>Получатель: УФК по г.Санкт-Петербургу (Г</w:t>
            </w:r>
            <w:r>
              <w:rPr>
                <w:rFonts w:cs="Times New Roman"/>
                <w:color w:val="000000"/>
                <w:sz w:val="20"/>
                <w:szCs w:val="20"/>
              </w:rPr>
              <w:t>лавное управление Федеральной службы судебных приставов по г.Санкт-Петербургу, л/с 03721785720)</w:t>
            </w:r>
          </w:p>
          <w:p>
            <w:pPr>
              <w:pStyle w:val="Normal"/>
              <w:spacing w:lineRule="auto" w:line="240" w:before="0" w:after="0"/>
              <w:ind w:hanging="0" w:right="65"/>
              <w:rPr>
                <w:sz w:val="20"/>
                <w:szCs w:val="20"/>
              </w:rPr>
            </w:pPr>
            <w:r>
              <w:rPr>
                <w:rFonts w:cs="Times New Roman"/>
                <w:color w:val="000000"/>
                <w:sz w:val="20"/>
                <w:szCs w:val="20"/>
              </w:rPr>
              <w:t>ИНН/КПП 7838027691/783801001</w:t>
            </w:r>
          </w:p>
          <w:p>
            <w:pPr>
              <w:pStyle w:val="Normal"/>
              <w:spacing w:lineRule="auto" w:line="240" w:before="0" w:after="0"/>
              <w:ind w:hanging="0" w:right="65"/>
              <w:rPr>
                <w:sz w:val="20"/>
                <w:szCs w:val="20"/>
              </w:rPr>
            </w:pPr>
            <w:r>
              <w:rPr>
                <w:rFonts w:cs="Times New Roman"/>
                <w:color w:val="000000"/>
                <w:sz w:val="20"/>
                <w:szCs w:val="20"/>
              </w:rPr>
              <w:t>р/сч 03211643000000013225</w:t>
            </w:r>
          </w:p>
          <w:p>
            <w:pPr>
              <w:pStyle w:val="Normal"/>
              <w:spacing w:lineRule="auto" w:line="240" w:before="0" w:after="0"/>
              <w:ind w:hanging="0" w:right="65"/>
              <w:rPr>
                <w:sz w:val="20"/>
                <w:szCs w:val="20"/>
              </w:rPr>
            </w:pPr>
            <w:r>
              <w:rPr>
                <w:rFonts w:cs="Times New Roman"/>
                <w:color w:val="000000"/>
                <w:sz w:val="20"/>
                <w:szCs w:val="20"/>
              </w:rPr>
              <w:t>Наименование банка: ОКЦ № 1 ВОЛГО-ВЯТСКОГО ГУ БАНКА РОССИИ//УФК по Нижегородской области, г. Нижний Новгород</w:t>
            </w:r>
          </w:p>
          <w:p>
            <w:pPr>
              <w:pStyle w:val="Normal"/>
              <w:spacing w:lineRule="auto" w:line="240" w:before="0" w:after="0"/>
              <w:ind w:hanging="0" w:right="65"/>
              <w:rPr>
                <w:sz w:val="20"/>
                <w:szCs w:val="20"/>
              </w:rPr>
            </w:pPr>
            <w:r>
              <w:rPr>
                <w:rFonts w:cs="Times New Roman"/>
                <w:color w:val="000000"/>
                <w:sz w:val="20"/>
                <w:szCs w:val="20"/>
              </w:rPr>
              <w:t>Кор.счет: 40102810745370000024</w:t>
            </w:r>
          </w:p>
          <w:p>
            <w:pPr>
              <w:pStyle w:val="Normal"/>
              <w:spacing w:lineRule="auto" w:line="240" w:before="0" w:after="0"/>
              <w:ind w:hanging="0" w:right="65"/>
              <w:rPr>
                <w:sz w:val="20"/>
                <w:szCs w:val="20"/>
              </w:rPr>
            </w:pPr>
            <w:r>
              <w:rPr>
                <w:rFonts w:eastAsia="Calibri" w:cs="Times New Roman"/>
                <w:color w:val="000000"/>
                <w:sz w:val="20"/>
                <w:szCs w:val="20"/>
                <w:lang w:eastAsia="zh-CN"/>
              </w:rPr>
              <w:t>БИК 012202102</w:t>
            </w:r>
          </w:p>
          <w:p>
            <w:pPr>
              <w:pStyle w:val="Normal"/>
              <w:spacing w:lineRule="auto" w:line="240" w:before="0" w:after="0"/>
              <w:ind w:hanging="0" w:right="65"/>
              <w:rPr>
                <w:sz w:val="20"/>
                <w:szCs w:val="20"/>
              </w:rPr>
            </w:pPr>
            <w:r>
              <w:rPr>
                <w:rFonts w:eastAsia="Calibri" w:cs="Times New Roman"/>
                <w:color w:val="000000"/>
                <w:sz w:val="20"/>
                <w:szCs w:val="20"/>
                <w:lang w:eastAsia="zh-CN"/>
              </w:rPr>
              <w:t>ОКТМО 40303000</w:t>
            </w:r>
          </w:p>
          <w:p>
            <w:pPr>
              <w:pStyle w:val="Normal"/>
              <w:spacing w:lineRule="auto" w:line="240" w:before="0" w:after="0"/>
              <w:ind w:hanging="0" w:right="65"/>
              <w:rPr/>
            </w:pPr>
            <w:r>
              <w:rPr>
                <w:rStyle w:val="Hyperlink"/>
                <w:rFonts w:eastAsia="Calibri" w:cs="Times New Roman"/>
                <w:b/>
                <w:color w:val="000000"/>
                <w:sz w:val="20"/>
                <w:szCs w:val="20"/>
                <w:lang w:eastAsia="zh-CN"/>
              </w:rPr>
              <w:t>Тел. (812) 3182032</w:t>
            </w:r>
          </w:p>
          <w:p>
            <w:pPr>
              <w:pStyle w:val="Normal"/>
              <w:spacing w:lineRule="auto" w:line="240" w:before="0" w:after="0"/>
              <w:ind w:firstLine="11" w:right="65"/>
              <w:jc w:val="left"/>
              <w:rPr>
                <w:bCs/>
                <w:sz w:val="20"/>
                <w:szCs w:val="20"/>
              </w:rPr>
            </w:pPr>
            <w:r>
              <w:rPr>
                <w:bCs/>
                <w:sz w:val="20"/>
                <w:szCs w:val="20"/>
              </w:rPr>
            </w:r>
          </w:p>
          <w:p>
            <w:pPr>
              <w:pStyle w:val="Normal"/>
              <w:spacing w:lineRule="auto" w:line="240" w:before="0" w:after="0"/>
              <w:ind w:hanging="0" w:right="65"/>
              <w:rPr>
                <w:sz w:val="20"/>
                <w:szCs w:val="20"/>
              </w:rPr>
            </w:pPr>
            <w:r>
              <w:rPr>
                <w:rFonts w:cs="Times New Roman"/>
                <w:bCs/>
                <w:color w:val="000000"/>
                <w:sz w:val="20"/>
                <w:szCs w:val="20"/>
              </w:rPr>
              <w:t>_____________________ /А.В. Коростелев/</w:t>
            </w:r>
          </w:p>
        </w:tc>
        <w:tc>
          <w:tcPr>
            <w:tcW w:w="5277" w:type="dxa"/>
            <w:tcBorders/>
          </w:tcPr>
          <w:p>
            <w:pPr>
              <w:pStyle w:val="ConsPlusNormal1"/>
              <w:ind w:hanging="0"/>
              <w:jc w:val="both"/>
              <w:rPr/>
            </w:pPr>
            <w:r>
              <w:rPr>
                <w:rFonts w:cs="Times New Roman" w:ascii="Times New Roman" w:hAnsi="Times New Roman"/>
                <w:b/>
                <w:caps/>
                <w:sz w:val="22"/>
                <w:szCs w:val="22"/>
              </w:rPr>
              <w:t>ПОДРЯДЧИК</w:t>
            </w:r>
            <w:r>
              <w:rPr>
                <w:rFonts w:cs="Times New Roman" w:ascii="Times New Roman" w:hAnsi="Times New Roman"/>
                <w:b/>
                <w:sz w:val="22"/>
                <w:szCs w:val="22"/>
              </w:rPr>
              <w:t>:</w:t>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r>
          </w:p>
          <w:p>
            <w:pPr>
              <w:pStyle w:val="ConsPlusNormal1"/>
              <w:ind w:hanging="0"/>
              <w:jc w:val="both"/>
              <w:rPr/>
            </w:pPr>
            <w:r>
              <w:rPr>
                <w:rFonts w:cs="Times New Roman" w:ascii="Times New Roman" w:hAnsi="Times New Roman"/>
                <w:sz w:val="22"/>
                <w:szCs w:val="22"/>
              </w:rPr>
              <w:t>___________ __________</w:t>
            </w:r>
          </w:p>
          <w:p>
            <w:pPr>
              <w:pStyle w:val="ConsPlusNormal1"/>
              <w:ind w:hanging="0"/>
              <w:jc w:val="both"/>
              <w:rPr/>
            </w:pPr>
            <w:r>
              <w:rPr/>
            </w:r>
          </w:p>
        </w:tc>
      </w:tr>
    </w:tbl>
    <w:p>
      <w:pPr>
        <w:sectPr>
          <w:headerReference w:type="default" r:id="rId3"/>
          <w:type w:val="nextPage"/>
          <w:pgSz w:w="11906" w:h="16838"/>
          <w:pgMar w:left="1134" w:right="709" w:gutter="0" w:header="284" w:top="341" w:footer="0" w:bottom="1134"/>
          <w:pgNumType w:fmt="decimal"/>
          <w:formProt w:val="false"/>
          <w:textDirection w:val="lrTb"/>
          <w:docGrid w:type="default" w:linePitch="360" w:charSpace="0"/>
        </w:sectPr>
      </w:pPr>
    </w:p>
    <w:p>
      <w:pPr>
        <w:pStyle w:val="Normal"/>
        <w:keepNext w:val="true"/>
        <w:keepLines/>
        <w:spacing w:lineRule="auto" w:line="240" w:before="0" w:after="0"/>
        <w:ind w:firstLine="5387" w:right="0"/>
        <w:jc w:val="right"/>
        <w:rPr>
          <w:bCs/>
          <w:sz w:val="22"/>
        </w:rPr>
      </w:pPr>
      <w:r>
        <w:rPr>
          <w:sz w:val="22"/>
        </w:rPr>
        <w:t>Приложение № 3 к контракту №__________ от _________2026 г.</w:t>
      </w:r>
    </w:p>
    <w:p>
      <w:pPr>
        <w:pStyle w:val="ListParagraph"/>
        <w:tabs>
          <w:tab w:val="clear" w:pos="708"/>
          <w:tab w:val="left" w:pos="-360" w:leader="none"/>
          <w:tab w:val="left" w:pos="0" w:leader="none"/>
          <w:tab w:val="left" w:pos="142" w:leader="none"/>
        </w:tabs>
        <w:spacing w:before="0" w:after="0"/>
        <w:ind w:hanging="0" w:left="0" w:right="0"/>
        <w:contextualSpacing w:val="false"/>
        <w:rPr>
          <w:sz w:val="22"/>
          <w:szCs w:val="22"/>
        </w:rPr>
      </w:pPr>
      <w:r>
        <w:rPr>
          <w:sz w:val="22"/>
          <w:szCs w:val="22"/>
        </w:rPr>
      </w:r>
    </w:p>
    <w:p>
      <w:pPr>
        <w:pStyle w:val="Normal"/>
        <w:widowControl w:val="false"/>
        <w:jc w:val="right"/>
        <w:rPr>
          <w:i/>
          <w:i/>
          <w:sz w:val="20"/>
          <w:szCs w:val="20"/>
        </w:rPr>
      </w:pPr>
      <w:r>
        <w:rPr>
          <w:i/>
          <w:sz w:val="20"/>
          <w:szCs w:val="20"/>
        </w:rPr>
      </w:r>
    </w:p>
    <w:p>
      <w:pPr>
        <w:pStyle w:val="Normal"/>
        <w:tabs>
          <w:tab w:val="clear" w:pos="708"/>
          <w:tab w:val="left" w:pos="5387" w:leader="none"/>
        </w:tabs>
        <w:jc w:val="center"/>
        <w:rPr>
          <w:b/>
          <w:sz w:val="22"/>
          <w:szCs w:val="22"/>
        </w:rPr>
      </w:pPr>
      <w:r>
        <w:rPr>
          <w:b/>
          <w:sz w:val="22"/>
          <w:szCs w:val="22"/>
        </w:rPr>
        <w:t>Техническое задание.</w:t>
      </w:r>
    </w:p>
    <w:p>
      <w:pPr>
        <w:pStyle w:val="Normal"/>
        <w:widowControl w:val="false"/>
        <w:ind w:hanging="5" w:left="5" w:right="48"/>
        <w:jc w:val="center"/>
        <w:rPr>
          <w:b/>
          <w:bCs/>
        </w:rPr>
      </w:pPr>
      <w:r>
        <w:rPr>
          <w:b/>
          <w:bCs/>
        </w:rPr>
      </w:r>
    </w:p>
    <w:p>
      <w:pPr>
        <w:pStyle w:val="Normal"/>
        <w:numPr>
          <w:ilvl w:val="0"/>
          <w:numId w:val="0"/>
        </w:numPr>
        <w:ind w:firstLine="530" w:left="0" w:right="65"/>
        <w:jc w:val="center"/>
        <w:outlineLvl w:val="1"/>
        <w:rPr>
          <w:rFonts w:eastAsia="Calibri"/>
          <w:iCs/>
          <w:sz w:val="20"/>
          <w:szCs w:val="20"/>
        </w:rPr>
      </w:pPr>
      <w:r>
        <w:rPr>
          <w:rFonts w:eastAsia="Calibri"/>
          <w:b/>
          <w:iCs/>
          <w:sz w:val="20"/>
          <w:szCs w:val="20"/>
        </w:rPr>
        <w:t>Раздел 1. Общие требования</w:t>
      </w:r>
    </w:p>
    <w:p>
      <w:pPr>
        <w:pStyle w:val="Style25"/>
        <w:widowControl/>
        <w:ind w:hanging="0" w:left="0" w:right="0"/>
        <w:jc w:val="center"/>
        <w:rPr>
          <w:rFonts w:ascii="Times New Roman" w:hAnsi="Times New Roman" w:eastAsia="Times New Roman" w:cs="Times New Roman"/>
          <w:color w:val="000000"/>
          <w:sz w:val="18"/>
          <w:szCs w:val="18"/>
          <w:lang w:eastAsia="ru-RU"/>
        </w:rPr>
      </w:pPr>
      <w:r>
        <w:rPr>
          <w:rFonts w:eastAsia="Times New Roman" w:cs="Times New Roman"/>
          <w:color w:val="000000"/>
          <w:sz w:val="18"/>
          <w:szCs w:val="18"/>
          <w:lang w:eastAsia="ru-RU"/>
        </w:rPr>
      </w:r>
    </w:p>
    <w:p>
      <w:pPr>
        <w:pStyle w:val="Normal"/>
        <w:ind w:firstLine="567" w:right="65"/>
        <w:jc w:val="both"/>
        <w:rPr>
          <w:rFonts w:eastAsia="Calibri"/>
          <w:iCs/>
          <w:sz w:val="20"/>
          <w:szCs w:val="20"/>
        </w:rPr>
      </w:pPr>
      <w:r>
        <w:rPr>
          <w:rFonts w:eastAsia="Calibri"/>
          <w:iCs/>
          <w:sz w:val="20"/>
          <w:szCs w:val="20"/>
        </w:rPr>
        <w:t>1.1. Предметом настоящего кон</w:t>
      </w:r>
      <w:r>
        <w:rPr>
          <w:rFonts w:eastAsia="Calibri" w:cs="Times New Roman"/>
          <w:iCs/>
          <w:color w:val="000000"/>
          <w:sz w:val="20"/>
          <w:szCs w:val="20"/>
          <w:lang w:eastAsia="ru-RU"/>
        </w:rPr>
        <w:t xml:space="preserve">тракта </w:t>
      </w:r>
      <w:r>
        <w:rPr>
          <w:rFonts w:eastAsia="Calibri" w:cs="Times New Roman"/>
          <w:iCs/>
          <w:color w:val="000000"/>
          <w:sz w:val="20"/>
          <w:szCs w:val="20"/>
          <w:shd w:fill="auto" w:val="clear"/>
          <w:lang w:eastAsia="ru-RU"/>
        </w:rPr>
        <w:t>является выполнение работ по разработке проектной документации по организации электроснабжения с подключением от ГРЩ, а также монтаж электромагистрали от ГРЩ до энергопринимающих устройств в рамках капитального ремонта.</w:t>
      </w:r>
    </w:p>
    <w:p>
      <w:pPr>
        <w:pStyle w:val="Normal"/>
        <w:ind w:firstLine="567" w:right="65"/>
        <w:jc w:val="both"/>
        <w:rPr>
          <w:rFonts w:eastAsia="Calibri"/>
          <w:iCs/>
          <w:sz w:val="20"/>
          <w:szCs w:val="20"/>
        </w:rPr>
      </w:pPr>
      <w:r>
        <w:rPr>
          <w:rFonts w:eastAsia="Calibri"/>
          <w:iCs/>
          <w:sz w:val="20"/>
          <w:szCs w:val="20"/>
        </w:rPr>
        <w:t xml:space="preserve">1.2.  Сроки выполнения работ: </w:t>
      </w:r>
    </w:p>
    <w:p>
      <w:pPr>
        <w:pStyle w:val="Normal"/>
        <w:ind w:firstLine="567" w:right="65"/>
        <w:jc w:val="both"/>
        <w:rPr>
          <w:rFonts w:eastAsia="Calibri"/>
          <w:iCs/>
          <w:sz w:val="20"/>
          <w:szCs w:val="20"/>
        </w:rPr>
      </w:pPr>
      <w:r>
        <w:rPr>
          <w:rFonts w:eastAsia="Calibri"/>
          <w:iCs/>
          <w:sz w:val="20"/>
          <w:szCs w:val="20"/>
        </w:rPr>
        <w:t>Начало выполнения работ, с даты подписания акта передачи объекта для выполнения работ. Заказчик должен передать объект Подрядчику по акту, а Подрядчик обязан принять объект и подписать акт передачи объекта для выполнения работ в течение 3 (трех) рабочих дней с даты заключения Контракта.</w:t>
      </w:r>
    </w:p>
    <w:p>
      <w:pPr>
        <w:pStyle w:val="Normal"/>
        <w:ind w:firstLine="567" w:right="65"/>
        <w:jc w:val="both"/>
        <w:rPr>
          <w:rFonts w:eastAsia="Calibri"/>
          <w:iCs/>
          <w:sz w:val="20"/>
          <w:szCs w:val="20"/>
        </w:rPr>
      </w:pPr>
      <w:r>
        <w:rPr>
          <w:rFonts w:eastAsia="Calibri"/>
          <w:iCs/>
          <w:sz w:val="20"/>
          <w:szCs w:val="20"/>
        </w:rPr>
        <w:t>Окончание выполнения работ: не позднее 20 декабря 2026 года.</w:t>
      </w:r>
    </w:p>
    <w:p>
      <w:pPr>
        <w:pStyle w:val="Normal"/>
        <w:ind w:firstLine="567" w:right="65"/>
        <w:jc w:val="both"/>
        <w:rPr>
          <w:rFonts w:eastAsia="Calibri"/>
          <w:iCs/>
          <w:sz w:val="20"/>
          <w:szCs w:val="20"/>
        </w:rPr>
      </w:pPr>
      <w:r>
        <w:rPr>
          <w:rFonts w:eastAsia="Calibri"/>
          <w:iCs/>
          <w:sz w:val="20"/>
          <w:szCs w:val="20"/>
        </w:rPr>
        <w:t>1.3. Место выполнения работ: г</w:t>
      </w:r>
      <w:r>
        <w:rPr>
          <w:rFonts w:eastAsia="Calibri" w:cs="Times New Roman"/>
          <w:iCs/>
          <w:color w:val="000000"/>
          <w:sz w:val="20"/>
          <w:szCs w:val="20"/>
          <w:shd w:fill="auto" w:val="clear"/>
          <w:lang w:eastAsia="ru-RU"/>
        </w:rPr>
        <w:t>. Санкт-Петербург, пр. Обуховской обороны, д. 123 лит. А.</w:t>
      </w:r>
    </w:p>
    <w:p>
      <w:pPr>
        <w:pStyle w:val="Normal"/>
        <w:ind w:firstLine="567" w:right="65"/>
        <w:jc w:val="both"/>
        <w:rPr>
          <w:rFonts w:eastAsia="Calibri"/>
          <w:iCs/>
          <w:sz w:val="20"/>
          <w:szCs w:val="20"/>
        </w:rPr>
      </w:pPr>
      <w:r>
        <w:rPr>
          <w:rFonts w:eastAsia="Calibri"/>
          <w:iCs/>
          <w:sz w:val="20"/>
          <w:szCs w:val="20"/>
        </w:rPr>
      </w:r>
    </w:p>
    <w:p>
      <w:pPr>
        <w:pStyle w:val="Normal"/>
        <w:ind w:firstLine="567" w:right="65"/>
        <w:jc w:val="center"/>
        <w:rPr>
          <w:b/>
          <w:sz w:val="20"/>
          <w:szCs w:val="20"/>
        </w:rPr>
      </w:pPr>
      <w:r>
        <w:rPr>
          <w:b/>
          <w:sz w:val="20"/>
          <w:szCs w:val="20"/>
        </w:rPr>
        <w:t>Раздел 2. Требования к функциональным, техническим и качественным характеристикам объекта закупки.</w:t>
      </w:r>
    </w:p>
    <w:p>
      <w:pPr>
        <w:pStyle w:val="Normal"/>
        <w:ind w:firstLine="567" w:right="65"/>
        <w:jc w:val="both"/>
        <w:rPr>
          <w:sz w:val="20"/>
          <w:szCs w:val="20"/>
        </w:rPr>
      </w:pPr>
      <w:r>
        <w:rPr>
          <w:sz w:val="20"/>
          <w:szCs w:val="20"/>
        </w:rPr>
      </w:r>
    </w:p>
    <w:p>
      <w:pPr>
        <w:pStyle w:val="Normal"/>
        <w:ind w:firstLine="567" w:right="65"/>
        <w:jc w:val="both"/>
        <w:rPr>
          <w:b/>
          <w:sz w:val="20"/>
          <w:szCs w:val="20"/>
        </w:rPr>
      </w:pPr>
      <w:r>
        <w:rPr>
          <w:b/>
          <w:sz w:val="20"/>
          <w:szCs w:val="20"/>
        </w:rPr>
        <w:t>2.1. Требования к количественным характеристикам (объему) выполняемых работ.</w:t>
      </w:r>
    </w:p>
    <w:p>
      <w:pPr>
        <w:pStyle w:val="Normal"/>
        <w:ind w:firstLine="567" w:right="65"/>
        <w:jc w:val="both"/>
        <w:rPr>
          <w:rFonts w:eastAsia="Calibri"/>
          <w:iCs/>
          <w:sz w:val="20"/>
          <w:szCs w:val="20"/>
        </w:rPr>
      </w:pPr>
      <w:r>
        <w:rPr>
          <w:rFonts w:eastAsia="Calibri"/>
          <w:iCs/>
          <w:sz w:val="20"/>
          <w:szCs w:val="20"/>
        </w:rPr>
        <w:t xml:space="preserve">2.1.1. Оборудование, материалы, устанавливаемые, применяемые при выполнении работ, должны соответствовать требованиям действующего законодательства Российской Федерации, государственных стандартов, строительных норм и правил, правил устройства электроустановок, норм пожарной безопасности, технических регламентов, санитарных норм и правил, должны соответствовать характеристикам, содержащимся в сметной документации, должны быть новыми, иметь документы, подтверждающие качество и безопасность таких материалов </w:t>
      </w:r>
    </w:p>
    <w:p>
      <w:pPr>
        <w:pStyle w:val="Normal"/>
        <w:ind w:firstLine="567" w:right="65"/>
        <w:jc w:val="both"/>
        <w:rPr>
          <w:rFonts w:eastAsia="Calibri"/>
          <w:iCs/>
          <w:sz w:val="20"/>
          <w:szCs w:val="20"/>
        </w:rPr>
      </w:pPr>
      <w:r>
        <w:rPr>
          <w:rFonts w:eastAsia="Calibri"/>
          <w:iCs/>
          <w:sz w:val="20"/>
          <w:szCs w:val="20"/>
        </w:rPr>
        <w:t xml:space="preserve">2.1.2. Сертификаты или копии сертификатов на материалы и оборудование, должны быть представлены подрядчиком Заказчику не менее чем за 3 (Три) календарных дня до их использования в работах. </w:t>
      </w:r>
    </w:p>
    <w:p>
      <w:pPr>
        <w:pStyle w:val="Normal"/>
        <w:ind w:firstLine="567" w:right="65"/>
        <w:jc w:val="both"/>
        <w:rPr>
          <w:rFonts w:eastAsia="Calibri"/>
          <w:iCs/>
          <w:sz w:val="20"/>
          <w:szCs w:val="20"/>
        </w:rPr>
      </w:pPr>
      <w:r>
        <w:rPr>
          <w:rFonts w:eastAsia="Calibri"/>
          <w:iCs/>
          <w:sz w:val="20"/>
          <w:szCs w:val="20"/>
        </w:rPr>
        <w:t>2.1.3. Применяемые при выполнении работ материалы должны быть новыми (не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pPr>
        <w:pStyle w:val="Normal"/>
        <w:ind w:firstLine="567" w:right="65"/>
        <w:jc w:val="both"/>
        <w:rPr>
          <w:rFonts w:eastAsia="Calibri"/>
          <w:iCs/>
          <w:sz w:val="20"/>
          <w:szCs w:val="20"/>
        </w:rPr>
      </w:pPr>
      <w:r>
        <w:rPr>
          <w:rFonts w:eastAsia="Calibri"/>
          <w:iCs/>
          <w:sz w:val="20"/>
          <w:szCs w:val="20"/>
        </w:rPr>
        <w:t>Все товарные знаки, модели или наименования производителя оборудования читать со словами «или эквивалент». Эквивалентность (аналогичность) материалов (комплектующих и оборудования) определяется в соответствии с требованиями действующего законодательства. Эквивалентность (аналогичность) товаров, используемых и при выполнении работ по Контракту, определяется в соответствии с требованиями и показателями, изложенными в соответствующих документах (ГОСТ, ТУ, паспортах, описаниях и т.д.).</w:t>
      </w:r>
    </w:p>
    <w:p>
      <w:pPr>
        <w:pStyle w:val="Normal"/>
        <w:ind w:firstLine="567" w:right="65"/>
        <w:jc w:val="both"/>
        <w:rPr>
          <w:rFonts w:eastAsia="Calibri"/>
          <w:iCs/>
          <w:sz w:val="20"/>
          <w:szCs w:val="20"/>
        </w:rPr>
      </w:pPr>
      <w:r>
        <w:rPr>
          <w:rFonts w:eastAsia="Calibri"/>
          <w:iCs/>
          <w:sz w:val="20"/>
          <w:szCs w:val="20"/>
        </w:rPr>
        <w:t>2.1.4. Технология и качество выполняемых работ должны удовлетворять требованиям действующих нормативных актов Российской Федерации. Все материалы, применяемые при выполнении работ, должны сопровождаться соответствующей документацией, подтверждающей качество материалов, и должны быть разрешены к использованию на территории Российской Федерации.</w:t>
      </w:r>
    </w:p>
    <w:p>
      <w:pPr>
        <w:pStyle w:val="Normal"/>
        <w:ind w:firstLine="567" w:right="65"/>
        <w:jc w:val="both"/>
        <w:rPr>
          <w:rFonts w:eastAsia="Calibri"/>
          <w:iCs/>
          <w:sz w:val="20"/>
          <w:szCs w:val="20"/>
        </w:rPr>
      </w:pPr>
      <w:r>
        <w:rPr>
          <w:rFonts w:eastAsia="Calibri"/>
          <w:iCs/>
          <w:sz w:val="20"/>
          <w:szCs w:val="20"/>
        </w:rPr>
        <w:t>2.1.5. Во время выполнения работ на объекте соблюдать требования экологических, санитарно-гигиенических, противопожарных и других норм, действующих на территории Российской Федерации.</w:t>
      </w:r>
    </w:p>
    <w:p>
      <w:pPr>
        <w:pStyle w:val="Normal"/>
        <w:ind w:firstLine="567" w:right="65"/>
        <w:jc w:val="both"/>
        <w:rPr>
          <w:rFonts w:eastAsia="Calibri"/>
          <w:iCs/>
          <w:sz w:val="20"/>
          <w:szCs w:val="20"/>
        </w:rPr>
      </w:pPr>
      <w:r>
        <w:rPr>
          <w:rFonts w:eastAsia="Calibri"/>
          <w:iCs/>
          <w:sz w:val="20"/>
          <w:szCs w:val="20"/>
        </w:rPr>
        <w:t>2.1.6. Доставка на объект, выгрузка, складирование товарно-материальных ценностей, необходимых для выполнения работ, в соответствии с действующими санитарными, противопожарными нормами (ППБ) и условиями хранения для каждого вида товара, осуществляется Подрядчиком. Подрядчик несет риск утраты или повреждения товаров, а также иных товарно-материальных ценностей используемых при выполнении работ. Риск утраты либо повреждения товаров, которые в результате выполнения работ переходят в собственность Заказчика лежат на Подрядчике до момента приемки Заказчиком результатов работы, по соответствующим актам.</w:t>
      </w:r>
    </w:p>
    <w:p>
      <w:pPr>
        <w:pStyle w:val="Normal"/>
        <w:ind w:firstLine="567" w:right="65"/>
        <w:jc w:val="both"/>
        <w:rPr>
          <w:rFonts w:eastAsia="Calibri"/>
          <w:iCs/>
          <w:sz w:val="20"/>
          <w:szCs w:val="20"/>
        </w:rPr>
      </w:pPr>
      <w:r>
        <w:rPr>
          <w:rFonts w:eastAsia="Calibri"/>
          <w:iCs/>
          <w:sz w:val="20"/>
          <w:szCs w:val="20"/>
        </w:rPr>
        <w:t>2.1.7. Используемый при выполнении работ товар должен быть работоспособным и обеспечивать предусмотренную производителем функциональность. Используемый при выполнении работ товар не должен иметь дефектов, связанных с используемым сырьём при изготовлении и качеством изготовления, либо проявляющихся в результате действия или упущения Подрядчика при нормальном использовании товара.</w:t>
      </w:r>
    </w:p>
    <w:p>
      <w:pPr>
        <w:pStyle w:val="Normal"/>
        <w:ind w:firstLine="567" w:right="65"/>
        <w:jc w:val="both"/>
        <w:rPr>
          <w:rFonts w:eastAsia="Calibri"/>
          <w:iCs/>
          <w:sz w:val="20"/>
          <w:szCs w:val="20"/>
        </w:rPr>
      </w:pPr>
      <w:r>
        <w:rPr>
          <w:rFonts w:eastAsia="Calibri"/>
          <w:iCs/>
          <w:sz w:val="20"/>
          <w:szCs w:val="20"/>
        </w:rPr>
        <w:t>2.1.8. Подрядчик обязан не допускать захламления рабочих мест. Обеспечить ежедневную уборку на объекте после очередного выполнения работ собственными силами, средствами, инструментами и транспортом. Принимать все меры по нераспространению строительного мусора, пыли по объекту (проводить уборку места производства работ от строительного мусора, герметично огораживать место работы, где ведутся работы по ремонту с большим образованием пыли (при необходимости) и вывоз мусора с территории Заказчика.</w:t>
      </w:r>
    </w:p>
    <w:p>
      <w:pPr>
        <w:pStyle w:val="Normal"/>
        <w:ind w:firstLine="567" w:right="65"/>
        <w:jc w:val="both"/>
        <w:rPr>
          <w:rFonts w:eastAsia="Calibri"/>
          <w:iCs/>
          <w:sz w:val="20"/>
          <w:szCs w:val="20"/>
        </w:rPr>
      </w:pPr>
      <w:r>
        <w:rPr>
          <w:rFonts w:eastAsia="Calibri"/>
          <w:iCs/>
          <w:sz w:val="20"/>
          <w:szCs w:val="20"/>
        </w:rPr>
        <w:t>2.1.9. 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pPr>
        <w:pStyle w:val="Normal"/>
        <w:ind w:firstLine="567" w:right="65"/>
        <w:jc w:val="both"/>
        <w:rPr>
          <w:bCs/>
          <w:sz w:val="20"/>
          <w:szCs w:val="20"/>
        </w:rPr>
      </w:pPr>
      <w:r>
        <w:rPr>
          <w:bCs/>
          <w:sz w:val="20"/>
          <w:szCs w:val="20"/>
        </w:rPr>
        <w:t>2.1.10. Выполнение работ Подрядчиком выполняется без остановки основной деятельности учреждения с 9-00 до 18-00 с понедельника по пятницу, за исключением вторника и четверга (приемные дни посетителей). В связи с производством работ без остановки основной деятельности учреждения Подрядчику необходимо выполнять работы, учитывая специфику деятельности Госзаказчика (обеспечение установленного порядка деятельности судов, принудительное исполнение судебных актов, применение мер принудительного исполнения, оценка, учет, хранение и принудительная реализация арестованного и изъятого имущества, розыск должников, дознание по уголовным делам и производствам по делам об административных правонарушениях, ведение государственного реестра юридических лиц), учитывая комфортность нахождения работников и посетителей в помещениях Объекта с соблюдением производственной санитарии, не допускать нарушений общественного порядка и иных действий, вызывающих неудобства для граждан и других лиц в результате загрязнения, шума или других причин, являющихся следствием применяемых Подрядчиком методов проведения работ.</w:t>
      </w:r>
    </w:p>
    <w:p>
      <w:pPr>
        <w:pStyle w:val="Normal"/>
        <w:ind w:firstLine="567" w:right="65"/>
        <w:jc w:val="both"/>
        <w:rPr>
          <w:bCs/>
          <w:sz w:val="20"/>
          <w:szCs w:val="20"/>
        </w:rPr>
      </w:pPr>
      <w:r>
        <w:rPr>
          <w:bCs/>
          <w:sz w:val="20"/>
          <w:szCs w:val="20"/>
        </w:rPr>
        <w:t>2.1.11. В случае если в ходе выполнения работ Подрядчик обнаружит не учтённые настоящим контрактом работы, влекущее увеличение стоимости и необходимость выполнения дополнительного объёма работ, Подрядчик обязан незамедлительно сообщить об этом Заказчику. Подрядчик, не выполнивший данные обязанности, лишается права требовать оплаты дополнительно выполн</w:t>
      </w:r>
      <w:r>
        <w:rPr>
          <w:bCs/>
          <w:sz w:val="20"/>
          <w:szCs w:val="20"/>
          <w:shd w:fill="auto" w:val="clear"/>
        </w:rPr>
        <w:t>енных работ, а также ссылаться на вину Заказчика в случае возникшей просрочки исполнения обязательств Подрядчиком, предусмотренных контрактом. В случае необходимости Подрядчика в дополнительных материалах для выполнения работ, Подрядчик обеспечивает себя ими самостоятельно, без дополнительной  оплаты со стороны Заказчика.</w:t>
      </w:r>
    </w:p>
    <w:p>
      <w:pPr>
        <w:pStyle w:val="Normal"/>
        <w:numPr>
          <w:ilvl w:val="0"/>
          <w:numId w:val="0"/>
        </w:numPr>
        <w:tabs>
          <w:tab w:val="clear" w:pos="708"/>
          <w:tab w:val="left" w:pos="426" w:leader="none"/>
        </w:tabs>
        <w:ind w:firstLine="530" w:left="0" w:right="-1"/>
        <w:outlineLvl w:val="1"/>
        <w:rPr>
          <w:b/>
          <w:sz w:val="20"/>
          <w:szCs w:val="20"/>
        </w:rPr>
      </w:pPr>
      <w:r>
        <w:rPr>
          <w:b/>
          <w:sz w:val="20"/>
          <w:szCs w:val="20"/>
        </w:rPr>
        <w:t xml:space="preserve">2.1.12. </w:t>
      </w:r>
      <w:r>
        <w:rPr>
          <w:b/>
          <w:bCs/>
          <w:sz w:val="20"/>
          <w:szCs w:val="20"/>
        </w:rPr>
        <w:t>К исполнению работ должны привлекаться только квалифицированные рабочие, имеющие соответствующий разряд и прошедшие медицинское освидетельствование в случаях, установленных правовыми актами в области строительства. Все работы должны выполняться в обязательном порядке гражданами РФ, либо с привлечением иностранных граждан, которые согласованы с территориальным органом ФСБ для выполнения подрядных работ, а также имеют необходимые документы и разрешения в соответствии с законодательством РФ.</w:t>
      </w:r>
    </w:p>
    <w:p>
      <w:pPr>
        <w:pStyle w:val="Normal"/>
        <w:numPr>
          <w:ilvl w:val="0"/>
          <w:numId w:val="0"/>
        </w:numPr>
        <w:tabs>
          <w:tab w:val="clear" w:pos="708"/>
          <w:tab w:val="left" w:pos="426" w:leader="none"/>
        </w:tabs>
        <w:ind w:firstLine="530" w:left="0" w:right="-1"/>
        <w:outlineLvl w:val="1"/>
        <w:rPr>
          <w:b w:val="false"/>
          <w:bCs w:val="false"/>
          <w:sz w:val="20"/>
          <w:szCs w:val="20"/>
        </w:rPr>
      </w:pPr>
      <w:r>
        <w:rPr>
          <w:b w:val="false"/>
          <w:bCs w:val="false"/>
          <w:sz w:val="20"/>
          <w:szCs w:val="20"/>
        </w:rPr>
        <w:t xml:space="preserve">2.1.13. </w:t>
      </w:r>
      <w:r>
        <w:rPr>
          <w:b w:val="false"/>
          <w:bCs w:val="false"/>
          <w:iCs/>
          <w:color w:val="000000"/>
          <w:sz w:val="20"/>
          <w:szCs w:val="20"/>
          <w:lang w:eastAsia="en-US"/>
        </w:rPr>
        <w:t>Еженедельно в четверг до 12.00 представлять Госзаказчику в электронном виде справочный материал о ходе работ: справку-доклад и фото-мониторинг, отражающие объем выполненных работ, количество людских ресурсов и техники на объекте.</w:t>
      </w:r>
    </w:p>
    <w:p>
      <w:pPr>
        <w:pStyle w:val="Normal"/>
        <w:numPr>
          <w:ilvl w:val="0"/>
          <w:numId w:val="0"/>
        </w:numPr>
        <w:tabs>
          <w:tab w:val="clear" w:pos="708"/>
          <w:tab w:val="left" w:pos="426" w:leader="none"/>
        </w:tabs>
        <w:ind w:firstLine="530" w:left="0" w:right="-1"/>
        <w:outlineLvl w:val="1"/>
        <w:rPr>
          <w:b w:val="false"/>
          <w:bCs w:val="false"/>
          <w:sz w:val="20"/>
          <w:szCs w:val="20"/>
        </w:rPr>
      </w:pPr>
      <w:r>
        <w:rPr>
          <w:b w:val="false"/>
          <w:bCs w:val="false"/>
          <w:iCs/>
          <w:color w:val="000000"/>
          <w:sz w:val="20"/>
          <w:szCs w:val="20"/>
          <w:lang w:eastAsia="en-US"/>
        </w:rPr>
        <w:t>2.1.14. Поддерживать чистоту и порядок на объекте. Ежедневно, по окончании работ, осуществлять влажную уборку и уборку строительного мусора, а также исключать загрязнение прилегающих помещений и территорий строительным мусором. Места хранения строительного мусора согласовывать с Госзаказчиком. Производить ежедневный вывоз мусора с его и утилизацией за свой счет, при этом учитывать установленные правила допуска на объект автотранспорта сторонних организаций.</w:t>
      </w:r>
    </w:p>
    <w:p>
      <w:pPr>
        <w:pStyle w:val="Normal"/>
        <w:numPr>
          <w:ilvl w:val="0"/>
          <w:numId w:val="0"/>
        </w:numPr>
        <w:tabs>
          <w:tab w:val="clear" w:pos="708"/>
          <w:tab w:val="left" w:pos="426" w:leader="none"/>
        </w:tabs>
        <w:ind w:firstLine="530" w:left="0" w:right="-1"/>
        <w:outlineLvl w:val="1"/>
        <w:rPr>
          <w:b w:val="false"/>
          <w:bCs w:val="false"/>
          <w:sz w:val="20"/>
          <w:szCs w:val="20"/>
        </w:rPr>
      </w:pPr>
      <w:r>
        <w:rPr>
          <w:rFonts w:eastAsia="Calibri"/>
          <w:b w:val="false"/>
          <w:bCs w:val="false"/>
          <w:iCs/>
          <w:color w:val="000000"/>
          <w:sz w:val="20"/>
          <w:szCs w:val="20"/>
          <w:lang w:eastAsia="en-US"/>
        </w:rPr>
        <w:t>2.1.15. Обеспечить восстановление поврежденных элементов благоустройства, дорог и площадок, прилегающих к объекту и (или) территории, используемой для выполнения работ на объекте (в случае их нарушения). Восстановить элементы внутренней и наружной отделки, затронутые при выполнении работ.</w:t>
      </w:r>
    </w:p>
    <w:p>
      <w:pPr>
        <w:pStyle w:val="Normal"/>
        <w:ind w:firstLine="567" w:right="65"/>
        <w:jc w:val="both"/>
        <w:rPr>
          <w:rFonts w:eastAsia="Calibri"/>
          <w:iCs/>
          <w:sz w:val="20"/>
          <w:szCs w:val="20"/>
        </w:rPr>
      </w:pPr>
      <w:r>
        <w:rPr>
          <w:rFonts w:eastAsia="Calibri"/>
          <w:iCs/>
          <w:sz w:val="20"/>
          <w:szCs w:val="20"/>
        </w:rPr>
      </w:r>
    </w:p>
    <w:p>
      <w:pPr>
        <w:pStyle w:val="Normal"/>
        <w:numPr>
          <w:ilvl w:val="0"/>
          <w:numId w:val="0"/>
        </w:numPr>
        <w:tabs>
          <w:tab w:val="clear" w:pos="708"/>
          <w:tab w:val="left" w:pos="426" w:leader="none"/>
        </w:tabs>
        <w:ind w:firstLine="530" w:left="0" w:right="-1"/>
        <w:jc w:val="center"/>
        <w:outlineLvl w:val="1"/>
        <w:rPr>
          <w:b/>
          <w:sz w:val="20"/>
          <w:szCs w:val="20"/>
        </w:rPr>
      </w:pPr>
      <w:r>
        <w:rPr>
          <w:b/>
          <w:sz w:val="20"/>
          <w:szCs w:val="20"/>
        </w:rPr>
        <w:t>Раздел 3. Требования к качеству и безопасности работ</w:t>
      </w:r>
    </w:p>
    <w:p>
      <w:pPr>
        <w:pStyle w:val="Normal"/>
        <w:snapToGrid w:val="false"/>
        <w:ind w:firstLine="709" w:right="65"/>
        <w:jc w:val="both"/>
        <w:rPr>
          <w:rFonts w:eastAsia="Calibri"/>
          <w:iCs/>
          <w:sz w:val="20"/>
          <w:szCs w:val="20"/>
        </w:rPr>
      </w:pPr>
      <w:r>
        <w:rPr>
          <w:rFonts w:eastAsia="Calibri"/>
          <w:iCs/>
          <w:sz w:val="20"/>
          <w:szCs w:val="20"/>
        </w:rPr>
        <w:t>3.1 Подрядчик при выполнении работ должен соблюдать обязательные требования нормативных правовых актов РФ.</w:t>
      </w:r>
    </w:p>
    <w:p>
      <w:pPr>
        <w:pStyle w:val="Normal"/>
        <w:snapToGrid w:val="false"/>
        <w:ind w:firstLine="709" w:right="65"/>
        <w:jc w:val="both"/>
        <w:rPr>
          <w:rFonts w:eastAsia="Calibri"/>
          <w:iCs/>
          <w:sz w:val="20"/>
          <w:szCs w:val="20"/>
        </w:rPr>
      </w:pPr>
      <w:r>
        <w:rPr>
          <w:rFonts w:eastAsia="Calibri"/>
          <w:iCs/>
          <w:sz w:val="20"/>
          <w:szCs w:val="20"/>
        </w:rPr>
        <w:t>3.1.1. Подрядчик должен выполнить работы в полном соответствии с условиями Контракта, с соблюдением технологии и качества выполняемых работ, используемых материалов и оборудования в соответствии со следующими актами законодательства Российской Федерации и нормативными документами:</w:t>
      </w:r>
    </w:p>
    <w:p>
      <w:pPr>
        <w:pStyle w:val="Normal"/>
        <w:snapToGrid w:val="false"/>
        <w:ind w:firstLine="709" w:right="65"/>
        <w:jc w:val="both"/>
        <w:rPr>
          <w:rFonts w:eastAsia="Calibri"/>
          <w:iCs/>
          <w:sz w:val="20"/>
          <w:szCs w:val="20"/>
        </w:rPr>
      </w:pPr>
      <w:r>
        <w:rPr>
          <w:rFonts w:eastAsia="Calibri"/>
          <w:iCs/>
          <w:sz w:val="20"/>
          <w:szCs w:val="20"/>
        </w:rPr>
        <w:t>- Гражданский и Градостроительный кодекса РФ;</w:t>
      </w:r>
    </w:p>
    <w:p>
      <w:pPr>
        <w:pStyle w:val="Normal"/>
        <w:snapToGrid w:val="false"/>
        <w:ind w:firstLine="709" w:right="65"/>
        <w:jc w:val="both"/>
        <w:rPr>
          <w:rFonts w:eastAsia="Calibri"/>
          <w:iCs/>
          <w:sz w:val="20"/>
          <w:szCs w:val="20"/>
        </w:rPr>
      </w:pPr>
      <w:r>
        <w:rPr>
          <w:rFonts w:eastAsia="Calibri"/>
          <w:iCs/>
          <w:sz w:val="20"/>
          <w:szCs w:val="20"/>
        </w:rPr>
        <w:t>- Федеральный закон «О техническом регулировании» №184 – ФЗ от 27.12.2002г;</w:t>
      </w:r>
    </w:p>
    <w:p>
      <w:pPr>
        <w:pStyle w:val="Normal"/>
        <w:snapToGrid w:val="false"/>
        <w:ind w:firstLine="709" w:right="65"/>
        <w:jc w:val="both"/>
        <w:rPr>
          <w:rFonts w:eastAsia="Calibri"/>
          <w:iCs/>
          <w:sz w:val="20"/>
          <w:szCs w:val="20"/>
        </w:rPr>
      </w:pPr>
      <w:r>
        <w:rPr>
          <w:rFonts w:eastAsia="Calibri"/>
          <w:iCs/>
          <w:sz w:val="20"/>
          <w:szCs w:val="20"/>
        </w:rPr>
        <w:t>- Федеральный закон от 30 декабря 2009 г. N 384-ФЗ "Технический регламент о безопасности зданий и сооружений";</w:t>
      </w:r>
    </w:p>
    <w:p>
      <w:pPr>
        <w:pStyle w:val="Normal"/>
        <w:snapToGrid w:val="false"/>
        <w:ind w:firstLine="709" w:right="65"/>
        <w:jc w:val="both"/>
        <w:rPr>
          <w:rFonts w:eastAsia="Calibri"/>
          <w:iCs/>
          <w:sz w:val="20"/>
          <w:szCs w:val="20"/>
        </w:rPr>
      </w:pPr>
      <w:r>
        <w:rPr>
          <w:rFonts w:eastAsia="Calibri"/>
          <w:iCs/>
          <w:sz w:val="20"/>
          <w:szCs w:val="20"/>
        </w:rPr>
        <w:t>- Федеральный закон от 01.05.2019 N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w:t>
      </w:r>
    </w:p>
    <w:p>
      <w:pPr>
        <w:pStyle w:val="Normal"/>
        <w:snapToGrid w:val="false"/>
        <w:ind w:firstLine="709" w:right="65"/>
        <w:jc w:val="both"/>
        <w:rPr>
          <w:rFonts w:eastAsia="Calibri"/>
          <w:iCs/>
          <w:sz w:val="20"/>
          <w:szCs w:val="20"/>
        </w:rPr>
      </w:pPr>
      <w:r>
        <w:rPr>
          <w:rFonts w:eastAsia="Calibri"/>
          <w:iCs/>
          <w:sz w:val="20"/>
          <w:szCs w:val="20"/>
        </w:rPr>
        <w:t>- Федеральный закон № 123-ФЗ «Технический регламент о требованиях пожарной безопасности»;</w:t>
      </w:r>
    </w:p>
    <w:p>
      <w:pPr>
        <w:pStyle w:val="Normal"/>
        <w:snapToGrid w:val="false"/>
        <w:ind w:firstLine="709" w:right="65"/>
        <w:jc w:val="both"/>
        <w:rPr>
          <w:rFonts w:eastAsia="Calibri"/>
          <w:iCs/>
          <w:sz w:val="20"/>
          <w:szCs w:val="20"/>
        </w:rPr>
      </w:pPr>
      <w:r>
        <w:rPr>
          <w:rFonts w:eastAsia="Calibri"/>
          <w:iCs/>
          <w:sz w:val="20"/>
          <w:szCs w:val="20"/>
        </w:rPr>
        <w:t>- Федеральный закон от 21.12.1994 N 69-ФЗ "О пожарной безопасности";</w:t>
      </w:r>
    </w:p>
    <w:p>
      <w:pPr>
        <w:pStyle w:val="Normal"/>
        <w:snapToGrid w:val="false"/>
        <w:ind w:firstLine="709" w:right="65"/>
        <w:jc w:val="both"/>
        <w:rPr>
          <w:rFonts w:eastAsia="Calibri"/>
          <w:iCs/>
          <w:sz w:val="20"/>
          <w:szCs w:val="20"/>
        </w:rPr>
      </w:pPr>
      <w:r>
        <w:rPr>
          <w:rFonts w:eastAsia="Calibri"/>
          <w:iCs/>
          <w:sz w:val="20"/>
          <w:szCs w:val="20"/>
        </w:rPr>
        <w:t>- "Правилами противопожарного режима в РФ" утв. постановлением Правительства РФ от 16 сентября 2020 года N 1479.</w:t>
      </w:r>
    </w:p>
    <w:p>
      <w:pPr>
        <w:pStyle w:val="Normal"/>
        <w:snapToGrid w:val="false"/>
        <w:ind w:firstLine="709" w:right="65"/>
        <w:jc w:val="both"/>
        <w:rPr>
          <w:rFonts w:eastAsia="Calibri"/>
          <w:iCs/>
          <w:sz w:val="20"/>
          <w:szCs w:val="20"/>
        </w:rPr>
      </w:pPr>
      <w:r>
        <w:rPr>
          <w:rFonts w:eastAsia="Calibri"/>
          <w:iCs/>
          <w:sz w:val="20"/>
          <w:szCs w:val="20"/>
        </w:rPr>
        <w:t>- Федеральный закон от 30.03.1999 N 52-ФЗ «О санитарно-эпидемиологическом благополучии населения»;</w:t>
      </w:r>
    </w:p>
    <w:p>
      <w:pPr>
        <w:pStyle w:val="Normal"/>
        <w:snapToGrid w:val="false"/>
        <w:ind w:firstLine="709" w:right="65"/>
        <w:jc w:val="both"/>
        <w:rPr>
          <w:rFonts w:eastAsia="Calibri"/>
          <w:iCs/>
          <w:sz w:val="20"/>
          <w:szCs w:val="20"/>
        </w:rPr>
      </w:pPr>
      <w:r>
        <w:rPr>
          <w:rFonts w:eastAsia="Calibri"/>
          <w:iCs/>
          <w:sz w:val="20"/>
          <w:szCs w:val="20"/>
        </w:rPr>
        <w:t>- 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Постановление Правительства Российской Федерации от 31.12.2009г.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pPr>
        <w:pStyle w:val="Normal"/>
        <w:snapToGrid w:val="false"/>
        <w:ind w:firstLine="709" w:right="65"/>
        <w:jc w:val="both"/>
        <w:rPr>
          <w:rFonts w:eastAsia="Calibri"/>
          <w:iCs/>
          <w:sz w:val="20"/>
          <w:szCs w:val="20"/>
        </w:rPr>
      </w:pPr>
      <w:r>
        <w:rPr>
          <w:rFonts w:eastAsia="Calibri"/>
          <w:iCs/>
          <w:sz w:val="20"/>
          <w:szCs w:val="20"/>
        </w:rPr>
        <w:t>- Федеральный закон от 24.06.1998 N 89-ФЗ "Об отходах производства и потребления";</w:t>
      </w:r>
    </w:p>
    <w:p>
      <w:pPr>
        <w:pStyle w:val="Normal"/>
        <w:snapToGrid w:val="false"/>
        <w:ind w:firstLine="709" w:right="65"/>
        <w:jc w:val="both"/>
        <w:rPr>
          <w:rFonts w:eastAsia="Calibri"/>
          <w:iCs/>
          <w:sz w:val="20"/>
          <w:szCs w:val="20"/>
        </w:rPr>
      </w:pPr>
      <w:r>
        <w:rPr>
          <w:rFonts w:eastAsia="Calibri"/>
          <w:iCs/>
          <w:sz w:val="20"/>
          <w:szCs w:val="20"/>
        </w:rPr>
        <w:t>- Постановление от 23 июля 2001 года N 80 О принятии строительных норм и правил Российской Федерации "Безопасность труда в строительстве. Часть 1. Общие требования", государственный комитет российской федерации по строительству и жилищно-коммунальному комплексу.</w:t>
      </w:r>
    </w:p>
    <w:p>
      <w:pPr>
        <w:pStyle w:val="Normal"/>
        <w:snapToGrid w:val="false"/>
        <w:ind w:firstLine="709" w:right="65"/>
        <w:jc w:val="both"/>
        <w:rPr>
          <w:rFonts w:eastAsia="Calibri"/>
          <w:iCs/>
          <w:sz w:val="20"/>
          <w:szCs w:val="20"/>
        </w:rPr>
      </w:pPr>
      <w:r>
        <w:rPr>
          <w:rFonts w:eastAsia="Calibri"/>
          <w:iCs/>
          <w:sz w:val="20"/>
          <w:szCs w:val="20"/>
        </w:rPr>
        <w:t>- СанПин 2.2.1/2.1.1.1200-03 "Санитарно-защитные зоны и санитарная классификация предприятий, сооружений и иных объектов";</w:t>
      </w:r>
    </w:p>
    <w:p>
      <w:pPr>
        <w:pStyle w:val="Normal"/>
        <w:snapToGrid w:val="false"/>
        <w:ind w:firstLine="709" w:right="65"/>
        <w:jc w:val="both"/>
        <w:rPr>
          <w:rFonts w:eastAsia="Calibri"/>
          <w:iCs/>
          <w:sz w:val="20"/>
          <w:szCs w:val="20"/>
        </w:rPr>
      </w:pPr>
      <w:r>
        <w:rPr>
          <w:rFonts w:eastAsia="Calibri"/>
          <w:iCs/>
          <w:sz w:val="20"/>
          <w:szCs w:val="20"/>
        </w:rPr>
        <w:t>В соответствии с п. 1.7. СП 2.4.3648-20 "Санитарно-эпидемиологические требования к организациям воспитания и обучения, отдыха и оздоровления детей и молодежи" проведение всех видов ремонтных работ в присутствии детей не допускается.</w:t>
      </w:r>
    </w:p>
    <w:p>
      <w:pPr>
        <w:pStyle w:val="Normal"/>
        <w:snapToGrid w:val="false"/>
        <w:ind w:firstLine="709" w:right="65"/>
        <w:jc w:val="both"/>
        <w:rPr>
          <w:rFonts w:eastAsia="Calibri"/>
          <w:iCs/>
          <w:sz w:val="20"/>
          <w:szCs w:val="20"/>
        </w:rPr>
      </w:pPr>
      <w:r>
        <w:rPr>
          <w:rFonts w:eastAsia="Calibri"/>
          <w:iCs/>
          <w:sz w:val="20"/>
          <w:szCs w:val="20"/>
        </w:rPr>
        <w:t>- Приказ от 11 декабря 2020 года N 883н «Об утверждении Правил по охране труда при строительстве, реконструкции и ремонте»;</w:t>
      </w:r>
    </w:p>
    <w:p>
      <w:pPr>
        <w:pStyle w:val="Normal"/>
        <w:snapToGrid w:val="false"/>
        <w:ind w:firstLine="709" w:right="65"/>
        <w:jc w:val="both"/>
        <w:rPr>
          <w:rFonts w:eastAsia="Calibri"/>
          <w:iCs/>
          <w:sz w:val="20"/>
          <w:szCs w:val="20"/>
        </w:rPr>
      </w:pPr>
      <w:r>
        <w:rPr>
          <w:rFonts w:eastAsia="Calibri"/>
          <w:iCs/>
          <w:sz w:val="20"/>
          <w:szCs w:val="20"/>
        </w:rPr>
        <w:t>- СП 49.13330.2010 Безопасность труда в строительстве. Часть 1. Общие требования;</w:t>
      </w:r>
    </w:p>
    <w:p>
      <w:pPr>
        <w:pStyle w:val="Normal"/>
        <w:snapToGrid w:val="false"/>
        <w:ind w:firstLine="709" w:right="65"/>
        <w:jc w:val="both"/>
        <w:rPr>
          <w:rFonts w:eastAsia="Calibri"/>
          <w:iCs/>
          <w:sz w:val="20"/>
          <w:szCs w:val="20"/>
        </w:rPr>
      </w:pPr>
      <w:r>
        <w:rPr>
          <w:rFonts w:eastAsia="Calibri"/>
          <w:iCs/>
          <w:sz w:val="20"/>
          <w:szCs w:val="20"/>
        </w:rPr>
        <w:t>Постановление от 17 сентября 2002года № 123 «О принятии строительных норм и правил Российской Федерации «Безопасность труда в строительстве. Часть 2. Строительное производство»;</w:t>
      </w:r>
    </w:p>
    <w:p>
      <w:pPr>
        <w:pStyle w:val="Normal"/>
        <w:snapToGrid w:val="false"/>
        <w:ind w:firstLine="709" w:right="65"/>
        <w:jc w:val="both"/>
        <w:rPr>
          <w:rFonts w:eastAsia="Calibri"/>
          <w:iCs/>
          <w:sz w:val="20"/>
          <w:szCs w:val="20"/>
        </w:rPr>
      </w:pPr>
      <w:r>
        <w:rPr>
          <w:rFonts w:eastAsia="Calibri"/>
          <w:iCs/>
          <w:sz w:val="20"/>
          <w:szCs w:val="20"/>
        </w:rPr>
        <w:t>- СП 48.13330.2019 Организация строительства;</w:t>
      </w:r>
    </w:p>
    <w:p>
      <w:pPr>
        <w:pStyle w:val="Normal"/>
        <w:snapToGrid w:val="false"/>
        <w:ind w:firstLine="709" w:right="65"/>
        <w:jc w:val="both"/>
        <w:rPr>
          <w:rFonts w:eastAsia="Calibri"/>
          <w:iCs/>
          <w:sz w:val="20"/>
          <w:szCs w:val="20"/>
        </w:rPr>
      </w:pPr>
      <w:r>
        <w:rPr>
          <w:rFonts w:eastAsia="Calibri"/>
          <w:iCs/>
          <w:sz w:val="20"/>
          <w:szCs w:val="20"/>
        </w:rPr>
        <w:t>- СП 51.13330.2011 Защита от шума;</w:t>
      </w:r>
    </w:p>
    <w:p>
      <w:pPr>
        <w:pStyle w:val="Normal"/>
        <w:snapToGrid w:val="false"/>
        <w:ind w:firstLine="709" w:right="65"/>
        <w:jc w:val="both"/>
        <w:rPr>
          <w:rFonts w:eastAsia="Calibri"/>
          <w:iCs/>
          <w:sz w:val="20"/>
          <w:szCs w:val="20"/>
        </w:rPr>
      </w:pPr>
      <w:r>
        <w:rPr>
          <w:rFonts w:eastAsia="Calibri"/>
          <w:iCs/>
          <w:sz w:val="20"/>
          <w:szCs w:val="20"/>
        </w:rPr>
        <w:t>- СП 71.13330.2017 Изоляционные и отделочные покрытия;</w:t>
      </w:r>
    </w:p>
    <w:p>
      <w:pPr>
        <w:pStyle w:val="Normal"/>
        <w:snapToGrid w:val="false"/>
        <w:ind w:firstLine="709" w:right="65"/>
        <w:jc w:val="both"/>
        <w:rPr>
          <w:rFonts w:eastAsia="Calibri"/>
          <w:iCs/>
          <w:sz w:val="20"/>
          <w:szCs w:val="20"/>
        </w:rPr>
      </w:pPr>
      <w:r>
        <w:rPr>
          <w:rFonts w:eastAsia="Calibri"/>
          <w:iCs/>
          <w:sz w:val="20"/>
          <w:szCs w:val="20"/>
        </w:rPr>
        <w:t>"СП 118.13330.2022 Общественные здания и сооружения. СНиП 31-06-2009"</w:t>
      </w:r>
    </w:p>
    <w:p>
      <w:pPr>
        <w:pStyle w:val="Normal"/>
        <w:snapToGrid w:val="false"/>
        <w:ind w:firstLine="709" w:right="65"/>
        <w:jc w:val="both"/>
        <w:rPr>
          <w:rFonts w:eastAsia="Calibri"/>
          <w:iCs/>
          <w:sz w:val="20"/>
          <w:szCs w:val="20"/>
        </w:rPr>
      </w:pPr>
      <w:r>
        <w:rPr>
          <w:rFonts w:eastAsia="Calibri"/>
          <w:iCs/>
          <w:sz w:val="20"/>
          <w:szCs w:val="20"/>
        </w:rPr>
        <w:t>- СП 70.13330.2012 Несущие и ограждающие конструкции;</w:t>
      </w:r>
    </w:p>
    <w:p>
      <w:pPr>
        <w:pStyle w:val="Normal"/>
        <w:snapToGrid w:val="false"/>
        <w:ind w:firstLine="709" w:right="65"/>
        <w:jc w:val="both"/>
        <w:rPr>
          <w:rFonts w:eastAsia="Calibri"/>
          <w:iCs/>
          <w:sz w:val="20"/>
          <w:szCs w:val="20"/>
        </w:rPr>
      </w:pPr>
      <w:r>
        <w:rPr>
          <w:rFonts w:eastAsia="Calibri"/>
          <w:iCs/>
          <w:sz w:val="20"/>
          <w:szCs w:val="20"/>
        </w:rPr>
        <w:t>Кроме того, следует руководствоваться перечнем нормативных документов по строительству, действующих на территории Российской Федерации.</w:t>
      </w:r>
    </w:p>
    <w:p>
      <w:pPr>
        <w:pStyle w:val="Normal"/>
        <w:snapToGrid w:val="false"/>
        <w:ind w:firstLine="709" w:right="65"/>
        <w:jc w:val="both"/>
        <w:rPr>
          <w:rFonts w:eastAsia="Calibri"/>
          <w:iCs/>
          <w:sz w:val="20"/>
          <w:szCs w:val="20"/>
        </w:rPr>
      </w:pPr>
      <w:r>
        <w:rPr>
          <w:rFonts w:eastAsia="Calibri"/>
          <w:iCs/>
          <w:sz w:val="20"/>
          <w:szCs w:val="20"/>
        </w:rPr>
        <w:t>3.1.2. В случае, если один из перечисленных в документации о конкурсе документов утратил силу, вследствие отмены или замены на иной документ, то Подрядчик обязан руководствоваться действующей редакцией такого нормативно-технического документа, СНиП, СП и т.п.</w:t>
      </w:r>
    </w:p>
    <w:p>
      <w:pPr>
        <w:pStyle w:val="Normal"/>
        <w:ind w:firstLine="567" w:right="65"/>
        <w:jc w:val="both"/>
        <w:rPr>
          <w:bCs/>
          <w:sz w:val="20"/>
          <w:szCs w:val="20"/>
        </w:rPr>
      </w:pPr>
      <w:r>
        <w:rPr>
          <w:bCs/>
          <w:sz w:val="20"/>
          <w:szCs w:val="20"/>
        </w:rPr>
        <w:t>3.1.3. Работы вблизи действующих коммуникаций вести осторожно. В случае повреждения сети при производстве работ все восстановительные работы производятся за счет подрядной организации.</w:t>
      </w:r>
    </w:p>
    <w:p>
      <w:pPr>
        <w:pStyle w:val="Normal"/>
        <w:ind w:firstLine="567" w:right="65"/>
        <w:jc w:val="both"/>
        <w:rPr>
          <w:bCs/>
          <w:sz w:val="20"/>
          <w:szCs w:val="20"/>
        </w:rPr>
      </w:pPr>
      <w:r>
        <w:rPr>
          <w:bCs/>
          <w:sz w:val="20"/>
          <w:szCs w:val="20"/>
        </w:rPr>
      </w:r>
    </w:p>
    <w:p>
      <w:pPr>
        <w:pStyle w:val="Normal"/>
        <w:ind w:firstLine="709" w:right="65"/>
        <w:rPr>
          <w:b w:val="false"/>
          <w:bCs w:val="false"/>
        </w:rPr>
      </w:pPr>
      <w:r>
        <w:rPr>
          <w:b w:val="false"/>
          <w:bCs w:val="false"/>
          <w:sz w:val="20"/>
          <w:szCs w:val="20"/>
        </w:rPr>
        <w:t>4.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p>
    <w:p>
      <w:pPr>
        <w:pStyle w:val="Normal"/>
        <w:snapToGrid w:val="false"/>
        <w:ind w:firstLine="709" w:right="65"/>
        <w:jc w:val="both"/>
        <w:rPr>
          <w:rFonts w:eastAsia="Calibri"/>
          <w:iCs/>
          <w:sz w:val="20"/>
          <w:szCs w:val="20"/>
        </w:rPr>
      </w:pPr>
      <w:r>
        <w:rPr>
          <w:rFonts w:eastAsia="Calibri"/>
          <w:iCs/>
          <w:sz w:val="20"/>
          <w:szCs w:val="20"/>
        </w:rPr>
        <w:t xml:space="preserve">4.1. В соответствии с Разделом 6 Контракта. </w:t>
      </w:r>
    </w:p>
    <w:p>
      <w:pPr>
        <w:pStyle w:val="Normal"/>
        <w:snapToGrid w:val="false"/>
        <w:jc w:val="both"/>
        <w:rPr>
          <w:b/>
          <w:sz w:val="20"/>
          <w:szCs w:val="20"/>
        </w:rPr>
      </w:pPr>
      <w:r>
        <w:rPr>
          <w:b/>
          <w:sz w:val="20"/>
          <w:szCs w:val="20"/>
        </w:rPr>
      </w:r>
    </w:p>
    <w:p>
      <w:pPr>
        <w:pStyle w:val="NoSpacing"/>
        <w:jc w:val="right"/>
        <w:rPr/>
      </w:pPr>
      <w:r>
        <w:rPr/>
      </w:r>
    </w:p>
    <w:tbl>
      <w:tblPr>
        <w:tblW w:w="9014" w:type="dxa"/>
        <w:jc w:val="left"/>
        <w:tblInd w:w="-62" w:type="dxa"/>
        <w:tblLayout w:type="fixed"/>
        <w:tblCellMar>
          <w:top w:w="102" w:type="dxa"/>
          <w:left w:w="62" w:type="dxa"/>
          <w:bottom w:w="102" w:type="dxa"/>
          <w:right w:w="62" w:type="dxa"/>
        </w:tblCellMar>
      </w:tblPr>
      <w:tblGrid>
        <w:gridCol w:w="4251"/>
        <w:gridCol w:w="339"/>
        <w:gridCol w:w="4424"/>
      </w:tblGrid>
      <w:tr>
        <w:trPr/>
        <w:tc>
          <w:tcPr>
            <w:tcW w:w="4251" w:type="dxa"/>
            <w:tcBorders/>
          </w:tcPr>
          <w:p>
            <w:pPr>
              <w:pStyle w:val="ConsPlusNormal11"/>
              <w:spacing w:before="0" w:after="160"/>
              <w:jc w:val="center"/>
              <w:rPr>
                <w:rFonts w:ascii="Times New Roman" w:hAnsi="Times New Roman" w:cs="Times New Roman"/>
                <w:szCs w:val="22"/>
              </w:rPr>
            </w:pPr>
            <w:r>
              <w:rPr>
                <w:rFonts w:cs="Times New Roman" w:ascii="Times New Roman" w:hAnsi="Times New Roman"/>
                <w:szCs w:val="22"/>
              </w:rPr>
              <w:t>ПОДРЯДЧИК:</w:t>
            </w:r>
          </w:p>
        </w:tc>
        <w:tc>
          <w:tcPr>
            <w:tcW w:w="339" w:type="dxa"/>
            <w:vMerge w:val="restart"/>
            <w:tcBorders/>
          </w:tcPr>
          <w:p>
            <w:pPr>
              <w:pStyle w:val="ConsPlusNormal11"/>
              <w:snapToGrid w:val="false"/>
              <w:spacing w:before="0" w:after="160"/>
              <w:rPr>
                <w:rFonts w:ascii="Times New Roman" w:hAnsi="Times New Roman" w:cs="Times New Roman"/>
                <w:szCs w:val="22"/>
              </w:rPr>
            </w:pPr>
            <w:r>
              <w:rPr>
                <w:rFonts w:cs="Times New Roman" w:ascii="Times New Roman" w:hAnsi="Times New Roman"/>
                <w:szCs w:val="22"/>
              </w:rPr>
            </w:r>
          </w:p>
        </w:tc>
        <w:tc>
          <w:tcPr>
            <w:tcW w:w="4424" w:type="dxa"/>
            <w:tcBorders/>
          </w:tcPr>
          <w:p>
            <w:pPr>
              <w:pStyle w:val="ConsPlusNormal11"/>
              <w:spacing w:before="0" w:after="160"/>
              <w:jc w:val="center"/>
              <w:rPr>
                <w:rFonts w:ascii="Times New Roman" w:hAnsi="Times New Roman" w:cs="Times New Roman"/>
                <w:szCs w:val="22"/>
              </w:rPr>
            </w:pPr>
            <w:r>
              <w:rPr>
                <w:rFonts w:cs="Times New Roman" w:ascii="Times New Roman" w:hAnsi="Times New Roman"/>
                <w:szCs w:val="22"/>
              </w:rPr>
              <w:t>ЗАКАЗЧИК:</w:t>
            </w:r>
          </w:p>
        </w:tc>
      </w:tr>
      <w:tr>
        <w:trPr/>
        <w:tc>
          <w:tcPr>
            <w:tcW w:w="4251" w:type="dxa"/>
            <w:tcBorders>
              <w:bottom w:val="single" w:sz="4" w:space="0" w:color="000000"/>
            </w:tcBorders>
          </w:tcPr>
          <w:p>
            <w:pPr>
              <w:pStyle w:val="ConsPlusNormal11"/>
              <w:snapToGrid w:val="false"/>
              <w:spacing w:before="0" w:after="160"/>
              <w:rPr>
                <w:rFonts w:ascii="Times New Roman" w:hAnsi="Times New Roman" w:cs="Times New Roman"/>
                <w:szCs w:val="22"/>
              </w:rPr>
            </w:pPr>
            <w:r>
              <w:rPr>
                <w:rFonts w:cs="Times New Roman" w:ascii="Times New Roman" w:hAnsi="Times New Roman"/>
                <w:szCs w:val="22"/>
              </w:rPr>
            </w:r>
          </w:p>
        </w:tc>
        <w:tc>
          <w:tcPr>
            <w:tcW w:w="339" w:type="dxa"/>
            <w:vMerge w:val="continue"/>
            <w:tcBorders/>
          </w:tcPr>
          <w:p>
            <w:pPr>
              <w:pStyle w:val="Normal"/>
              <w:snapToGrid w:val="false"/>
              <w:spacing w:lineRule="auto" w:line="240" w:before="0" w:after="0"/>
              <w:rPr>
                <w:rFonts w:ascii="Times New Roman" w:hAnsi="Times New Roman" w:cs="Times New Roman"/>
                <w:szCs w:val="22"/>
              </w:rPr>
            </w:pPr>
            <w:r>
              <w:rPr>
                <w:rFonts w:cs="Times New Roman"/>
                <w:szCs w:val="22"/>
              </w:rPr>
            </w:r>
          </w:p>
        </w:tc>
        <w:tc>
          <w:tcPr>
            <w:tcW w:w="4424" w:type="dxa"/>
            <w:tcBorders>
              <w:bottom w:val="single" w:sz="4" w:space="0" w:color="000000"/>
            </w:tcBorders>
          </w:tcPr>
          <w:p>
            <w:pPr>
              <w:pStyle w:val="ConsPlusNormal11"/>
              <w:snapToGrid w:val="false"/>
              <w:spacing w:before="0" w:after="160"/>
              <w:rPr>
                <w:rFonts w:ascii="Times New Roman" w:hAnsi="Times New Roman" w:cs="Times New Roman"/>
                <w:szCs w:val="22"/>
              </w:rPr>
            </w:pPr>
            <w:r>
              <w:rPr>
                <w:rFonts w:cs="Times New Roman" w:ascii="Times New Roman" w:hAnsi="Times New Roman"/>
                <w:szCs w:val="22"/>
              </w:rPr>
            </w:r>
          </w:p>
        </w:tc>
      </w:tr>
    </w:tbl>
    <w:p>
      <w:pPr>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561" w:right="851" w:gutter="0" w:header="720" w:top="777" w:footer="720" w:bottom="998"/>
          <w:pgNumType w:fmt="decimal"/>
          <w:formProt w:val="false"/>
          <w:textDirection w:val="lrTb"/>
          <w:docGrid w:type="default" w:linePitch="100" w:charSpace="0"/>
        </w:sectPr>
      </w:pPr>
    </w:p>
    <w:p>
      <w:pPr>
        <w:pStyle w:val="NoSpacing"/>
        <w:jc w:val="right"/>
        <w:rPr/>
      </w:pPr>
      <w:r>
        <w:rPr/>
        <w:t>Приложение № 4</w:t>
      </w:r>
    </w:p>
    <w:p>
      <w:pPr>
        <w:pStyle w:val="NoSpacing"/>
        <w:jc w:val="right"/>
        <w:rPr>
          <w:bCs/>
        </w:rPr>
      </w:pPr>
      <w:r>
        <w:rPr/>
        <w:t xml:space="preserve"> </w:t>
      </w:r>
      <w:r>
        <w:rPr/>
        <w:t>к контракту №__________ от _________2026 г.</w:t>
      </w:r>
    </w:p>
    <w:p>
      <w:pPr>
        <w:pStyle w:val="NoSpacing"/>
        <w:rPr>
          <w:szCs w:val="22"/>
        </w:rPr>
      </w:pPr>
      <w:r>
        <w:rPr>
          <w:szCs w:val="22"/>
        </w:rPr>
      </w:r>
    </w:p>
    <w:p>
      <w:pPr>
        <w:pStyle w:val="Normal"/>
        <w:spacing w:lineRule="auto" w:line="240" w:before="0" w:after="0"/>
        <w:jc w:val="center"/>
        <w:rPr>
          <w:i w:val="false"/>
          <w:i w:val="false"/>
          <w:iCs w:val="false"/>
        </w:rPr>
      </w:pPr>
      <w:r>
        <w:rPr>
          <w:b/>
          <w:i w:val="false"/>
          <w:iCs w:val="false"/>
          <w:sz w:val="22"/>
        </w:rPr>
        <w:t>Спецификация</w:t>
      </w:r>
    </w:p>
    <w:tbl>
      <w:tblPr>
        <w:tblW w:w="14755" w:type="dxa"/>
        <w:jc w:val="left"/>
        <w:tblInd w:w="-62" w:type="dxa"/>
        <w:tblLayout w:type="fixed"/>
        <w:tblCellMar>
          <w:top w:w="102" w:type="dxa"/>
          <w:left w:w="62" w:type="dxa"/>
          <w:bottom w:w="102" w:type="dxa"/>
          <w:right w:w="62" w:type="dxa"/>
        </w:tblCellMar>
      </w:tblPr>
      <w:tblGrid>
        <w:gridCol w:w="750"/>
        <w:gridCol w:w="2549"/>
        <w:gridCol w:w="952"/>
        <w:gridCol w:w="339"/>
        <w:gridCol w:w="6878"/>
        <w:gridCol w:w="1691"/>
        <w:gridCol w:w="1596"/>
      </w:tblGrid>
      <w:tr>
        <w:trPr>
          <w:trHeight w:val="300" w:hRule="atLeast"/>
        </w:trPr>
        <w:tc>
          <w:tcPr>
            <w:tcW w:w="750" w:type="dxa"/>
            <w:tcBorders>
              <w:top w:val="single" w:sz="4" w:space="0" w:color="000000"/>
              <w:left w:val="single" w:sz="4" w:space="0" w:color="000000"/>
              <w:bottom w:val="single" w:sz="4" w:space="0" w:color="000000"/>
            </w:tcBorders>
            <w:vAlign w:val="center"/>
          </w:tcPr>
          <w:p>
            <w:pPr>
              <w:pStyle w:val="Style25"/>
              <w:spacing w:before="0" w:after="5"/>
              <w:ind w:hanging="0" w:right="65"/>
              <w:jc w:val="center"/>
              <w:rPr>
                <w:sz w:val="18"/>
                <w:szCs w:val="18"/>
              </w:rPr>
            </w:pPr>
            <w:r>
              <w:rPr>
                <w:sz w:val="18"/>
                <w:szCs w:val="18"/>
              </w:rPr>
              <w:t xml:space="preserve">№ </w:t>
            </w:r>
            <w:r>
              <w:rPr>
                <w:sz w:val="18"/>
                <w:szCs w:val="18"/>
              </w:rPr>
              <w:t>п/п</w:t>
            </w:r>
          </w:p>
        </w:tc>
        <w:tc>
          <w:tcPr>
            <w:tcW w:w="2549" w:type="dxa"/>
            <w:tcBorders>
              <w:top w:val="single" w:sz="4" w:space="0" w:color="000000"/>
              <w:left w:val="single" w:sz="4" w:space="0" w:color="000000"/>
              <w:bottom w:val="single" w:sz="4" w:space="0" w:color="000000"/>
            </w:tcBorders>
            <w:vAlign w:val="center"/>
          </w:tcPr>
          <w:p>
            <w:pPr>
              <w:pStyle w:val="Style25"/>
              <w:spacing w:before="0" w:after="5"/>
              <w:ind w:hanging="0" w:right="65"/>
              <w:jc w:val="center"/>
              <w:rPr>
                <w:sz w:val="18"/>
                <w:szCs w:val="18"/>
              </w:rPr>
            </w:pPr>
            <w:r>
              <w:rPr>
                <w:sz w:val="18"/>
                <w:szCs w:val="18"/>
              </w:rPr>
              <w:t>Наименование работ</w:t>
            </w:r>
          </w:p>
        </w:tc>
        <w:tc>
          <w:tcPr>
            <w:tcW w:w="8169" w:type="dxa"/>
            <w:gridSpan w:val="3"/>
            <w:tcBorders>
              <w:top w:val="single" w:sz="4" w:space="0" w:color="000000"/>
              <w:left w:val="single" w:sz="4" w:space="0" w:color="000000"/>
              <w:bottom w:val="single" w:sz="4" w:space="0" w:color="000000"/>
            </w:tcBorders>
            <w:vAlign w:val="center"/>
          </w:tcPr>
          <w:p>
            <w:pPr>
              <w:pStyle w:val="Style25"/>
              <w:spacing w:before="0" w:after="5"/>
              <w:ind w:hanging="0" w:right="65"/>
              <w:jc w:val="center"/>
              <w:rPr>
                <w:sz w:val="18"/>
                <w:szCs w:val="18"/>
              </w:rPr>
            </w:pPr>
            <w:r>
              <w:rPr>
                <w:sz w:val="18"/>
                <w:szCs w:val="18"/>
              </w:rPr>
              <w:t>Состав работ</w:t>
            </w:r>
          </w:p>
        </w:tc>
        <w:tc>
          <w:tcPr>
            <w:tcW w:w="1691" w:type="dxa"/>
            <w:tcBorders>
              <w:top w:val="single" w:sz="4" w:space="0" w:color="000000"/>
              <w:left w:val="single" w:sz="4" w:space="0" w:color="000000"/>
              <w:bottom w:val="single" w:sz="4" w:space="0" w:color="000000"/>
            </w:tcBorders>
            <w:vAlign w:val="center"/>
          </w:tcPr>
          <w:p>
            <w:pPr>
              <w:pStyle w:val="Style25"/>
              <w:spacing w:before="0" w:after="5"/>
              <w:ind w:hanging="0" w:right="65"/>
              <w:jc w:val="center"/>
              <w:rPr>
                <w:sz w:val="18"/>
                <w:szCs w:val="18"/>
              </w:rPr>
            </w:pPr>
            <w:r>
              <w:rPr>
                <w:sz w:val="18"/>
                <w:szCs w:val="18"/>
              </w:rPr>
              <w:t>Ед. измерения</w:t>
            </w:r>
          </w:p>
        </w:tc>
        <w:tc>
          <w:tcPr>
            <w:tcW w:w="1596" w:type="dxa"/>
            <w:tcBorders>
              <w:top w:val="single" w:sz="4" w:space="0" w:color="000000"/>
              <w:left w:val="single" w:sz="4" w:space="0" w:color="000000"/>
              <w:bottom w:val="single" w:sz="4" w:space="0" w:color="000000"/>
              <w:right w:val="single" w:sz="4" w:space="0" w:color="000000"/>
            </w:tcBorders>
            <w:vAlign w:val="center"/>
          </w:tcPr>
          <w:p>
            <w:pPr>
              <w:pStyle w:val="Style25"/>
              <w:spacing w:before="0" w:after="5"/>
              <w:ind w:hanging="0" w:right="65"/>
              <w:jc w:val="center"/>
              <w:rPr>
                <w:sz w:val="18"/>
                <w:szCs w:val="18"/>
              </w:rPr>
            </w:pPr>
            <w:r>
              <w:rPr>
                <w:sz w:val="18"/>
                <w:szCs w:val="18"/>
              </w:rPr>
              <w:t>Цена, руб.</w:t>
            </w:r>
          </w:p>
        </w:tc>
      </w:tr>
      <w:tr>
        <w:trPr/>
        <w:tc>
          <w:tcPr>
            <w:tcW w:w="750" w:type="dxa"/>
            <w:tcBorders>
              <w:left w:val="single" w:sz="4" w:space="0" w:color="000000"/>
              <w:bottom w:val="single" w:sz="4" w:space="0" w:color="000000"/>
            </w:tcBorders>
            <w:vAlign w:val="center"/>
          </w:tcPr>
          <w:p>
            <w:pPr>
              <w:pStyle w:val="Style25"/>
              <w:spacing w:before="0" w:after="5"/>
              <w:ind w:hanging="0" w:right="65"/>
              <w:jc w:val="center"/>
              <w:rPr>
                <w:sz w:val="18"/>
                <w:szCs w:val="18"/>
              </w:rPr>
            </w:pPr>
            <w:r>
              <w:rPr>
                <w:sz w:val="18"/>
                <w:szCs w:val="18"/>
              </w:rPr>
              <w:t>1.</w:t>
            </w:r>
          </w:p>
        </w:tc>
        <w:tc>
          <w:tcPr>
            <w:tcW w:w="2549" w:type="dxa"/>
            <w:tcBorders>
              <w:left w:val="single" w:sz="4" w:space="0" w:color="000000"/>
              <w:bottom w:val="single" w:sz="4" w:space="0" w:color="000000"/>
            </w:tcBorders>
          </w:tcPr>
          <w:p>
            <w:pPr>
              <w:pStyle w:val="Style25"/>
              <w:widowControl/>
              <w:spacing w:before="0" w:after="5"/>
              <w:ind w:hanging="0" w:left="0" w:right="0"/>
              <w:jc w:val="center"/>
              <w:rPr>
                <w:rFonts w:ascii="Times New Roman" w:hAnsi="Times New Roman" w:eastAsia="Times New Roman" w:cs="Times New Roman"/>
                <w:color w:val="000000"/>
                <w:sz w:val="18"/>
                <w:szCs w:val="18"/>
                <w:lang w:eastAsia="ru-RU"/>
              </w:rPr>
            </w:pPr>
            <w:r>
              <w:rPr>
                <w:rFonts w:eastAsia="Times New Roman" w:cs="Times New Roman"/>
                <w:color w:val="000000"/>
                <w:sz w:val="18"/>
                <w:szCs w:val="18"/>
                <w:lang w:eastAsia="ru-RU"/>
              </w:rPr>
              <w:t>Выполнение работ по разработке проектной документации по организации электроснабжения с подключением от ГРЩ в рамках капитального ремонта</w:t>
            </w:r>
          </w:p>
        </w:tc>
        <w:tc>
          <w:tcPr>
            <w:tcW w:w="8169" w:type="dxa"/>
            <w:gridSpan w:val="3"/>
            <w:tcBorders>
              <w:left w:val="single" w:sz="4" w:space="0" w:color="000000"/>
              <w:bottom w:val="single" w:sz="4" w:space="0" w:color="000000"/>
            </w:tcBorders>
            <w:vAlign w:val="center"/>
          </w:tcPr>
          <w:p>
            <w:pPr>
              <w:pStyle w:val="Style25"/>
              <w:spacing w:before="0" w:after="5"/>
              <w:ind w:hanging="0" w:right="65"/>
              <w:rPr>
                <w:sz w:val="18"/>
                <w:szCs w:val="18"/>
              </w:rPr>
            </w:pPr>
            <w:r>
              <w:rPr>
                <w:sz w:val="18"/>
                <w:szCs w:val="18"/>
              </w:rPr>
              <w:t>Подготовка и согласование проектной документации</w:t>
            </w:r>
          </w:p>
        </w:tc>
        <w:tc>
          <w:tcPr>
            <w:tcW w:w="1691" w:type="dxa"/>
            <w:tcBorders>
              <w:left w:val="single" w:sz="4" w:space="0" w:color="000000"/>
              <w:bottom w:val="single" w:sz="4" w:space="0" w:color="000000"/>
            </w:tcBorders>
            <w:vAlign w:val="center"/>
          </w:tcPr>
          <w:p>
            <w:pPr>
              <w:pStyle w:val="Style25"/>
              <w:spacing w:before="0" w:after="5"/>
              <w:ind w:hanging="0" w:right="65"/>
              <w:jc w:val="center"/>
              <w:rPr>
                <w:sz w:val="18"/>
                <w:szCs w:val="18"/>
              </w:rPr>
            </w:pPr>
            <w:r>
              <w:rPr>
                <w:sz w:val="18"/>
                <w:szCs w:val="18"/>
              </w:rPr>
              <w:t>Усл. единица</w:t>
            </w:r>
          </w:p>
        </w:tc>
        <w:tc>
          <w:tcPr>
            <w:tcW w:w="1596" w:type="dxa"/>
            <w:tcBorders>
              <w:left w:val="single" w:sz="4" w:space="0" w:color="000000"/>
              <w:bottom w:val="single" w:sz="4" w:space="0" w:color="000000"/>
              <w:right w:val="single" w:sz="4" w:space="0" w:color="000000"/>
            </w:tcBorders>
          </w:tcPr>
          <w:p>
            <w:pPr>
              <w:pStyle w:val="Style25"/>
              <w:spacing w:before="0" w:after="5"/>
              <w:rPr>
                <w:sz w:val="18"/>
                <w:szCs w:val="18"/>
              </w:rPr>
            </w:pPr>
            <w:r>
              <w:rPr>
                <w:sz w:val="18"/>
                <w:szCs w:val="18"/>
              </w:rPr>
            </w:r>
          </w:p>
        </w:tc>
      </w:tr>
      <w:tr>
        <w:trPr/>
        <w:tc>
          <w:tcPr>
            <w:tcW w:w="750" w:type="dxa"/>
            <w:vMerge w:val="restart"/>
            <w:tcBorders>
              <w:left w:val="single" w:sz="4" w:space="0" w:color="000000"/>
              <w:bottom w:val="single" w:sz="4" w:space="0" w:color="000000"/>
            </w:tcBorders>
            <w:vAlign w:val="center"/>
          </w:tcPr>
          <w:p>
            <w:pPr>
              <w:pStyle w:val="Style25"/>
              <w:ind w:hanging="0" w:right="65"/>
              <w:jc w:val="center"/>
              <w:rPr>
                <w:sz w:val="18"/>
                <w:szCs w:val="18"/>
              </w:rPr>
            </w:pPr>
            <w:r>
              <w:rPr>
                <w:sz w:val="18"/>
                <w:szCs w:val="18"/>
              </w:rPr>
            </w:r>
          </w:p>
          <w:p>
            <w:pPr>
              <w:pStyle w:val="Style25"/>
              <w:spacing w:before="0" w:after="5"/>
              <w:ind w:hanging="0" w:right="65"/>
              <w:jc w:val="center"/>
              <w:rPr>
                <w:sz w:val="18"/>
                <w:szCs w:val="18"/>
              </w:rPr>
            </w:pPr>
            <w:r>
              <w:rPr>
                <w:sz w:val="18"/>
                <w:szCs w:val="18"/>
              </w:rPr>
              <w:t>2.</w:t>
            </w:r>
          </w:p>
        </w:tc>
        <w:tc>
          <w:tcPr>
            <w:tcW w:w="2549" w:type="dxa"/>
            <w:vMerge w:val="restart"/>
            <w:tcBorders>
              <w:left w:val="single" w:sz="4" w:space="0" w:color="000000"/>
              <w:bottom w:val="single" w:sz="4" w:space="0" w:color="000000"/>
            </w:tcBorders>
            <w:vAlign w:val="center"/>
          </w:tcPr>
          <w:p>
            <w:pPr>
              <w:pStyle w:val="Style25"/>
              <w:widowControl/>
              <w:spacing w:before="0" w:after="5"/>
              <w:ind w:hanging="0" w:left="0" w:right="0"/>
              <w:jc w:val="center"/>
              <w:rPr>
                <w:rFonts w:ascii="Times New Roman" w:hAnsi="Times New Roman" w:eastAsia="Times New Roman" w:cs="Times New Roman"/>
                <w:color w:val="000000"/>
                <w:sz w:val="18"/>
                <w:szCs w:val="18"/>
                <w:lang w:eastAsia="ru-RU"/>
              </w:rPr>
            </w:pPr>
            <w:r>
              <w:rPr>
                <w:rFonts w:eastAsia="Times New Roman" w:cs="Times New Roman"/>
                <w:color w:val="000000"/>
                <w:sz w:val="18"/>
                <w:szCs w:val="18"/>
                <w:lang w:eastAsia="ru-RU"/>
              </w:rPr>
              <w:t>Выполнение работ по монтажу электромагистрали от ГРЩ до энергопринимающих устройств в рамках проведения капитального ремонта зданий</w:t>
            </w:r>
          </w:p>
        </w:tc>
        <w:tc>
          <w:tcPr>
            <w:tcW w:w="8169" w:type="dxa"/>
            <w:gridSpan w:val="3"/>
            <w:tcBorders>
              <w:left w:val="single" w:sz="4" w:space="0" w:color="000000"/>
              <w:bottom w:val="single" w:sz="4" w:space="0" w:color="000000"/>
            </w:tcBorders>
          </w:tcPr>
          <w:p>
            <w:pPr>
              <w:pStyle w:val="Style25"/>
              <w:ind w:hanging="0" w:right="65"/>
              <w:rPr>
                <w:sz w:val="18"/>
                <w:szCs w:val="18"/>
              </w:rPr>
            </w:pPr>
            <w:r>
              <w:rPr>
                <w:sz w:val="18"/>
                <w:szCs w:val="18"/>
              </w:rPr>
              <w:t>Строительно монтажные работы:</w:t>
            </w:r>
          </w:p>
          <w:p>
            <w:pPr>
              <w:pStyle w:val="Style25"/>
              <w:ind w:hanging="0" w:right="65"/>
              <w:rPr>
                <w:sz w:val="18"/>
                <w:szCs w:val="18"/>
              </w:rPr>
            </w:pPr>
            <w:r>
              <w:rPr>
                <w:sz w:val="18"/>
                <w:szCs w:val="18"/>
              </w:rPr>
              <w:t>- Демонтаж ШУ</w:t>
            </w:r>
          </w:p>
          <w:p>
            <w:pPr>
              <w:pStyle w:val="Style25"/>
              <w:ind w:hanging="0" w:right="65"/>
              <w:rPr>
                <w:sz w:val="18"/>
                <w:szCs w:val="18"/>
              </w:rPr>
            </w:pPr>
            <w:r>
              <w:rPr>
                <w:sz w:val="18"/>
                <w:szCs w:val="18"/>
              </w:rPr>
              <w:t>- Монтаж ШУ</w:t>
            </w:r>
          </w:p>
          <w:p>
            <w:pPr>
              <w:pStyle w:val="Style25"/>
              <w:ind w:hanging="0" w:right="65"/>
              <w:rPr>
                <w:sz w:val="18"/>
                <w:szCs w:val="18"/>
              </w:rPr>
            </w:pPr>
            <w:r>
              <w:rPr>
                <w:sz w:val="18"/>
                <w:szCs w:val="18"/>
              </w:rPr>
              <w:t>- Монтаж кабель канала</w:t>
            </w:r>
          </w:p>
          <w:p>
            <w:pPr>
              <w:pStyle w:val="Style25"/>
              <w:ind w:hanging="0" w:right="65"/>
              <w:rPr>
                <w:sz w:val="18"/>
                <w:szCs w:val="18"/>
              </w:rPr>
            </w:pPr>
            <w:r>
              <w:rPr>
                <w:sz w:val="18"/>
                <w:szCs w:val="18"/>
              </w:rPr>
              <w:t>- Монтаж концевой муфты</w:t>
            </w:r>
          </w:p>
          <w:p>
            <w:pPr>
              <w:pStyle w:val="Style25"/>
              <w:ind w:hanging="0" w:right="65"/>
              <w:rPr>
                <w:sz w:val="18"/>
                <w:szCs w:val="18"/>
              </w:rPr>
            </w:pPr>
            <w:r>
              <w:rPr>
                <w:sz w:val="18"/>
                <w:szCs w:val="18"/>
              </w:rPr>
              <w:t>- Прокладка кабеля в кабель-канале и по стене</w:t>
            </w:r>
          </w:p>
          <w:p>
            <w:pPr>
              <w:pStyle w:val="Style25"/>
              <w:ind w:hanging="0" w:right="65"/>
              <w:rPr>
                <w:sz w:val="18"/>
                <w:szCs w:val="18"/>
              </w:rPr>
            </w:pPr>
            <w:r>
              <w:rPr>
                <w:sz w:val="18"/>
                <w:szCs w:val="18"/>
              </w:rPr>
              <w:t>- Бурение отверстия в кирпичной/бетонной стене</w:t>
            </w:r>
          </w:p>
          <w:p>
            <w:pPr>
              <w:pStyle w:val="Style25"/>
              <w:ind w:hanging="0" w:right="65"/>
              <w:rPr>
                <w:sz w:val="18"/>
                <w:szCs w:val="18"/>
              </w:rPr>
            </w:pPr>
            <w:r>
              <w:rPr>
                <w:sz w:val="18"/>
                <w:szCs w:val="18"/>
              </w:rPr>
              <w:t>- Установка закладных деталей</w:t>
            </w:r>
          </w:p>
          <w:p>
            <w:pPr>
              <w:pStyle w:val="Style25"/>
              <w:ind w:hanging="0" w:right="65"/>
              <w:rPr>
                <w:sz w:val="18"/>
                <w:szCs w:val="18"/>
              </w:rPr>
            </w:pPr>
            <w:r>
              <w:rPr>
                <w:sz w:val="18"/>
                <w:szCs w:val="18"/>
              </w:rPr>
              <w:t>- Герметизация кабельных проходов</w:t>
            </w:r>
          </w:p>
          <w:p>
            <w:pPr>
              <w:pStyle w:val="Style25"/>
              <w:spacing w:before="0" w:after="5"/>
              <w:ind w:hanging="0" w:right="65"/>
              <w:rPr>
                <w:sz w:val="18"/>
                <w:szCs w:val="18"/>
              </w:rPr>
            </w:pPr>
            <w:r>
              <w:rPr>
                <w:sz w:val="18"/>
                <w:szCs w:val="18"/>
              </w:rPr>
              <w:t>- Работа в ВРУ</w:t>
            </w:r>
          </w:p>
        </w:tc>
        <w:tc>
          <w:tcPr>
            <w:tcW w:w="1691" w:type="dxa"/>
            <w:vMerge w:val="restart"/>
            <w:tcBorders>
              <w:left w:val="single" w:sz="4" w:space="0" w:color="000000"/>
              <w:bottom w:val="single" w:sz="4" w:space="0" w:color="000000"/>
            </w:tcBorders>
            <w:vAlign w:val="center"/>
          </w:tcPr>
          <w:p>
            <w:pPr>
              <w:pStyle w:val="Style25"/>
              <w:spacing w:before="0" w:after="5"/>
              <w:ind w:hanging="0" w:right="65"/>
              <w:jc w:val="center"/>
              <w:rPr>
                <w:sz w:val="18"/>
                <w:szCs w:val="18"/>
              </w:rPr>
            </w:pPr>
            <w:r>
              <w:rPr>
                <w:sz w:val="18"/>
                <w:szCs w:val="18"/>
              </w:rPr>
              <w:t>Усл. единица</w:t>
            </w:r>
          </w:p>
        </w:tc>
        <w:tc>
          <w:tcPr>
            <w:tcW w:w="1596" w:type="dxa"/>
            <w:vMerge w:val="restart"/>
            <w:tcBorders>
              <w:left w:val="single" w:sz="4" w:space="0" w:color="000000"/>
              <w:bottom w:val="single" w:sz="4" w:space="0" w:color="000000"/>
              <w:right w:val="single" w:sz="4" w:space="0" w:color="000000"/>
            </w:tcBorders>
          </w:tcPr>
          <w:p>
            <w:pPr>
              <w:pStyle w:val="Style25"/>
              <w:spacing w:before="0" w:after="5"/>
              <w:rPr>
                <w:sz w:val="18"/>
                <w:szCs w:val="18"/>
              </w:rPr>
            </w:pPr>
            <w:r>
              <w:rPr>
                <w:sz w:val="18"/>
                <w:szCs w:val="18"/>
              </w:rPr>
            </w:r>
          </w:p>
        </w:tc>
      </w:tr>
      <w:tr>
        <w:trPr/>
        <w:tc>
          <w:tcPr>
            <w:tcW w:w="750" w:type="dxa"/>
            <w:vMerge w:val="continue"/>
            <w:tcBorders>
              <w:left w:val="single" w:sz="4" w:space="0" w:color="000000"/>
              <w:bottom w:val="single" w:sz="4" w:space="0" w:color="000000"/>
            </w:tcBorders>
            <w:vAlign w:val="center"/>
          </w:tcPr>
          <w:p>
            <w:pPr>
              <w:pStyle w:val="Style25"/>
              <w:spacing w:before="0" w:after="5"/>
              <w:ind w:hanging="0" w:right="65"/>
              <w:jc w:val="center"/>
              <w:rPr>
                <w:sz w:val="18"/>
                <w:szCs w:val="18"/>
              </w:rPr>
            </w:pPr>
            <w:r>
              <w:rPr>
                <w:sz w:val="18"/>
                <w:szCs w:val="18"/>
              </w:rPr>
            </w:r>
          </w:p>
        </w:tc>
        <w:tc>
          <w:tcPr>
            <w:tcW w:w="2549" w:type="dxa"/>
            <w:vMerge w:val="continue"/>
            <w:tcBorders>
              <w:left w:val="single" w:sz="4" w:space="0" w:color="000000"/>
              <w:bottom w:val="single" w:sz="4" w:space="0" w:color="000000"/>
            </w:tcBorders>
          </w:tcPr>
          <w:p>
            <w:pPr>
              <w:pStyle w:val="Style25"/>
              <w:spacing w:before="0" w:after="5"/>
              <w:rPr>
                <w:sz w:val="18"/>
                <w:szCs w:val="18"/>
              </w:rPr>
            </w:pPr>
            <w:r>
              <w:rPr>
                <w:sz w:val="18"/>
                <w:szCs w:val="18"/>
              </w:rPr>
            </w:r>
          </w:p>
        </w:tc>
        <w:tc>
          <w:tcPr>
            <w:tcW w:w="8169" w:type="dxa"/>
            <w:gridSpan w:val="3"/>
            <w:tcBorders>
              <w:left w:val="single" w:sz="4" w:space="0" w:color="000000"/>
              <w:bottom w:val="single" w:sz="4" w:space="0" w:color="000000"/>
            </w:tcBorders>
          </w:tcPr>
          <w:p>
            <w:pPr>
              <w:pStyle w:val="Style25"/>
              <w:ind w:hanging="0" w:right="65"/>
              <w:rPr>
                <w:sz w:val="18"/>
                <w:szCs w:val="18"/>
              </w:rPr>
            </w:pPr>
            <w:r>
              <w:rPr>
                <w:sz w:val="18"/>
                <w:szCs w:val="18"/>
              </w:rPr>
              <w:t>Приемо-сдаточные работы, испытания:</w:t>
            </w:r>
          </w:p>
          <w:p>
            <w:pPr>
              <w:pStyle w:val="Style25"/>
              <w:ind w:hanging="0" w:right="65"/>
              <w:rPr>
                <w:sz w:val="18"/>
                <w:szCs w:val="18"/>
              </w:rPr>
            </w:pPr>
            <w:r>
              <w:rPr>
                <w:sz w:val="18"/>
                <w:szCs w:val="18"/>
              </w:rPr>
              <w:t>- Подготовка исполнительной документации</w:t>
            </w:r>
          </w:p>
          <w:p>
            <w:pPr>
              <w:pStyle w:val="Style25"/>
              <w:ind w:hanging="0" w:right="65"/>
              <w:rPr>
                <w:sz w:val="18"/>
                <w:szCs w:val="18"/>
              </w:rPr>
            </w:pPr>
            <w:r>
              <w:rPr>
                <w:sz w:val="18"/>
                <w:szCs w:val="18"/>
              </w:rPr>
              <w:t>- Фазировка кабельной линии</w:t>
            </w:r>
          </w:p>
          <w:p>
            <w:pPr>
              <w:pStyle w:val="Style25"/>
              <w:spacing w:before="0" w:after="5"/>
              <w:ind w:hanging="0" w:right="65"/>
              <w:rPr>
                <w:sz w:val="18"/>
                <w:szCs w:val="18"/>
              </w:rPr>
            </w:pPr>
            <w:r>
              <w:rPr>
                <w:sz w:val="18"/>
                <w:szCs w:val="18"/>
              </w:rPr>
              <w:t>- Измерение сопротивления изоляции КЛ -0,4 кВ</w:t>
            </w:r>
          </w:p>
        </w:tc>
        <w:tc>
          <w:tcPr>
            <w:tcW w:w="1691" w:type="dxa"/>
            <w:vMerge w:val="continue"/>
            <w:tcBorders>
              <w:left w:val="single" w:sz="4" w:space="0" w:color="000000"/>
              <w:bottom w:val="single" w:sz="4" w:space="0" w:color="000000"/>
            </w:tcBorders>
          </w:tcPr>
          <w:p>
            <w:pPr>
              <w:pStyle w:val="Style25"/>
              <w:spacing w:before="0" w:after="5"/>
              <w:rPr>
                <w:sz w:val="18"/>
                <w:szCs w:val="18"/>
              </w:rPr>
            </w:pPr>
            <w:r>
              <w:rPr>
                <w:sz w:val="18"/>
                <w:szCs w:val="18"/>
              </w:rPr>
            </w:r>
          </w:p>
        </w:tc>
        <w:tc>
          <w:tcPr>
            <w:tcW w:w="1596" w:type="dxa"/>
            <w:vMerge w:val="continue"/>
            <w:tcBorders>
              <w:left w:val="single" w:sz="4" w:space="0" w:color="000000"/>
              <w:bottom w:val="single" w:sz="4" w:space="0" w:color="000000"/>
              <w:right w:val="single" w:sz="4" w:space="0" w:color="000000"/>
            </w:tcBorders>
          </w:tcPr>
          <w:p>
            <w:pPr>
              <w:pStyle w:val="Style25"/>
              <w:spacing w:before="0" w:after="5"/>
              <w:rPr>
                <w:sz w:val="18"/>
                <w:szCs w:val="18"/>
              </w:rPr>
            </w:pPr>
            <w:r>
              <w:rPr>
                <w:sz w:val="18"/>
                <w:szCs w:val="18"/>
              </w:rPr>
            </w:r>
          </w:p>
        </w:tc>
      </w:tr>
      <w:tr>
        <w:trPr/>
        <w:tc>
          <w:tcPr>
            <w:tcW w:w="750" w:type="dxa"/>
            <w:vMerge w:val="continue"/>
            <w:tcBorders>
              <w:left w:val="single" w:sz="4" w:space="0" w:color="000000"/>
              <w:bottom w:val="single" w:sz="4" w:space="0" w:color="000000"/>
            </w:tcBorders>
            <w:vAlign w:val="center"/>
          </w:tcPr>
          <w:p>
            <w:pPr>
              <w:pStyle w:val="Style25"/>
              <w:spacing w:before="0" w:after="5"/>
              <w:jc w:val="center"/>
              <w:rPr>
                <w:sz w:val="18"/>
                <w:szCs w:val="18"/>
              </w:rPr>
            </w:pPr>
            <w:r>
              <w:rPr>
                <w:sz w:val="18"/>
                <w:szCs w:val="18"/>
              </w:rPr>
            </w:r>
          </w:p>
        </w:tc>
        <w:tc>
          <w:tcPr>
            <w:tcW w:w="2549" w:type="dxa"/>
            <w:vMerge w:val="continue"/>
            <w:tcBorders>
              <w:left w:val="single" w:sz="4" w:space="0" w:color="000000"/>
              <w:bottom w:val="single" w:sz="4" w:space="0" w:color="000000"/>
            </w:tcBorders>
          </w:tcPr>
          <w:p>
            <w:pPr>
              <w:pStyle w:val="Style25"/>
              <w:spacing w:before="0" w:after="5"/>
              <w:rPr>
                <w:sz w:val="18"/>
                <w:szCs w:val="18"/>
              </w:rPr>
            </w:pPr>
            <w:r>
              <w:rPr>
                <w:sz w:val="18"/>
                <w:szCs w:val="18"/>
              </w:rPr>
            </w:r>
          </w:p>
        </w:tc>
        <w:tc>
          <w:tcPr>
            <w:tcW w:w="8169" w:type="dxa"/>
            <w:gridSpan w:val="3"/>
            <w:tcBorders>
              <w:left w:val="single" w:sz="4" w:space="0" w:color="000000"/>
              <w:bottom w:val="single" w:sz="4" w:space="0" w:color="000000"/>
            </w:tcBorders>
          </w:tcPr>
          <w:p>
            <w:pPr>
              <w:pStyle w:val="Style25"/>
              <w:ind w:hanging="0" w:right="65"/>
              <w:rPr>
                <w:sz w:val="18"/>
                <w:szCs w:val="18"/>
              </w:rPr>
            </w:pPr>
            <w:r>
              <w:rPr>
                <w:sz w:val="18"/>
                <w:szCs w:val="18"/>
              </w:rPr>
              <w:t>Материалы Подрядчика используемые для выполнения работ:</w:t>
            </w:r>
          </w:p>
          <w:p>
            <w:pPr>
              <w:pStyle w:val="Style25"/>
              <w:ind w:hanging="0" w:right="65"/>
              <w:rPr>
                <w:sz w:val="18"/>
                <w:szCs w:val="18"/>
              </w:rPr>
            </w:pPr>
            <w:r>
              <w:rPr>
                <w:sz w:val="18"/>
                <w:szCs w:val="18"/>
              </w:rPr>
              <w:t>- Кабель АВВГ 4х50.0 0.66 кВ МС</w:t>
            </w:r>
          </w:p>
          <w:p>
            <w:pPr>
              <w:pStyle w:val="Style25"/>
              <w:ind w:hanging="0" w:right="65"/>
              <w:rPr>
                <w:sz w:val="18"/>
                <w:szCs w:val="18"/>
              </w:rPr>
            </w:pPr>
            <w:r>
              <w:rPr>
                <w:sz w:val="18"/>
                <w:szCs w:val="18"/>
              </w:rPr>
              <w:t>- Муфта концевая 4ПКВНТпН-Б-я-35...50</w:t>
            </w:r>
          </w:p>
          <w:p>
            <w:pPr>
              <w:pStyle w:val="Style25"/>
              <w:ind w:hanging="0" w:right="65"/>
              <w:rPr>
                <w:sz w:val="18"/>
                <w:szCs w:val="18"/>
              </w:rPr>
            </w:pPr>
            <w:r>
              <w:rPr>
                <w:sz w:val="18"/>
                <w:szCs w:val="18"/>
              </w:rPr>
              <w:t>- Кабель-канал магистральный 100х60 ЭЛЕКОР (8м)</w:t>
            </w:r>
          </w:p>
          <w:p>
            <w:pPr>
              <w:pStyle w:val="Style25"/>
              <w:ind w:hanging="0" w:right="65"/>
              <w:rPr>
                <w:sz w:val="18"/>
                <w:szCs w:val="18"/>
              </w:rPr>
            </w:pPr>
            <w:r>
              <w:rPr>
                <w:sz w:val="18"/>
                <w:szCs w:val="18"/>
              </w:rPr>
              <w:t>- Скоба металлическая 32мм однолапковая оцинкованная</w:t>
            </w:r>
          </w:p>
          <w:p>
            <w:pPr>
              <w:pStyle w:val="Style25"/>
              <w:ind w:hanging="0" w:right="65"/>
              <w:rPr>
                <w:sz w:val="18"/>
                <w:szCs w:val="18"/>
              </w:rPr>
            </w:pPr>
            <w:r>
              <w:rPr>
                <w:sz w:val="18"/>
                <w:szCs w:val="18"/>
              </w:rPr>
              <w:t>- Анкер клиновой 8х80 оцинкованный</w:t>
            </w:r>
          </w:p>
          <w:p>
            <w:pPr>
              <w:pStyle w:val="Style25"/>
              <w:ind w:hanging="0" w:right="65"/>
              <w:rPr>
                <w:sz w:val="18"/>
                <w:szCs w:val="18"/>
              </w:rPr>
            </w:pPr>
            <w:r>
              <w:rPr>
                <w:sz w:val="18"/>
                <w:szCs w:val="18"/>
              </w:rPr>
              <w:t>- Труба стальная электросварная 76х3 мм 3 м</w:t>
            </w:r>
          </w:p>
          <w:p>
            <w:pPr>
              <w:pStyle w:val="Style25"/>
              <w:ind w:hanging="0" w:right="65"/>
              <w:rPr>
                <w:sz w:val="18"/>
                <w:szCs w:val="18"/>
              </w:rPr>
            </w:pPr>
            <w:r>
              <w:rPr>
                <w:sz w:val="18"/>
                <w:szCs w:val="18"/>
              </w:rPr>
              <w:t>- Стяжка нейлоновая 2.5 х 100 белый</w:t>
            </w:r>
          </w:p>
          <w:p>
            <w:pPr>
              <w:pStyle w:val="Style25"/>
              <w:ind w:hanging="0" w:right="65"/>
              <w:rPr>
                <w:sz w:val="18"/>
                <w:szCs w:val="18"/>
              </w:rPr>
            </w:pPr>
            <w:r>
              <w:rPr>
                <w:sz w:val="18"/>
                <w:szCs w:val="18"/>
              </w:rPr>
              <w:t>- Бирка кабельная маркировочная У- 134</w:t>
            </w:r>
          </w:p>
          <w:p>
            <w:pPr>
              <w:pStyle w:val="Style25"/>
              <w:spacing w:before="0" w:after="5"/>
              <w:ind w:hanging="0" w:right="65"/>
              <w:rPr>
                <w:sz w:val="18"/>
                <w:szCs w:val="18"/>
              </w:rPr>
            </w:pPr>
            <w:r>
              <w:rPr>
                <w:sz w:val="18"/>
                <w:szCs w:val="18"/>
              </w:rPr>
              <w:t>- Пена монтажная огнеупорная  (Противопожарная)</w:t>
            </w:r>
          </w:p>
        </w:tc>
        <w:tc>
          <w:tcPr>
            <w:tcW w:w="1691" w:type="dxa"/>
            <w:vMerge w:val="continue"/>
            <w:tcBorders>
              <w:left w:val="single" w:sz="4" w:space="0" w:color="000000"/>
              <w:bottom w:val="single" w:sz="4" w:space="0" w:color="000000"/>
            </w:tcBorders>
          </w:tcPr>
          <w:p>
            <w:pPr>
              <w:pStyle w:val="Style25"/>
              <w:spacing w:before="0" w:after="5"/>
              <w:rPr>
                <w:sz w:val="18"/>
                <w:szCs w:val="18"/>
              </w:rPr>
            </w:pPr>
            <w:r>
              <w:rPr>
                <w:sz w:val="18"/>
                <w:szCs w:val="18"/>
              </w:rPr>
            </w:r>
          </w:p>
        </w:tc>
        <w:tc>
          <w:tcPr>
            <w:tcW w:w="1596" w:type="dxa"/>
            <w:vMerge w:val="continue"/>
            <w:tcBorders>
              <w:left w:val="single" w:sz="4" w:space="0" w:color="000000"/>
              <w:bottom w:val="single" w:sz="4" w:space="0" w:color="000000"/>
              <w:right w:val="single" w:sz="4" w:space="0" w:color="000000"/>
            </w:tcBorders>
          </w:tcPr>
          <w:p>
            <w:pPr>
              <w:pStyle w:val="Style25"/>
              <w:spacing w:before="0" w:after="5"/>
              <w:rPr>
                <w:sz w:val="18"/>
                <w:szCs w:val="18"/>
              </w:rPr>
            </w:pPr>
            <w:r>
              <w:rPr>
                <w:sz w:val="18"/>
                <w:szCs w:val="18"/>
              </w:rPr>
            </w:r>
          </w:p>
        </w:tc>
      </w:tr>
      <w:tr>
        <w:trPr/>
        <w:tc>
          <w:tcPr>
            <w:tcW w:w="13159" w:type="dxa"/>
            <w:gridSpan w:val="6"/>
            <w:tcBorders>
              <w:left w:val="single" w:sz="4" w:space="0" w:color="000000"/>
              <w:bottom w:val="single" w:sz="4" w:space="0" w:color="000000"/>
            </w:tcBorders>
            <w:vAlign w:val="center"/>
          </w:tcPr>
          <w:p>
            <w:pPr>
              <w:pStyle w:val="Style25"/>
              <w:spacing w:before="0" w:after="5"/>
              <w:jc w:val="center"/>
              <w:rPr>
                <w:sz w:val="18"/>
                <w:szCs w:val="18"/>
              </w:rPr>
            </w:pPr>
            <w:r>
              <w:rPr>
                <w:sz w:val="18"/>
                <w:szCs w:val="18"/>
              </w:rPr>
              <w:t>ИТОГО:</w:t>
            </w:r>
          </w:p>
        </w:tc>
        <w:tc>
          <w:tcPr>
            <w:tcW w:w="1596" w:type="dxa"/>
            <w:tcBorders>
              <w:left w:val="single" w:sz="4" w:space="0" w:color="000000"/>
              <w:bottom w:val="single" w:sz="4" w:space="0" w:color="000000"/>
              <w:right w:val="single" w:sz="4" w:space="0" w:color="000000"/>
            </w:tcBorders>
          </w:tcPr>
          <w:p>
            <w:pPr>
              <w:pStyle w:val="Style25"/>
              <w:spacing w:before="0" w:after="5"/>
              <w:rPr>
                <w:sz w:val="18"/>
                <w:szCs w:val="18"/>
              </w:rPr>
            </w:pPr>
            <w:r>
              <w:rPr>
                <w:sz w:val="18"/>
                <w:szCs w:val="18"/>
              </w:rPr>
            </w:r>
          </w:p>
        </w:tc>
      </w:tr>
      <w:tr>
        <w:trPr/>
        <w:tc>
          <w:tcPr>
            <w:tcW w:w="4251" w:type="dxa"/>
            <w:gridSpan w:val="3"/>
            <w:tcBorders>
              <w:bottom w:val="single" w:sz="4" w:space="0" w:color="000000"/>
            </w:tcBorders>
          </w:tcPr>
          <w:p>
            <w:pPr>
              <w:pStyle w:val="ConsPlusNormal11"/>
              <w:spacing w:before="0" w:after="160"/>
              <w:jc w:val="center"/>
              <w:rPr>
                <w:rFonts w:ascii="Times New Roman" w:hAnsi="Times New Roman" w:cs="Times New Roman"/>
                <w:szCs w:val="22"/>
              </w:rPr>
            </w:pPr>
            <w:r>
              <w:rPr>
                <w:rFonts w:cs="Times New Roman" w:ascii="Times New Roman" w:hAnsi="Times New Roman"/>
                <w:szCs w:val="22"/>
              </w:rPr>
              <w:t>ПОДРЯДЧИК:</w:t>
            </w:r>
          </w:p>
        </w:tc>
        <w:tc>
          <w:tcPr>
            <w:tcW w:w="339" w:type="dxa"/>
            <w:tcBorders/>
          </w:tcPr>
          <w:p>
            <w:pPr>
              <w:pStyle w:val="ConsPlusNormal11"/>
              <w:snapToGrid w:val="false"/>
              <w:spacing w:before="0" w:after="160"/>
              <w:rPr>
                <w:rFonts w:ascii="Times New Roman" w:hAnsi="Times New Roman" w:cs="Times New Roman"/>
                <w:szCs w:val="22"/>
              </w:rPr>
            </w:pPr>
            <w:r>
              <w:rPr>
                <w:rFonts w:cs="Times New Roman" w:ascii="Times New Roman" w:hAnsi="Times New Roman"/>
                <w:szCs w:val="22"/>
              </w:rPr>
            </w:r>
          </w:p>
        </w:tc>
        <w:tc>
          <w:tcPr>
            <w:tcW w:w="10165" w:type="dxa"/>
            <w:gridSpan w:val="3"/>
            <w:tcBorders>
              <w:bottom w:val="single" w:sz="4" w:space="0" w:color="000000"/>
            </w:tcBorders>
          </w:tcPr>
          <w:p>
            <w:pPr>
              <w:pStyle w:val="ConsPlusNormal11"/>
              <w:spacing w:before="0" w:after="160"/>
              <w:jc w:val="center"/>
              <w:rPr>
                <w:rFonts w:ascii="Times New Roman" w:hAnsi="Times New Roman" w:cs="Times New Roman"/>
                <w:szCs w:val="22"/>
              </w:rPr>
            </w:pPr>
            <w:r>
              <w:rPr>
                <w:rFonts w:cs="Times New Roman" w:ascii="Times New Roman" w:hAnsi="Times New Roman"/>
                <w:szCs w:val="22"/>
              </w:rPr>
              <w:t>ЗАКАЗЧИК:</w:t>
            </w:r>
          </w:p>
        </w:tc>
      </w:tr>
    </w:tbl>
    <w:p>
      <w:pPr>
        <w:pStyle w:val="Normal"/>
        <w:spacing w:before="0" w:after="5"/>
        <w:rPr/>
      </w:pPr>
      <w:r>
        <w:rPr/>
      </w:r>
    </w:p>
    <w:sectPr>
      <w:headerReference w:type="default" r:id="rId10"/>
      <w:headerReference w:type="first" r:id="rId11"/>
      <w:footerReference w:type="default" r:id="rId12"/>
      <w:footerReference w:type="first" r:id="rId13"/>
      <w:type w:val="nextPage"/>
      <w:pgSz w:orient="landscape" w:w="16838" w:h="11906"/>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Open San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12</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12</w:t>
    </w:r>
    <w:r>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64" w:before="0" w:after="5"/>
      <w:ind w:firstLine="530" w:right="65"/>
      <w:jc w:val="both"/>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1" allowOverlap="1" relativeHeight="18">
              <wp:simplePos x="0" y="0"/>
              <wp:positionH relativeFrom="column">
                <wp:align>left</wp:align>
              </wp:positionH>
              <wp:positionV relativeFrom="line">
                <wp:posOffset>635</wp:posOffset>
              </wp:positionV>
              <wp:extent cx="6390005" cy="350520"/>
              <wp:effectExtent l="0" t="0" r="0" b="0"/>
              <wp:wrapNone/>
              <wp:docPr id="1" name="Врезка1"/>
              <a:graphic xmlns:a="http://schemas.openxmlformats.org/drawingml/2006/main">
                <a:graphicData uri="http://schemas.microsoft.com/office/word/2010/wordprocessingShape">
                  <wps:wsp>
                    <wps:cNvSpPr/>
                    <wps:spPr>
                      <a:xfrm>
                        <a:off x="0" y="0"/>
                        <a:ext cx="6390000" cy="350640"/>
                      </a:xfrm>
                      <a:prstGeom prst="rect">
                        <a:avLst/>
                      </a:prstGeom>
                      <a:solidFill>
                        <a:srgbClr val="ffffff"/>
                      </a:solidFill>
                      <a:ln w="0">
                        <a:noFill/>
                      </a:ln>
                    </wps:spPr>
                    <wps:style>
                      <a:lnRef idx="0"/>
                      <a:fillRef idx="0"/>
                      <a:effectRef idx="0"/>
                      <a:fontRef idx="minor"/>
                    </wps:style>
                    <wps:txbx>
                      <w:txbxContent>
                        <w:p>
                          <w:pPr>
                            <w:pStyle w:val="Header"/>
                            <w:rPr>
                              <w:color w:val="000000"/>
                            </w:rPr>
                          </w:pPr>
                          <w:r>
                            <w:rPr>
                              <w:color w:val="000000"/>
                            </w:rPr>
                          </w:r>
                        </w:p>
                        <w:p>
                          <w:pPr>
                            <w:pStyle w:val="Normal"/>
                            <w:widowControl/>
                            <w:bidi w:val="0"/>
                            <w:spacing w:lineRule="auto" w:line="264" w:before="0" w:after="5"/>
                            <w:ind w:firstLine="530" w:right="65"/>
                            <w:jc w:val="both"/>
                            <w:rPr/>
                          </w:pPr>
                          <w:r>
                            <w:rPr/>
                          </w:r>
                        </w:p>
                      </w:txbxContent>
                    </wps:txbx>
                    <wps:bodyPr lIns="0" rIns="0" tIns="0" bIns="0" anchor="t">
                      <a:noAutofit/>
                    </wps:bodyPr>
                  </wps:wsp>
                </a:graphicData>
              </a:graphic>
            </wp:anchor>
          </w:drawing>
        </mc:Choice>
        <mc:Fallback>
          <w:pict>
            <v:rect id="shape_0" ID="Врезка1" path="m0,0l-2147483645,0l-2147483645,-2147483646l0,-2147483646xe" fillcolor="white" stroked="f" o:allowincell="f" style="position:absolute;margin-left:0pt;margin-top:0.05pt;width:503.1pt;height:27.55pt;mso-wrap-style:square;v-text-anchor:top;mso-position-horizontal:left">
              <v:fill o:detectmouseclick="t" type="solid" color2="black"/>
              <v:stroke color="#3465a4" joinstyle="round" endcap="flat"/>
              <v:textbox>
                <w:txbxContent>
                  <w:p>
                    <w:pPr>
                      <w:pStyle w:val="Header"/>
                      <w:rPr>
                        <w:color w:val="000000"/>
                      </w:rPr>
                    </w:pPr>
                    <w:r>
                      <w:rPr>
                        <w:color w:val="000000"/>
                      </w:rPr>
                    </w:r>
                  </w:p>
                  <w:p>
                    <w:pPr>
                      <w:pStyle w:val="Normal"/>
                      <w:widowControl/>
                      <w:bidi w:val="0"/>
                      <w:spacing w:lineRule="auto" w:line="264" w:before="0" w:after="5"/>
                      <w:ind w:firstLine="530" w:right="65"/>
                      <w:jc w:val="both"/>
                      <w:rPr/>
                    </w:pPr>
                    <w:r>
                      <w:rPr/>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64" w:before="0" w:after="5"/>
      <w:ind w:firstLine="530" w:right="65"/>
      <w:jc w:val="both"/>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3"/>
      <w:numFmt w:val="decimal"/>
      <w:lvlText w:val="%1."/>
      <w:lvlJc w:val="left"/>
      <w:pPr>
        <w:tabs>
          <w:tab w:val="num" w:pos="0"/>
        </w:tabs>
        <w:ind w:left="480" w:hanging="480"/>
      </w:pPr>
      <w:rPr/>
    </w:lvl>
    <w:lvl w:ilvl="1">
      <w:start w:val="10"/>
      <w:numFmt w:val="decimal"/>
      <w:lvlText w:val="%1.%2."/>
      <w:lvlJc w:val="left"/>
      <w:pPr>
        <w:tabs>
          <w:tab w:val="num" w:pos="0"/>
        </w:tabs>
        <w:ind w:left="1331" w:hanging="48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52b67"/>
    <w:pPr>
      <w:widowControl/>
      <w:suppressAutoHyphens w:val="true"/>
      <w:bidi w:val="0"/>
      <w:spacing w:lineRule="auto" w:line="264" w:before="0" w:after="5"/>
      <w:ind w:firstLine="530" w:right="65"/>
      <w:jc w:val="both"/>
    </w:pPr>
    <w:rPr>
      <w:rFonts w:ascii="Times New Roman" w:hAnsi="Times New Roman" w:eastAsia="Times New Roman" w:cs="Times New Roman"/>
      <w:color w:val="000000"/>
      <w:kern w:val="0"/>
      <w:sz w:val="24"/>
      <w:szCs w:val="22"/>
      <w:lang w:val="ru-RU" w:eastAsia="ru-RU" w:bidi="ar-SA"/>
    </w:rPr>
  </w:style>
  <w:style w:type="paragraph" w:styleId="Heading5">
    <w:name w:val="Heading 5"/>
    <w:basedOn w:val="Normal"/>
    <w:next w:val="Normal"/>
    <w:link w:val="5"/>
    <w:qFormat/>
    <w:rsid w:val="00152b67"/>
    <w:pPr>
      <w:keepNext w:val="true"/>
      <w:suppressAutoHyphens w:val="true"/>
      <w:spacing w:lineRule="auto" w:line="240" w:before="0" w:after="0"/>
      <w:ind w:hanging="0" w:right="0"/>
      <w:jc w:val="center"/>
      <w:outlineLvl w:val="4"/>
    </w:pPr>
    <w:rPr>
      <w:bCs/>
      <w:color w:val="auto"/>
      <w:szCs w:val="24"/>
      <w:lang w:eastAsia="zh-CN"/>
    </w:rPr>
  </w:style>
  <w:style w:type="character" w:styleId="DefaultParagraphFont" w:default="1">
    <w:name w:val="Default Paragraph Font"/>
    <w:uiPriority w:val="1"/>
    <w:semiHidden/>
    <w:unhideWhenUsed/>
    <w:qFormat/>
    <w:rPr/>
  </w:style>
  <w:style w:type="character" w:styleId="5" w:customStyle="1">
    <w:name w:val="Заголовок 5 Знак"/>
    <w:basedOn w:val="DefaultParagraphFont"/>
    <w:qFormat/>
    <w:rsid w:val="00152b67"/>
    <w:rPr>
      <w:rFonts w:ascii="Times New Roman" w:hAnsi="Times New Roman" w:eastAsia="Times New Roman" w:cs="Times New Roman"/>
      <w:bCs/>
      <w:sz w:val="24"/>
      <w:szCs w:val="24"/>
      <w:lang w:eastAsia="zh-CN"/>
    </w:rPr>
  </w:style>
  <w:style w:type="character" w:styleId="3" w:customStyle="1">
    <w:name w:val="Основной текст с отступом 3 Знак"/>
    <w:link w:val="BodyTextIndent3"/>
    <w:qFormat/>
    <w:rsid w:val="00152b67"/>
    <w:rPr>
      <w:rFonts w:eastAsia="Times New Roman"/>
      <w:bCs/>
      <w:sz w:val="16"/>
      <w:szCs w:val="16"/>
    </w:rPr>
  </w:style>
  <w:style w:type="character" w:styleId="11" w:customStyle="1">
    <w:name w:val="Заголовок 1 Знак1"/>
    <w:qFormat/>
    <w:rsid w:val="00152b67"/>
    <w:rPr>
      <w:rFonts w:ascii="Arial" w:hAnsi="Arial" w:cs="Arial"/>
      <w:b/>
      <w:bCs/>
      <w:sz w:val="28"/>
      <w:szCs w:val="18"/>
      <w:lang w:val="ru-RU" w:bidi="ar-SA"/>
    </w:rPr>
  </w:style>
  <w:style w:type="character" w:styleId="Style13">
    <w:name w:val="Символ сноски"/>
    <w:qFormat/>
    <w:rsid w:val="00152b67"/>
    <w:rPr>
      <w:vertAlign w:val="superscript"/>
    </w:rPr>
  </w:style>
  <w:style w:type="character" w:styleId="FootnoteReference">
    <w:name w:val="Footnote Reference"/>
    <w:rPr>
      <w:vertAlign w:val="superscript"/>
    </w:rPr>
  </w:style>
  <w:style w:type="character" w:styleId="Style14" w:customStyle="1">
    <w:name w:val="Основной текст Знак"/>
    <w:basedOn w:val="DefaultParagraphFont"/>
    <w:uiPriority w:val="99"/>
    <w:semiHidden/>
    <w:qFormat/>
    <w:rsid w:val="00152b67"/>
    <w:rPr>
      <w:rFonts w:ascii="Times New Roman" w:hAnsi="Times New Roman" w:eastAsia="Times New Roman" w:cs="Times New Roman"/>
      <w:color w:val="000000"/>
      <w:sz w:val="24"/>
      <w:lang w:eastAsia="ru-RU"/>
    </w:rPr>
  </w:style>
  <w:style w:type="character" w:styleId="1" w:customStyle="1">
    <w:name w:val="Основной текст Знак1"/>
    <w:basedOn w:val="DefaultParagraphFont"/>
    <w:qFormat/>
    <w:rsid w:val="00152b67"/>
    <w:rPr>
      <w:rFonts w:ascii="Times New Roman" w:hAnsi="Times New Roman" w:eastAsia="Times New Roman" w:cs="Times New Roman"/>
      <w:sz w:val="24"/>
      <w:szCs w:val="24"/>
      <w:lang w:eastAsia="zh-CN"/>
    </w:rPr>
  </w:style>
  <w:style w:type="character" w:styleId="Style15" w:customStyle="1">
    <w:name w:val="Текст сноски Знак"/>
    <w:basedOn w:val="DefaultParagraphFont"/>
    <w:qFormat/>
    <w:rsid w:val="00152b67"/>
    <w:rPr>
      <w:rFonts w:ascii="Times New Roman" w:hAnsi="Times New Roman" w:eastAsia="Times New Roman" w:cs="Times New Roman"/>
      <w:color w:val="000000"/>
      <w:sz w:val="20"/>
      <w:szCs w:val="20"/>
      <w:lang w:eastAsia="ru-RU"/>
    </w:rPr>
  </w:style>
  <w:style w:type="character" w:styleId="12" w:customStyle="1">
    <w:name w:val="Текст сноски Знак1"/>
    <w:basedOn w:val="DefaultParagraphFont"/>
    <w:qFormat/>
    <w:rsid w:val="00152b67"/>
    <w:rPr>
      <w:rFonts w:ascii="Times New Roman" w:hAnsi="Times New Roman" w:eastAsia="Times New Roman" w:cs="Times New Roman"/>
      <w:sz w:val="20"/>
      <w:szCs w:val="20"/>
      <w:lang w:eastAsia="zh-CN"/>
    </w:rPr>
  </w:style>
  <w:style w:type="character" w:styleId="Style16" w:customStyle="1">
    <w:name w:val="Верхний колонтитул Знак"/>
    <w:basedOn w:val="DefaultParagraphFont"/>
    <w:uiPriority w:val="99"/>
    <w:semiHidden/>
    <w:qFormat/>
    <w:rsid w:val="00152b67"/>
    <w:rPr>
      <w:rFonts w:ascii="Times New Roman" w:hAnsi="Times New Roman" w:eastAsia="Times New Roman" w:cs="Times New Roman"/>
      <w:color w:val="000000"/>
      <w:sz w:val="24"/>
      <w:lang w:eastAsia="ru-RU"/>
    </w:rPr>
  </w:style>
  <w:style w:type="character" w:styleId="13" w:customStyle="1">
    <w:name w:val="Верхний колонтитул Знак1"/>
    <w:basedOn w:val="DefaultParagraphFont"/>
    <w:uiPriority w:val="99"/>
    <w:qFormat/>
    <w:rsid w:val="00152b67"/>
    <w:rPr>
      <w:rFonts w:ascii="Times New Roman" w:hAnsi="Times New Roman" w:eastAsia="Times New Roman" w:cs="Times New Roman"/>
      <w:sz w:val="24"/>
      <w:szCs w:val="24"/>
      <w:lang w:eastAsia="zh-CN"/>
    </w:rPr>
  </w:style>
  <w:style w:type="character" w:styleId="Style17" w:customStyle="1">
    <w:name w:val="Нижний колонтитул Знак"/>
    <w:basedOn w:val="DefaultParagraphFont"/>
    <w:uiPriority w:val="99"/>
    <w:semiHidden/>
    <w:qFormat/>
    <w:rsid w:val="00152b67"/>
    <w:rPr>
      <w:rFonts w:ascii="Times New Roman" w:hAnsi="Times New Roman" w:eastAsia="Times New Roman" w:cs="Times New Roman"/>
      <w:color w:val="000000"/>
      <w:sz w:val="24"/>
      <w:lang w:eastAsia="ru-RU"/>
    </w:rPr>
  </w:style>
  <w:style w:type="character" w:styleId="14" w:customStyle="1">
    <w:name w:val="Нижний колонтитул Знак1"/>
    <w:basedOn w:val="DefaultParagraphFont"/>
    <w:uiPriority w:val="99"/>
    <w:qFormat/>
    <w:rsid w:val="00152b67"/>
    <w:rPr>
      <w:rFonts w:ascii="Times New Roman" w:hAnsi="Times New Roman" w:eastAsia="Times New Roman" w:cs="Times New Roman"/>
      <w:sz w:val="24"/>
      <w:szCs w:val="24"/>
      <w:lang w:eastAsia="zh-CN"/>
    </w:rPr>
  </w:style>
  <w:style w:type="character" w:styleId="Style18" w:customStyle="1">
    <w:name w:val="Основной текст с отступом Знак"/>
    <w:basedOn w:val="DefaultParagraphFont"/>
    <w:uiPriority w:val="99"/>
    <w:semiHidden/>
    <w:qFormat/>
    <w:rsid w:val="00152b67"/>
    <w:rPr>
      <w:rFonts w:ascii="Times New Roman" w:hAnsi="Times New Roman" w:eastAsia="Times New Roman" w:cs="Times New Roman"/>
      <w:color w:val="000000"/>
      <w:sz w:val="24"/>
      <w:lang w:eastAsia="ru-RU"/>
    </w:rPr>
  </w:style>
  <w:style w:type="character" w:styleId="15" w:customStyle="1">
    <w:name w:val="Основной текст с отступом Знак1"/>
    <w:basedOn w:val="DefaultParagraphFont"/>
    <w:uiPriority w:val="99"/>
    <w:qFormat/>
    <w:rsid w:val="00152b67"/>
    <w:rPr>
      <w:rFonts w:ascii="Times New Roman" w:hAnsi="Times New Roman" w:eastAsia="Times New Roman" w:cs="Times New Roman"/>
      <w:sz w:val="24"/>
      <w:szCs w:val="24"/>
      <w:lang w:eastAsia="zh-CN"/>
    </w:rPr>
  </w:style>
  <w:style w:type="character" w:styleId="31" w:customStyle="1">
    <w:name w:val="Основной текст с отступом 3 Знак1"/>
    <w:basedOn w:val="DefaultParagraphFont"/>
    <w:uiPriority w:val="99"/>
    <w:semiHidden/>
    <w:qFormat/>
    <w:rsid w:val="00152b67"/>
    <w:rPr>
      <w:rFonts w:ascii="Times New Roman" w:hAnsi="Times New Roman" w:eastAsia="Times New Roman" w:cs="Times New Roman"/>
      <w:color w:val="000000"/>
      <w:sz w:val="16"/>
      <w:szCs w:val="16"/>
      <w:lang w:eastAsia="ru-RU"/>
    </w:rPr>
  </w:style>
  <w:style w:type="character" w:styleId="HTML" w:customStyle="1">
    <w:name w:val="Стандартный HTML Знак"/>
    <w:basedOn w:val="DefaultParagraphFont"/>
    <w:link w:val="HTMLPreformatted"/>
    <w:uiPriority w:val="99"/>
    <w:semiHidden/>
    <w:qFormat/>
    <w:rsid w:val="00526e3d"/>
    <w:rPr>
      <w:rFonts w:ascii="Courier New" w:hAnsi="Courier New" w:eastAsia="Times New Roman" w:cs="Courier New"/>
      <w:sz w:val="20"/>
      <w:szCs w:val="20"/>
      <w:lang w:eastAsia="ru-RU"/>
    </w:rPr>
  </w:style>
  <w:style w:type="character" w:styleId="Hyperlink">
    <w:name w:val="Hyperlink"/>
    <w:basedOn w:val="DefaultParagraphFont"/>
    <w:uiPriority w:val="99"/>
    <w:unhideWhenUsed/>
    <w:rsid w:val="00dc3299"/>
    <w:rPr>
      <w:color w:themeColor="hyperlink" w:val="0563C1"/>
      <w:u w:val="single"/>
    </w:rPr>
  </w:style>
  <w:style w:type="character" w:styleId="Style19" w:customStyle="1">
    <w:name w:val="Без интервала Знак"/>
    <w:link w:val="NoSpacing"/>
    <w:uiPriority w:val="1"/>
    <w:qFormat/>
    <w:locked/>
    <w:rsid w:val="00dc3299"/>
    <w:rPr>
      <w:rFonts w:ascii="Times New Roman" w:hAnsi="Times New Roman" w:eastAsia="Times New Roman" w:cs="Times New Roman"/>
      <w:sz w:val="24"/>
      <w:szCs w:val="24"/>
      <w:lang w:eastAsia="zh-CN"/>
    </w:rPr>
  </w:style>
  <w:style w:type="character" w:styleId="Style20" w:customStyle="1">
    <w:name w:val="Абзац списка Знак"/>
    <w:link w:val="ListParagraph"/>
    <w:uiPriority w:val="34"/>
    <w:qFormat/>
    <w:locked/>
    <w:rsid w:val="00c7428e"/>
    <w:rPr>
      <w:rFonts w:ascii="Times New Roman" w:hAnsi="Times New Roman" w:eastAsia="Times New Roman" w:cs="Times New Roman"/>
      <w:sz w:val="24"/>
      <w:szCs w:val="24"/>
      <w:lang w:eastAsia="zh-CN"/>
    </w:rPr>
  </w:style>
  <w:style w:type="character" w:styleId="ConsPlusNormal" w:customStyle="1">
    <w:name w:val="ConsPlusNormal Знак"/>
    <w:link w:val="ConsPlusNormal1"/>
    <w:qFormat/>
    <w:rsid w:val="00f264c3"/>
    <w:rPr>
      <w:rFonts w:ascii="Arial" w:hAnsi="Arial" w:eastAsia="Times New Roman" w:cs="Arial"/>
      <w:sz w:val="20"/>
      <w:szCs w:val="20"/>
      <w:lang w:eastAsia="ru-RU"/>
    </w:rPr>
  </w:style>
  <w:style w:type="paragraph" w:styleId="Style21">
    <w:name w:val="Заголовок"/>
    <w:basedOn w:val="Normal"/>
    <w:next w:val="BodyText"/>
    <w:qFormat/>
    <w:pPr>
      <w:keepNext w:val="true"/>
      <w:spacing w:before="240" w:after="120"/>
    </w:pPr>
    <w:rPr>
      <w:rFonts w:ascii="Open Sans" w:hAnsi="Open Sans" w:eastAsia="WenQuanYi Micro Hei" w:cs="Lohit Devanagari"/>
      <w:sz w:val="28"/>
      <w:szCs w:val="28"/>
    </w:rPr>
  </w:style>
  <w:style w:type="paragraph" w:styleId="BodyText">
    <w:name w:val="Body Text"/>
    <w:basedOn w:val="Normal"/>
    <w:link w:val="1"/>
    <w:rsid w:val="00152b67"/>
    <w:pPr>
      <w:suppressAutoHyphens w:val="true"/>
      <w:spacing w:lineRule="auto" w:line="240" w:before="0" w:after="0"/>
      <w:ind w:hanging="0" w:right="0"/>
    </w:pPr>
    <w:rPr>
      <w:color w:val="auto"/>
      <w:szCs w:val="24"/>
      <w:lang w:eastAsia="zh-CN"/>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2">
    <w:name w:val="Указатель"/>
    <w:basedOn w:val="Normal"/>
    <w:qFormat/>
    <w:pPr>
      <w:suppressLineNumbers/>
    </w:pPr>
    <w:rPr>
      <w:rFonts w:cs="Lohit Devanagari"/>
    </w:rPr>
  </w:style>
  <w:style w:type="paragraph" w:styleId="FootnoteText">
    <w:name w:val="Footnote Text"/>
    <w:basedOn w:val="Normal"/>
    <w:link w:val="12"/>
    <w:qFormat/>
    <w:rsid w:val="00152b67"/>
    <w:pPr>
      <w:suppressAutoHyphens w:val="true"/>
      <w:spacing w:lineRule="auto" w:line="240" w:before="0" w:after="60"/>
      <w:ind w:hanging="0" w:right="0"/>
    </w:pPr>
    <w:rPr>
      <w:color w:val="auto"/>
      <w:sz w:val="20"/>
      <w:szCs w:val="20"/>
      <w:lang w:eastAsia="zh-CN"/>
    </w:rPr>
  </w:style>
  <w:style w:type="paragraph" w:styleId="Style23">
    <w:name w:val="Колонтитул"/>
    <w:basedOn w:val="Normal"/>
    <w:qFormat/>
    <w:pPr/>
    <w:rPr/>
  </w:style>
  <w:style w:type="paragraph" w:styleId="Header">
    <w:name w:val="Header"/>
    <w:basedOn w:val="Normal"/>
    <w:link w:val="13"/>
    <w:uiPriority w:val="99"/>
    <w:rsid w:val="00152b67"/>
    <w:pPr>
      <w:suppressAutoHyphens w:val="true"/>
      <w:spacing w:lineRule="auto" w:line="240" w:before="0" w:after="0"/>
      <w:ind w:hanging="0" w:right="0"/>
      <w:jc w:val="left"/>
    </w:pPr>
    <w:rPr>
      <w:color w:val="auto"/>
      <w:szCs w:val="24"/>
      <w:lang w:eastAsia="zh-CN"/>
    </w:rPr>
  </w:style>
  <w:style w:type="paragraph" w:styleId="Footer">
    <w:name w:val="Footer"/>
    <w:basedOn w:val="Normal"/>
    <w:link w:val="14"/>
    <w:uiPriority w:val="99"/>
    <w:qFormat/>
    <w:rsid w:val="00152b67"/>
    <w:pPr>
      <w:suppressAutoHyphens w:val="true"/>
      <w:spacing w:lineRule="auto" w:line="240" w:before="0" w:after="0"/>
      <w:ind w:hanging="0" w:right="0"/>
      <w:jc w:val="left"/>
    </w:pPr>
    <w:rPr>
      <w:color w:val="auto"/>
      <w:szCs w:val="24"/>
      <w:lang w:eastAsia="zh-CN"/>
    </w:rPr>
  </w:style>
  <w:style w:type="paragraph" w:styleId="BodyTextIndent">
    <w:name w:val="Body Text Indent"/>
    <w:basedOn w:val="Normal"/>
    <w:link w:val="15"/>
    <w:uiPriority w:val="99"/>
    <w:rsid w:val="00152b67"/>
    <w:pPr>
      <w:suppressAutoHyphens w:val="true"/>
      <w:spacing w:lineRule="auto" w:line="240" w:before="0" w:after="120"/>
      <w:ind w:hanging="0" w:left="283" w:right="0"/>
      <w:jc w:val="left"/>
    </w:pPr>
    <w:rPr>
      <w:color w:val="auto"/>
      <w:szCs w:val="24"/>
      <w:lang w:eastAsia="zh-CN"/>
    </w:rPr>
  </w:style>
  <w:style w:type="paragraph" w:styleId="NoSpacing">
    <w:name w:val="No Spacing"/>
    <w:link w:val="Style19"/>
    <w:uiPriority w:val="1"/>
    <w:qFormat/>
    <w:rsid w:val="00152b67"/>
    <w:pPr>
      <w:widowControl/>
      <w:suppressAutoHyphens w:val="true"/>
      <w:bidi w:val="0"/>
      <w:spacing w:lineRule="auto" w:line="240" w:before="0" w:after="0"/>
      <w:ind w:firstLine="11"/>
      <w:jc w:val="both"/>
    </w:pPr>
    <w:rPr>
      <w:rFonts w:ascii="Times New Roman" w:hAnsi="Times New Roman" w:eastAsia="Times New Roman" w:cs="Times New Roman"/>
      <w:color w:val="auto"/>
      <w:kern w:val="0"/>
      <w:sz w:val="24"/>
      <w:szCs w:val="24"/>
      <w:lang w:val="ru-RU" w:eastAsia="zh-CN" w:bidi="ar-SA"/>
    </w:rPr>
  </w:style>
  <w:style w:type="paragraph" w:styleId="ListParagraph">
    <w:name w:val="List Paragraph"/>
    <w:basedOn w:val="Normal"/>
    <w:link w:val="Style20"/>
    <w:uiPriority w:val="34"/>
    <w:qFormat/>
    <w:rsid w:val="00152b67"/>
    <w:pPr>
      <w:suppressAutoHyphens w:val="true"/>
      <w:spacing w:lineRule="auto" w:line="240" w:before="0" w:after="0"/>
      <w:ind w:hanging="0" w:left="720" w:right="0"/>
      <w:contextualSpacing/>
      <w:jc w:val="left"/>
    </w:pPr>
    <w:rPr>
      <w:color w:val="auto"/>
      <w:szCs w:val="24"/>
      <w:lang w:eastAsia="zh-CN"/>
    </w:rPr>
  </w:style>
  <w:style w:type="paragraph" w:styleId="ConsPlusNonformat" w:customStyle="1">
    <w:name w:val="ConsPlusNonformat"/>
    <w:qFormat/>
    <w:rsid w:val="00152b67"/>
    <w:pPr>
      <w:widowControl/>
      <w:suppressAutoHyphens w:val="true"/>
      <w:bidi w:val="0"/>
      <w:spacing w:lineRule="auto" w:line="240" w:before="0" w:after="0"/>
      <w:jc w:val="left"/>
    </w:pPr>
    <w:rPr>
      <w:rFonts w:ascii="Courier New" w:hAnsi="Courier New" w:eastAsia="Times New Roman" w:cs="Courier New"/>
      <w:bCs/>
      <w:color w:val="auto"/>
      <w:kern w:val="0"/>
      <w:sz w:val="20"/>
      <w:szCs w:val="20"/>
      <w:lang w:val="ru-RU" w:eastAsia="zh-CN" w:bidi="ar-SA"/>
    </w:rPr>
  </w:style>
  <w:style w:type="paragraph" w:styleId="FORMATTEXT" w:customStyle="1">
    <w:name w:val=".FORMATTEXT"/>
    <w:uiPriority w:val="99"/>
    <w:qFormat/>
    <w:rsid w:val="00152b67"/>
    <w:pPr>
      <w:widowControl w:val="false"/>
      <w:suppressAutoHyphens w:val="true"/>
      <w:bidi w:val="0"/>
      <w:spacing w:lineRule="auto" w:line="240" w:before="0" w:after="0"/>
      <w:jc w:val="left"/>
    </w:pPr>
    <w:rPr>
      <w:rFonts w:ascii="Times New Roman" w:hAnsi="Times New Roman" w:eastAsia="Times New Roman" w:cs="Times New Roman"/>
      <w:bCs/>
      <w:color w:val="auto"/>
      <w:kern w:val="0"/>
      <w:sz w:val="24"/>
      <w:szCs w:val="24"/>
      <w:lang w:val="ru-RU" w:eastAsia="zh-CN" w:bidi="ar-SA"/>
    </w:rPr>
  </w:style>
  <w:style w:type="paragraph" w:styleId="BodyTextIndent3">
    <w:name w:val="Body Text Indent 3"/>
    <w:basedOn w:val="Normal"/>
    <w:link w:val="3"/>
    <w:qFormat/>
    <w:rsid w:val="00152b67"/>
    <w:pPr>
      <w:keepNext w:val="true"/>
      <w:keepLines/>
      <w:widowControl w:val="false"/>
      <w:suppressLineNumbers/>
      <w:tabs>
        <w:tab w:val="clear" w:pos="708"/>
        <w:tab w:val="left" w:pos="252" w:leader="none"/>
      </w:tabs>
      <w:suppressAutoHyphens w:val="true"/>
      <w:spacing w:lineRule="auto" w:line="240" w:before="0" w:after="0"/>
      <w:ind w:hanging="0" w:left="720" w:right="0"/>
    </w:pPr>
    <w:rPr>
      <w:rFonts w:ascii="Calibri" w:hAnsi="Calibri" w:cs="" w:asciiTheme="minorHAnsi" w:cstheme="minorBidi" w:hAnsiTheme="minorHAnsi"/>
      <w:bCs/>
      <w:color w:val="auto"/>
      <w:sz w:val="16"/>
      <w:szCs w:val="16"/>
      <w:lang w:eastAsia="en-US"/>
    </w:rPr>
  </w:style>
  <w:style w:type="paragraph" w:styleId="HTMLPreformatted">
    <w:name w:val="HTML Preformatted"/>
    <w:basedOn w:val="Normal"/>
    <w:link w:val="HTML"/>
    <w:uiPriority w:val="99"/>
    <w:semiHidden/>
    <w:unhideWhenUsed/>
    <w:qFormat/>
    <w:rsid w:val="00526e3d"/>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hanging="0" w:right="0"/>
      <w:jc w:val="left"/>
    </w:pPr>
    <w:rPr>
      <w:rFonts w:ascii="Courier New" w:hAnsi="Courier New" w:cs="Courier New"/>
      <w:color w:val="auto"/>
      <w:sz w:val="20"/>
      <w:szCs w:val="20"/>
    </w:rPr>
  </w:style>
  <w:style w:type="paragraph" w:styleId="ConsPlusNormal1" w:customStyle="1">
    <w:name w:val="ConsPlusNormal"/>
    <w:link w:val="ConsPlusNormal"/>
    <w:qFormat/>
    <w:rsid w:val="00f264c3"/>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NormalWeb">
    <w:name w:val="Normal (Web)"/>
    <w:basedOn w:val="Normal"/>
    <w:uiPriority w:val="99"/>
    <w:unhideWhenUsed/>
    <w:qFormat/>
    <w:rsid w:val="002f0e98"/>
    <w:pPr>
      <w:spacing w:lineRule="auto" w:line="240" w:beforeAutospacing="1" w:afterAutospacing="1"/>
      <w:ind w:hanging="0" w:right="0"/>
      <w:jc w:val="left"/>
    </w:pPr>
    <w:rPr>
      <w:color w:val="auto"/>
      <w:szCs w:val="24"/>
    </w:rPr>
  </w:style>
  <w:style w:type="paragraph" w:styleId="Style24">
    <w:name w:val="Содержимое врезки"/>
    <w:basedOn w:val="Normal"/>
    <w:qFormat/>
    <w:pPr/>
    <w:rPr/>
  </w:style>
  <w:style w:type="paragraph" w:styleId="Style25">
    <w:name w:val="Содержимое таблицы"/>
    <w:basedOn w:val="Normal"/>
    <w:qFormat/>
    <w:pPr>
      <w:widowControl w:val="false"/>
      <w:suppressLineNumbers/>
    </w:pPr>
    <w:rPr/>
  </w:style>
  <w:style w:type="paragraph" w:styleId="ConsPlusNormal11">
    <w:name w:val="ConsPlusNormal1"/>
    <w:qFormat/>
    <w:pPr>
      <w:widowControl w:val="false"/>
      <w:suppressAutoHyphens w:val="true"/>
      <w:bidi w:val="0"/>
      <w:spacing w:lineRule="auto" w:line="259" w:before="0" w:after="160"/>
      <w:jc w:val="left"/>
    </w:pPr>
    <w:rPr>
      <w:rFonts w:ascii="Calibri" w:hAnsi="Calibri" w:eastAsia="Times New Roman" w:cs="Calibri" w:asciiTheme="minorHAnsi" w:hAnsiTheme="minorHAnsi"/>
      <w:color w:val="auto"/>
      <w:kern w:val="0"/>
      <w:sz w:val="22"/>
      <w:szCs w:val="20"/>
      <w:lang w:val="ru-RU" w:eastAsia="zh-CN" w:bidi="ar-SA"/>
    </w:rPr>
  </w:style>
  <w:style w:type="paragraph" w:styleId="16">
    <w:name w:val="Основной текст1"/>
    <w:basedOn w:val="Normal"/>
    <w:qFormat/>
    <w:pPr>
      <w:widowControl w:val="false"/>
      <w:snapToGrid w:val="false"/>
      <w:jc w:val="both"/>
    </w:pPr>
    <w:rPr>
      <w:rFonts w:cs="" w:cstheme="minorBidi"/>
      <w:szCs w:val="22"/>
      <w:lang w:eastAsia="en-U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garantf1://70772262.0"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AB6A5-80F3-452C-A2DA-9114BCB11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Application>LibreOffice/7.6.7.2$Linux_X86_64 LibreOffice_project/60$Build-2</Application>
  <AppVersion>15.0000</AppVersion>
  <Pages>14</Pages>
  <Words>6345</Words>
  <Characters>45049</Characters>
  <CharactersWithSpaces>51247</CharactersWithSpaces>
  <Paragraphs>299</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2026-07-24T11:22:00Z</dcterms:created>
  <dc:creator>User</dc:creator>
  <dc:description/>
  <dc:language>ru-RU</dc:language>
  <cp:lastModifiedBy/>
  <dcterms:modified xsi:type="dcterms:W3CDTF">2026-08-27T17:10:56Z</dcterms:modified>
  <cp:revision>58</cp:revision>
  <dc:subject/>
  <dc:title/>
</cp:coreProperties>
</file>

<file path=docProps/custom.xml><?xml version="1.0" encoding="utf-8"?>
<Properties xmlns="http://schemas.openxmlformats.org/officeDocument/2006/custom-properties" xmlns:vt="http://schemas.openxmlformats.org/officeDocument/2006/docPropsVTypes"/>
</file>