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78F" w:rsidRPr="00DA6CCD" w:rsidRDefault="00B6478F" w:rsidP="00B6478F">
      <w:pPr>
        <w:suppressAutoHyphens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DA6CCD">
        <w:rPr>
          <w:rFonts w:ascii="PT Astra Serif" w:hAnsi="PT Astra Serif"/>
          <w:b/>
          <w:bCs/>
          <w:sz w:val="26"/>
          <w:szCs w:val="26"/>
        </w:rPr>
        <w:t xml:space="preserve">Расчет – обоснование начальной максимальной цены контракта </w:t>
      </w:r>
    </w:p>
    <w:p w:rsidR="00B6478F" w:rsidRPr="00DA6CCD" w:rsidRDefault="00B6478F" w:rsidP="00B6478F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DA6CCD">
        <w:rPr>
          <w:rFonts w:ascii="PT Astra Serif" w:hAnsi="PT Astra Serif"/>
          <w:sz w:val="26"/>
          <w:szCs w:val="26"/>
        </w:rPr>
        <w:t>Руководствуясь ч. 1 ст. 22 Федерального закона от 5 апреля 2013 г. № 44-</w:t>
      </w:r>
      <w:r w:rsidRPr="00DA6CCD">
        <w:rPr>
          <w:rFonts w:ascii="PT Astra Serif" w:hAnsi="PT Astra Serif"/>
          <w:sz w:val="26"/>
          <w:szCs w:val="26"/>
        </w:rPr>
        <w:softHyphen/>
        <w:t>ФЗ «О контрактной системе в сфере закупок товаров, работ, услуг для обеспечения государственных и муниципальных нужд», в соответствии с Приказом Минэкономразвития РФ от 02.10.2013 г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для определения</w:t>
      </w:r>
      <w:proofErr w:type="gramEnd"/>
      <w:r w:rsidRPr="00DA6CCD">
        <w:rPr>
          <w:rFonts w:ascii="PT Astra Serif" w:hAnsi="PT Astra Serif"/>
          <w:sz w:val="26"/>
          <w:szCs w:val="26"/>
        </w:rPr>
        <w:t xml:space="preserve"> начальной максимальной цены контракта, (далее – НМЦК), был выбран метод сопоставимых рыночных цен (анализ рынка), поскольку данный метод является приоритетным.</w:t>
      </w:r>
    </w:p>
    <w:p w:rsidR="00B6478F" w:rsidRPr="00DA6CCD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/>
          <w:sz w:val="26"/>
          <w:szCs w:val="26"/>
        </w:rPr>
      </w:pPr>
      <w:r w:rsidRPr="00DA6CCD">
        <w:rPr>
          <w:rFonts w:ascii="PT Astra Serif" w:hAnsi="PT Astra Serif"/>
          <w:sz w:val="26"/>
          <w:szCs w:val="26"/>
        </w:rPr>
        <w:t xml:space="preserve">В целях получения ценовой информации были направлены запросы предполагаемым </w:t>
      </w:r>
      <w:r w:rsidRPr="00DA6CCD">
        <w:rPr>
          <w:rFonts w:ascii="PT Astra Serif" w:hAnsi="PT Astra Serif"/>
          <w:color w:val="000000"/>
          <w:sz w:val="26"/>
          <w:szCs w:val="26"/>
        </w:rPr>
        <w:t xml:space="preserve">Исполнителям: </w:t>
      </w:r>
    </w:p>
    <w:p w:rsidR="00B6478F" w:rsidRPr="00DA6CCD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A6CCD">
        <w:rPr>
          <w:rFonts w:ascii="PT Astra Serif" w:hAnsi="PT Astra Serif"/>
          <w:sz w:val="26"/>
          <w:szCs w:val="26"/>
        </w:rPr>
        <w:t xml:space="preserve">- Исполнитель № 1 </w:t>
      </w:r>
    </w:p>
    <w:p w:rsidR="00B6478F" w:rsidRPr="00DA6CCD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A6CCD">
        <w:rPr>
          <w:rFonts w:ascii="PT Astra Serif" w:hAnsi="PT Astra Serif"/>
          <w:sz w:val="26"/>
          <w:szCs w:val="26"/>
        </w:rPr>
        <w:t xml:space="preserve">- Исполнитель № 2 </w:t>
      </w:r>
    </w:p>
    <w:p w:rsidR="00B6478F" w:rsidRPr="00DA6CCD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A6CCD">
        <w:rPr>
          <w:rFonts w:ascii="PT Astra Serif" w:hAnsi="PT Astra Serif"/>
          <w:sz w:val="26"/>
          <w:szCs w:val="26"/>
        </w:rPr>
        <w:t>- Исполнитель № 3.</w:t>
      </w:r>
    </w:p>
    <w:p w:rsidR="00B6478F" w:rsidRPr="00DA6CCD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A6CCD">
        <w:rPr>
          <w:rFonts w:ascii="PT Astra Serif" w:hAnsi="PT Astra Serif"/>
          <w:sz w:val="26"/>
          <w:szCs w:val="26"/>
        </w:rPr>
        <w:t xml:space="preserve">В ответ на отправленные запросы о представлении ценовой информации получено три ответа:  </w:t>
      </w:r>
    </w:p>
    <w:p w:rsidR="00B6478F" w:rsidRPr="00DA6CCD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A6CCD">
        <w:rPr>
          <w:rFonts w:ascii="PT Astra Serif" w:hAnsi="PT Astra Serif"/>
          <w:sz w:val="26"/>
          <w:szCs w:val="26"/>
        </w:rPr>
        <w:t xml:space="preserve">- Исполнитель № 1 </w:t>
      </w:r>
    </w:p>
    <w:p w:rsidR="00B6478F" w:rsidRPr="00DA6CCD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A6CCD">
        <w:rPr>
          <w:rFonts w:ascii="PT Astra Serif" w:hAnsi="PT Astra Serif"/>
          <w:sz w:val="26"/>
          <w:szCs w:val="26"/>
        </w:rPr>
        <w:t xml:space="preserve">- Исполнитель № 2 </w:t>
      </w:r>
    </w:p>
    <w:p w:rsidR="00B6478F" w:rsidRPr="00DA6CCD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A6CCD">
        <w:rPr>
          <w:rFonts w:ascii="PT Astra Serif" w:hAnsi="PT Astra Serif"/>
          <w:sz w:val="26"/>
          <w:szCs w:val="26"/>
        </w:rPr>
        <w:t xml:space="preserve">- Исполнитель № 3 </w:t>
      </w:r>
    </w:p>
    <w:p w:rsidR="00B6478F" w:rsidRPr="00DA6CCD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11"/>
        <w:gridCol w:w="10631"/>
      </w:tblGrid>
      <w:tr w:rsidR="00B6478F" w:rsidRPr="00DA6CCD" w:rsidTr="00B6478F">
        <w:trPr>
          <w:trHeight w:val="156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A6CCD" w:rsidRDefault="005854E4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Поставка бумаги офисной</w:t>
            </w:r>
          </w:p>
        </w:tc>
      </w:tr>
      <w:tr w:rsidR="00B6478F" w:rsidRPr="00DA6CCD" w:rsidTr="00B6478F">
        <w:trPr>
          <w:trHeight w:val="63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Используемый метод определения НМЦК с обоснованием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Метод сопоставимых рыночных цен (анализа рынка) с использованием полученных коммерческих предложений.</w:t>
            </w:r>
          </w:p>
        </w:tc>
      </w:tr>
      <w:tr w:rsidR="00B6478F" w:rsidRPr="00DA6CCD" w:rsidTr="00B6478F">
        <w:trPr>
          <w:trHeight w:val="54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 xml:space="preserve">Исходные </w:t>
            </w:r>
            <w:proofErr w:type="gramStart"/>
            <w:r w:rsidRPr="00DA6CCD">
              <w:rPr>
                <w:rFonts w:ascii="PT Astra Serif" w:hAnsi="PT Astra Serif"/>
                <w:sz w:val="20"/>
                <w:szCs w:val="20"/>
              </w:rPr>
              <w:t>данные</w:t>
            </w:r>
            <w:proofErr w:type="gramEnd"/>
            <w:r w:rsidRPr="00DA6CCD">
              <w:rPr>
                <w:rFonts w:ascii="PT Astra Serif" w:hAnsi="PT Astra Serif"/>
                <w:sz w:val="20"/>
                <w:szCs w:val="20"/>
              </w:rPr>
              <w:t xml:space="preserve"> используемые для определения НМЦК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Поступившие предложения от поставщиков (подрядчиков, исполнителей):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 xml:space="preserve">- Исполнитель № 1  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 xml:space="preserve">- Исполнитель № 2 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 xml:space="preserve">- Исполнитель № 3 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6478F" w:rsidRPr="00DA6CCD" w:rsidTr="00B6478F">
        <w:trPr>
          <w:trHeight w:val="156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lastRenderedPageBreak/>
              <w:t>Расчет НМЦК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В целях определения однородности совокупности значений выявленных цен, используемых в расчете НМЦК, определяем коэффициент вариации по формуле: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>
                  <wp:extent cx="1219200" cy="5429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где: V - коэффициент вариации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>
                  <wp:extent cx="1943100" cy="92392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6CCD">
              <w:rPr>
                <w:rFonts w:ascii="PT Astra Serif" w:hAnsi="PT Astra Serif"/>
                <w:sz w:val="20"/>
                <w:szCs w:val="20"/>
              </w:rPr>
              <w:t>- среднее квадратичное отклонение.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>
                  <wp:extent cx="161925" cy="22860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6CCD">
              <w:rPr>
                <w:rFonts w:ascii="PT Astra Serif" w:hAnsi="PT Astra Serif"/>
                <w:sz w:val="20"/>
                <w:szCs w:val="20"/>
              </w:rPr>
              <w:t xml:space="preserve"> - цена единицы товара, работы, услуги, указанная в источнике с номером i;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&lt;ц&gt; - средняя арифметическая величина цены единицы товара, работы, услуги;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n - количество значений, используемых в расчете.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Рассчитанный коэффициент вариации считаем однородным, если он не превышает 33%.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Рассчитываем начальную (максимальную) цену контракта: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>
                  <wp:extent cx="1495425" cy="5810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>
                  <wp:extent cx="676275" cy="2476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6CCD">
              <w:rPr>
                <w:rFonts w:ascii="PT Astra Serif" w:hAnsi="PT Astra Serif"/>
                <w:sz w:val="20"/>
                <w:szCs w:val="20"/>
              </w:rPr>
              <w:t xml:space="preserve"> - НМЦК, </w:t>
            </w:r>
            <w:proofErr w:type="gramStart"/>
            <w:r w:rsidRPr="00DA6CCD">
              <w:rPr>
                <w:rFonts w:ascii="PT Astra Serif" w:hAnsi="PT Astra Serif"/>
                <w:sz w:val="20"/>
                <w:szCs w:val="20"/>
              </w:rPr>
              <w:t>определяемая</w:t>
            </w:r>
            <w:proofErr w:type="gramEnd"/>
            <w:r w:rsidRPr="00DA6CCD">
              <w:rPr>
                <w:rFonts w:ascii="PT Astra Serif" w:hAnsi="PT Astra Serif"/>
                <w:sz w:val="20"/>
                <w:szCs w:val="20"/>
              </w:rPr>
              <w:t xml:space="preserve"> методом сопоставимых рыночных цен (анализа рынка);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v - количество (объем) закупаемого товара (работы, услуги);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n - количество значений, используемых в расчете;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i - номер источника ценовой информации;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>
                  <wp:extent cx="161925" cy="228600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6CCD">
              <w:rPr>
                <w:rFonts w:ascii="PT Astra Serif" w:hAnsi="PT Astra Serif"/>
                <w:sz w:val="20"/>
                <w:szCs w:val="20"/>
              </w:rPr>
              <w:t xml:space="preserve"> - цена единицы товара, работы, услуги, представленная в источнике с номером i.</w:t>
            </w:r>
          </w:p>
          <w:p w:rsidR="00B6478F" w:rsidRPr="00DA6CCD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B6478F" w:rsidRPr="00DA6CCD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B6478F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752528" w:rsidRDefault="00752528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752528" w:rsidRPr="00DA6CCD" w:rsidRDefault="00752528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B6478F" w:rsidRPr="00DA6CCD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B6478F" w:rsidRPr="00DA6CCD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B6478F" w:rsidRPr="00DA6CCD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W w:w="15043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6"/>
        <w:gridCol w:w="2605"/>
        <w:gridCol w:w="1236"/>
        <w:gridCol w:w="1457"/>
        <w:gridCol w:w="1559"/>
        <w:gridCol w:w="1506"/>
        <w:gridCol w:w="1643"/>
        <w:gridCol w:w="1494"/>
        <w:gridCol w:w="1363"/>
        <w:gridCol w:w="1454"/>
      </w:tblGrid>
      <w:tr w:rsidR="00CF7898" w:rsidRPr="00DA6CCD" w:rsidTr="00F350ED">
        <w:trPr>
          <w:trHeight w:val="495"/>
        </w:trPr>
        <w:tc>
          <w:tcPr>
            <w:tcW w:w="726" w:type="dxa"/>
            <w:shd w:val="clear" w:color="auto" w:fill="auto"/>
            <w:noWrap/>
            <w:vAlign w:val="center"/>
            <w:hideMark/>
          </w:tcPr>
          <w:p w:rsidR="00CF7898" w:rsidRPr="00DA6CCD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lastRenderedPageBreak/>
              <w:br/>
            </w:r>
            <w:r w:rsidRPr="00DA6CCD">
              <w:rPr>
                <w:rFonts w:ascii="PT Astra Serif" w:hAnsi="PT Astra Serif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605" w:type="dxa"/>
            <w:shd w:val="clear" w:color="auto" w:fill="auto"/>
            <w:vAlign w:val="center"/>
            <w:hideMark/>
          </w:tcPr>
          <w:p w:rsidR="00CF7898" w:rsidRPr="00DA6CCD" w:rsidRDefault="00CF7898" w:rsidP="006E2D09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DA6CCD">
              <w:rPr>
                <w:rFonts w:ascii="PT Astra Serif" w:hAnsi="PT Astra Serif"/>
                <w:color w:val="000000"/>
                <w:sz w:val="20"/>
                <w:szCs w:val="20"/>
              </w:rPr>
              <w:t>Наименование товаров, работ, услуг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CF7898" w:rsidRPr="00DA6CCD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Кол-во (объём) продукции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CF7898" w:rsidRPr="00DA6CCD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Цена единицы продукции указанная в источнике №1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F7898" w:rsidRPr="00DA6CCD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Цена единицы продукции указанная в источнике №2</w:t>
            </w:r>
          </w:p>
        </w:tc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CF7898" w:rsidRPr="00DA6CCD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Цена единицы продукции указанная в источнике №3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:rsidR="00CF7898" w:rsidRPr="00DA6CCD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 xml:space="preserve">Средняя арифметическая величина цены </w:t>
            </w:r>
            <w:bookmarkStart w:id="0" w:name="_GoBack"/>
            <w:bookmarkEnd w:id="0"/>
            <w:r w:rsidRPr="00DA6CCD">
              <w:rPr>
                <w:rFonts w:ascii="PT Astra Serif" w:hAnsi="PT Astra Serif"/>
                <w:sz w:val="20"/>
                <w:szCs w:val="20"/>
              </w:rPr>
              <w:t>единицы продукции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CF7898" w:rsidRPr="00DA6CCD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Среднее квадратичное отклонение</w:t>
            </w:r>
          </w:p>
        </w:tc>
        <w:tc>
          <w:tcPr>
            <w:tcW w:w="1363" w:type="dxa"/>
            <w:shd w:val="clear" w:color="auto" w:fill="auto"/>
            <w:noWrap/>
            <w:vAlign w:val="center"/>
            <w:hideMark/>
          </w:tcPr>
          <w:p w:rsidR="00CF7898" w:rsidRPr="00DA6CCD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коэффициент вариации</w:t>
            </w:r>
            <w:proofErr w:type="gramStart"/>
            <w:r w:rsidRPr="00DA6CCD">
              <w:rPr>
                <w:rFonts w:ascii="PT Astra Serif" w:hAnsi="PT Astra Serif"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1454" w:type="dxa"/>
            <w:shd w:val="clear" w:color="auto" w:fill="auto"/>
            <w:vAlign w:val="center"/>
            <w:hideMark/>
          </w:tcPr>
          <w:p w:rsidR="00CF7898" w:rsidRPr="00DA6CCD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НМЦК руб.</w:t>
            </w:r>
          </w:p>
        </w:tc>
      </w:tr>
      <w:tr w:rsidR="00D36AF4" w:rsidRPr="00DA6CCD" w:rsidTr="00F350ED">
        <w:trPr>
          <w:trHeight w:val="456"/>
        </w:trPr>
        <w:tc>
          <w:tcPr>
            <w:tcW w:w="726" w:type="dxa"/>
            <w:shd w:val="clear" w:color="auto" w:fill="auto"/>
            <w:noWrap/>
          </w:tcPr>
          <w:p w:rsidR="00D36AF4" w:rsidRPr="00DA6CCD" w:rsidRDefault="00D36AF4" w:rsidP="00DA6CC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605" w:type="dxa"/>
            <w:shd w:val="clear" w:color="auto" w:fill="auto"/>
          </w:tcPr>
          <w:p w:rsidR="00D36AF4" w:rsidRPr="00DA6CCD" w:rsidRDefault="00D36AF4" w:rsidP="00825848">
            <w:pPr>
              <w:spacing w:line="240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DA6CCD">
              <w:rPr>
                <w:rFonts w:ascii="PT Astra Serif" w:hAnsi="PT Astra Serif"/>
                <w:color w:val="000000"/>
                <w:sz w:val="20"/>
                <w:szCs w:val="20"/>
              </w:rPr>
              <w:t>Бумага офисная А</w:t>
            </w:r>
            <w:proofErr w:type="gramStart"/>
            <w:r w:rsidRPr="00DA6CCD"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  <w:proofErr w:type="gramEnd"/>
            <w:r w:rsidRPr="00DA6CCD">
              <w:rPr>
                <w:rFonts w:ascii="PT Astra Serif" w:hAnsi="PT Astra Serif"/>
                <w:color w:val="000000"/>
                <w:sz w:val="20"/>
                <w:szCs w:val="20"/>
              </w:rPr>
              <w:t>, 80 г/м2, 500 л.,  146% (CIE)</w:t>
            </w:r>
          </w:p>
        </w:tc>
        <w:tc>
          <w:tcPr>
            <w:tcW w:w="1236" w:type="dxa"/>
            <w:shd w:val="clear" w:color="auto" w:fill="auto"/>
            <w:noWrap/>
          </w:tcPr>
          <w:p w:rsidR="00D36AF4" w:rsidRPr="00DA6CCD" w:rsidRDefault="00D36AF4" w:rsidP="00BD26C6">
            <w:pPr>
              <w:spacing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57" w:type="dxa"/>
            <w:shd w:val="clear" w:color="auto" w:fill="auto"/>
            <w:noWrap/>
          </w:tcPr>
          <w:p w:rsidR="00D36AF4" w:rsidRPr="00DA6CCD" w:rsidRDefault="00D36AF4" w:rsidP="00D36AF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334,00</w:t>
            </w:r>
          </w:p>
        </w:tc>
        <w:tc>
          <w:tcPr>
            <w:tcW w:w="1559" w:type="dxa"/>
            <w:shd w:val="clear" w:color="auto" w:fill="auto"/>
            <w:noWrap/>
          </w:tcPr>
          <w:p w:rsidR="00D36AF4" w:rsidRPr="00DA6CCD" w:rsidRDefault="00D36AF4" w:rsidP="0033467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380,00</w:t>
            </w:r>
          </w:p>
        </w:tc>
        <w:tc>
          <w:tcPr>
            <w:tcW w:w="1506" w:type="dxa"/>
            <w:shd w:val="clear" w:color="auto" w:fill="auto"/>
            <w:noWrap/>
          </w:tcPr>
          <w:p w:rsidR="00D36AF4" w:rsidRPr="00DA6CCD" w:rsidRDefault="00D36AF4" w:rsidP="00DA6CC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417,50</w:t>
            </w:r>
          </w:p>
        </w:tc>
        <w:tc>
          <w:tcPr>
            <w:tcW w:w="1643" w:type="dxa"/>
            <w:shd w:val="clear" w:color="000000" w:fill="FFFFFF"/>
          </w:tcPr>
          <w:p w:rsidR="00D36AF4" w:rsidRPr="00DA6CCD" w:rsidRDefault="00D36AF4" w:rsidP="00D36AF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377,17</w:t>
            </w:r>
          </w:p>
        </w:tc>
        <w:tc>
          <w:tcPr>
            <w:tcW w:w="1494" w:type="dxa"/>
            <w:shd w:val="clear" w:color="auto" w:fill="auto"/>
            <w:noWrap/>
          </w:tcPr>
          <w:p w:rsidR="00D36AF4" w:rsidRPr="00DA6CCD" w:rsidRDefault="00D36AF4" w:rsidP="00DA6CC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41,822</w:t>
            </w:r>
          </w:p>
        </w:tc>
        <w:tc>
          <w:tcPr>
            <w:tcW w:w="1363" w:type="dxa"/>
            <w:shd w:val="clear" w:color="auto" w:fill="auto"/>
            <w:noWrap/>
          </w:tcPr>
          <w:p w:rsidR="00D36AF4" w:rsidRPr="00DA6CCD" w:rsidRDefault="00D36AF4" w:rsidP="00DA6CC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11,09</w:t>
            </w:r>
          </w:p>
        </w:tc>
        <w:tc>
          <w:tcPr>
            <w:tcW w:w="1454" w:type="dxa"/>
            <w:shd w:val="clear" w:color="auto" w:fill="auto"/>
          </w:tcPr>
          <w:p w:rsidR="00D36AF4" w:rsidRPr="00DA6CCD" w:rsidRDefault="00D36AF4" w:rsidP="000E6B3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377,17</w:t>
            </w:r>
          </w:p>
        </w:tc>
      </w:tr>
      <w:tr w:rsidR="00D36AF4" w:rsidRPr="00DA6CCD" w:rsidTr="00F350ED">
        <w:trPr>
          <w:trHeight w:val="345"/>
        </w:trPr>
        <w:tc>
          <w:tcPr>
            <w:tcW w:w="726" w:type="dxa"/>
            <w:shd w:val="clear" w:color="auto" w:fill="auto"/>
            <w:noWrap/>
          </w:tcPr>
          <w:p w:rsidR="00D36AF4" w:rsidRPr="00DA6CCD" w:rsidRDefault="00D36AF4" w:rsidP="006E2D0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05" w:type="dxa"/>
            <w:shd w:val="clear" w:color="auto" w:fill="auto"/>
          </w:tcPr>
          <w:p w:rsidR="00D36AF4" w:rsidRPr="00DA6CCD" w:rsidRDefault="00D36AF4" w:rsidP="006E2D09">
            <w:pPr>
              <w:rPr>
                <w:rFonts w:ascii="PT Astra Serif" w:hAnsi="PT Astra Serif"/>
                <w:sz w:val="20"/>
                <w:szCs w:val="20"/>
              </w:rPr>
            </w:pPr>
            <w:r w:rsidRPr="00DA6CCD">
              <w:rPr>
                <w:rFonts w:ascii="PT Astra Serif" w:hAnsi="PT Astra Serif"/>
                <w:sz w:val="20"/>
                <w:szCs w:val="20"/>
              </w:rPr>
              <w:t>НМЦК</w:t>
            </w:r>
          </w:p>
        </w:tc>
        <w:tc>
          <w:tcPr>
            <w:tcW w:w="1236" w:type="dxa"/>
            <w:shd w:val="clear" w:color="auto" w:fill="auto"/>
          </w:tcPr>
          <w:p w:rsidR="00D36AF4" w:rsidRPr="00DA6CCD" w:rsidRDefault="00D36AF4" w:rsidP="006E2D0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</w:tcPr>
          <w:p w:rsidR="00D36AF4" w:rsidRPr="00DA6CCD" w:rsidRDefault="00D36AF4" w:rsidP="003F55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1670, 00</w:t>
            </w:r>
          </w:p>
        </w:tc>
        <w:tc>
          <w:tcPr>
            <w:tcW w:w="1559" w:type="dxa"/>
            <w:shd w:val="clear" w:color="auto" w:fill="auto"/>
          </w:tcPr>
          <w:p w:rsidR="00D36AF4" w:rsidRPr="00DA6CCD" w:rsidRDefault="00D36AF4" w:rsidP="003F55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1900,00</w:t>
            </w:r>
          </w:p>
        </w:tc>
        <w:tc>
          <w:tcPr>
            <w:tcW w:w="1506" w:type="dxa"/>
            <w:shd w:val="clear" w:color="auto" w:fill="auto"/>
          </w:tcPr>
          <w:p w:rsidR="00D36AF4" w:rsidRPr="00DA6CCD" w:rsidRDefault="00D36AF4" w:rsidP="003F55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2087,50</w:t>
            </w:r>
          </w:p>
        </w:tc>
        <w:tc>
          <w:tcPr>
            <w:tcW w:w="1643" w:type="dxa"/>
            <w:shd w:val="clear" w:color="auto" w:fill="auto"/>
          </w:tcPr>
          <w:p w:rsidR="00D36AF4" w:rsidRPr="00DA6CCD" w:rsidRDefault="00D36AF4" w:rsidP="00E578E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1885,83</w:t>
            </w:r>
          </w:p>
        </w:tc>
        <w:tc>
          <w:tcPr>
            <w:tcW w:w="1494" w:type="dxa"/>
            <w:shd w:val="clear" w:color="auto" w:fill="auto"/>
            <w:noWrap/>
          </w:tcPr>
          <w:p w:rsidR="00D36AF4" w:rsidRPr="00DA6CCD" w:rsidRDefault="00D36AF4" w:rsidP="00E578E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209,1102</w:t>
            </w:r>
          </w:p>
        </w:tc>
        <w:tc>
          <w:tcPr>
            <w:tcW w:w="1363" w:type="dxa"/>
            <w:shd w:val="clear" w:color="auto" w:fill="auto"/>
            <w:noWrap/>
          </w:tcPr>
          <w:p w:rsidR="00D36AF4" w:rsidRPr="00DA6CCD" w:rsidRDefault="00D36AF4" w:rsidP="00E578E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11,09</w:t>
            </w:r>
          </w:p>
        </w:tc>
        <w:tc>
          <w:tcPr>
            <w:tcW w:w="1454" w:type="dxa"/>
            <w:shd w:val="clear" w:color="auto" w:fill="auto"/>
          </w:tcPr>
          <w:p w:rsidR="00D36AF4" w:rsidRPr="00DA6CCD" w:rsidRDefault="00D36AF4" w:rsidP="000E6B3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1885,83</w:t>
            </w:r>
          </w:p>
        </w:tc>
      </w:tr>
    </w:tbl>
    <w:p w:rsidR="00B6478F" w:rsidRPr="00DA6CCD" w:rsidRDefault="00B6478F" w:rsidP="00B6478F">
      <w:pPr>
        <w:rPr>
          <w:rFonts w:ascii="PT Astra Serif" w:hAnsi="PT Astra Serif"/>
        </w:rPr>
      </w:pPr>
    </w:p>
    <w:p w:rsidR="00B6478F" w:rsidRPr="00DA6CCD" w:rsidRDefault="00B6478F" w:rsidP="00DA6CCD">
      <w:pPr>
        <w:ind w:firstLine="708"/>
        <w:jc w:val="both"/>
        <w:rPr>
          <w:rFonts w:ascii="PT Astra Serif" w:hAnsi="PT Astra Serif"/>
        </w:rPr>
      </w:pPr>
      <w:r w:rsidRPr="00DA6CCD">
        <w:rPr>
          <w:rFonts w:ascii="PT Astra Serif" w:hAnsi="PT Astra Serif"/>
        </w:rPr>
        <w:t>Учитывая, что при изучении рынка в сопоставимых экономических условиях</w:t>
      </w:r>
      <w:r w:rsidR="00996886">
        <w:rPr>
          <w:rFonts w:ascii="PT Astra Serif" w:hAnsi="PT Astra Serif"/>
        </w:rPr>
        <w:t xml:space="preserve"> </w:t>
      </w:r>
      <w:r w:rsidRPr="00DA6CCD">
        <w:rPr>
          <w:rFonts w:ascii="PT Astra Serif" w:hAnsi="PT Astra Serif"/>
        </w:rPr>
        <w:t>на м</w:t>
      </w:r>
      <w:r w:rsidR="0091227C" w:rsidRPr="00DA6CCD">
        <w:rPr>
          <w:rFonts w:ascii="PT Astra Serif" w:hAnsi="PT Astra Serif"/>
        </w:rPr>
        <w:t>омент закупки минимальная цена</w:t>
      </w:r>
      <w:r w:rsidRPr="00DA6CCD">
        <w:rPr>
          <w:rFonts w:ascii="PT Astra Serif" w:hAnsi="PT Astra Serif"/>
        </w:rPr>
        <w:t xml:space="preserve"> товара составляет </w:t>
      </w:r>
      <w:r w:rsidRPr="00DA6CCD">
        <w:rPr>
          <w:rFonts w:ascii="PT Astra Serif" w:hAnsi="PT Astra Serif"/>
        </w:rPr>
        <w:br/>
      </w:r>
      <w:r w:rsidR="00996886">
        <w:rPr>
          <w:rFonts w:ascii="PT Astra Serif" w:hAnsi="PT Astra Serif"/>
        </w:rPr>
        <w:t>334,00 рубл</w:t>
      </w:r>
      <w:r w:rsidR="00752528">
        <w:rPr>
          <w:rFonts w:ascii="PT Astra Serif" w:hAnsi="PT Astra Serif"/>
        </w:rPr>
        <w:t>я</w:t>
      </w:r>
      <w:r w:rsidR="00996886">
        <w:rPr>
          <w:rFonts w:ascii="PT Astra Serif" w:hAnsi="PT Astra Serif"/>
        </w:rPr>
        <w:t xml:space="preserve"> за 1 </w:t>
      </w:r>
      <w:r w:rsidR="00C242A5">
        <w:rPr>
          <w:rFonts w:ascii="PT Astra Serif" w:hAnsi="PT Astra Serif"/>
        </w:rPr>
        <w:t>единицу</w:t>
      </w:r>
      <w:r w:rsidR="00996886">
        <w:rPr>
          <w:rFonts w:ascii="PT Astra Serif" w:hAnsi="PT Astra Serif"/>
        </w:rPr>
        <w:t xml:space="preserve">, </w:t>
      </w:r>
      <w:r w:rsidR="000612D5" w:rsidRPr="00DA6CCD">
        <w:rPr>
          <w:rFonts w:ascii="PT Astra Serif" w:hAnsi="PT Astra Serif"/>
        </w:rPr>
        <w:t xml:space="preserve"> начально</w:t>
      </w:r>
      <w:r w:rsidR="002A6D0C" w:rsidRPr="00DA6CCD">
        <w:rPr>
          <w:rFonts w:ascii="PT Astra Serif" w:hAnsi="PT Astra Serif"/>
        </w:rPr>
        <w:t>-</w:t>
      </w:r>
      <w:r w:rsidRPr="00DA6CCD">
        <w:rPr>
          <w:rFonts w:ascii="PT Astra Serif" w:hAnsi="PT Astra Serif"/>
        </w:rPr>
        <w:t>максимальная цена контракта составляет</w:t>
      </w:r>
      <w:r w:rsidR="00DE1C0B">
        <w:rPr>
          <w:rFonts w:ascii="PT Astra Serif" w:hAnsi="PT Astra Serif"/>
        </w:rPr>
        <w:t xml:space="preserve"> </w:t>
      </w:r>
      <w:r w:rsidR="00996886">
        <w:rPr>
          <w:rFonts w:ascii="PT Astra Serif" w:hAnsi="PT Astra Serif"/>
        </w:rPr>
        <w:t>1670,00 рублей</w:t>
      </w:r>
      <w:r w:rsidRPr="00DA6CCD">
        <w:rPr>
          <w:rFonts w:ascii="PT Astra Serif" w:hAnsi="PT Astra Serif"/>
        </w:rPr>
        <w:t>.</w:t>
      </w:r>
    </w:p>
    <w:sectPr w:rsidR="00B6478F" w:rsidRPr="00DA6CCD" w:rsidSect="00BB7783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6538"/>
    <w:rsid w:val="000612D5"/>
    <w:rsid w:val="00061F08"/>
    <w:rsid w:val="00196538"/>
    <w:rsid w:val="001C1B3E"/>
    <w:rsid w:val="001E6529"/>
    <w:rsid w:val="002A6D0C"/>
    <w:rsid w:val="002A705A"/>
    <w:rsid w:val="00334672"/>
    <w:rsid w:val="004707FF"/>
    <w:rsid w:val="004C4041"/>
    <w:rsid w:val="00555763"/>
    <w:rsid w:val="0057186F"/>
    <w:rsid w:val="005854E4"/>
    <w:rsid w:val="006D473D"/>
    <w:rsid w:val="006E2D09"/>
    <w:rsid w:val="00723BCF"/>
    <w:rsid w:val="00752528"/>
    <w:rsid w:val="0091227C"/>
    <w:rsid w:val="00932BBC"/>
    <w:rsid w:val="00934C51"/>
    <w:rsid w:val="00996886"/>
    <w:rsid w:val="009977A0"/>
    <w:rsid w:val="00A20C06"/>
    <w:rsid w:val="00A538EB"/>
    <w:rsid w:val="00B6478F"/>
    <w:rsid w:val="00BB7783"/>
    <w:rsid w:val="00BD26C6"/>
    <w:rsid w:val="00C16C09"/>
    <w:rsid w:val="00C22C7F"/>
    <w:rsid w:val="00C242A5"/>
    <w:rsid w:val="00CB1C16"/>
    <w:rsid w:val="00CF7898"/>
    <w:rsid w:val="00D23E54"/>
    <w:rsid w:val="00D364B1"/>
    <w:rsid w:val="00D36AF4"/>
    <w:rsid w:val="00DA6CCD"/>
    <w:rsid w:val="00DA6D77"/>
    <w:rsid w:val="00DE1C0B"/>
    <w:rsid w:val="00E433C0"/>
    <w:rsid w:val="00F32431"/>
    <w:rsid w:val="00F350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8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478F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B6478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647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6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47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8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478F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B6478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647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6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47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САП</cp:lastModifiedBy>
  <cp:revision>9</cp:revision>
  <cp:lastPrinted>2026-05-08T06:19:00Z</cp:lastPrinted>
  <dcterms:created xsi:type="dcterms:W3CDTF">2026-07-23T06:18:00Z</dcterms:created>
  <dcterms:modified xsi:type="dcterms:W3CDTF">2026-07-29T13:36:00Z</dcterms:modified>
</cp:coreProperties>
</file>