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D34B5" w14:textId="77777777" w:rsidR="008668C4" w:rsidRPr="00B65EFD" w:rsidRDefault="008668C4" w:rsidP="008668C4">
      <w:pPr>
        <w:jc w:val="center"/>
        <w:rPr>
          <w:b/>
          <w:sz w:val="28"/>
          <w:szCs w:val="28"/>
        </w:rPr>
      </w:pPr>
      <w:r w:rsidRPr="00B65EFD">
        <w:rPr>
          <w:b/>
          <w:sz w:val="28"/>
          <w:szCs w:val="28"/>
        </w:rPr>
        <w:t>ТЕХНИЧЕСКОЕ ЗАДАНИЕ</w:t>
      </w:r>
    </w:p>
    <w:p w14:paraId="135BE2C4" w14:textId="77777777" w:rsidR="008668C4" w:rsidRPr="006778E1" w:rsidRDefault="008668C4" w:rsidP="008668C4">
      <w:pPr>
        <w:tabs>
          <w:tab w:val="left" w:pos="8595"/>
        </w:tabs>
        <w:jc w:val="center"/>
        <w:rPr>
          <w:rFonts w:eastAsia="Times New Roman"/>
          <w:b/>
          <w:sz w:val="28"/>
          <w:szCs w:val="28"/>
        </w:rPr>
      </w:pPr>
      <w:r w:rsidRPr="006778E1">
        <w:rPr>
          <w:rFonts w:eastAsia="Times New Roman"/>
          <w:b/>
          <w:sz w:val="28"/>
          <w:szCs w:val="28"/>
        </w:rPr>
        <w:t xml:space="preserve">Оказание услуг по ремонту компьютерного томографа </w:t>
      </w:r>
      <w:proofErr w:type="spellStart"/>
      <w:r w:rsidRPr="006778E1">
        <w:rPr>
          <w:rFonts w:eastAsia="Times New Roman"/>
          <w:b/>
          <w:sz w:val="28"/>
          <w:szCs w:val="28"/>
        </w:rPr>
        <w:t>Optima</w:t>
      </w:r>
      <w:proofErr w:type="spellEnd"/>
      <w:r w:rsidRPr="006778E1">
        <w:rPr>
          <w:rFonts w:eastAsia="Times New Roman"/>
          <w:b/>
          <w:sz w:val="28"/>
          <w:szCs w:val="28"/>
        </w:rPr>
        <w:t xml:space="preserve"> СТ520</w:t>
      </w:r>
    </w:p>
    <w:p w14:paraId="471738F8" w14:textId="77777777" w:rsidR="008668C4" w:rsidRPr="006778E1" w:rsidRDefault="008668C4" w:rsidP="008668C4">
      <w:pPr>
        <w:tabs>
          <w:tab w:val="left" w:pos="8595"/>
        </w:tabs>
        <w:rPr>
          <w:rFonts w:eastAsia="Times New Roman"/>
          <w:b/>
          <w:sz w:val="28"/>
          <w:szCs w:val="28"/>
        </w:rPr>
      </w:pPr>
    </w:p>
    <w:p w14:paraId="60F14BAC" w14:textId="77777777" w:rsidR="008668C4" w:rsidRPr="006778E1" w:rsidRDefault="008668C4" w:rsidP="008668C4">
      <w:pPr>
        <w:tabs>
          <w:tab w:val="left" w:pos="8595"/>
        </w:tabs>
      </w:pPr>
      <w:r w:rsidRPr="006778E1">
        <w:rPr>
          <w:b/>
        </w:rPr>
        <w:t>Количество (</w:t>
      </w:r>
      <w:r w:rsidRPr="006778E1">
        <w:t>объем</w:t>
      </w:r>
      <w:r w:rsidRPr="006778E1">
        <w:rPr>
          <w:b/>
        </w:rPr>
        <w:t>) оказываемой услуги:</w:t>
      </w:r>
      <w:r w:rsidRPr="006778E1">
        <w:t xml:space="preserve"> согласно табличной части</w:t>
      </w:r>
    </w:p>
    <w:p w14:paraId="23F0ED90" w14:textId="77777777" w:rsidR="008668C4" w:rsidRPr="006778E1" w:rsidRDefault="008668C4" w:rsidP="008668C4">
      <w:pPr>
        <w:rPr>
          <w:b/>
        </w:rPr>
      </w:pPr>
      <w:r w:rsidRPr="006778E1">
        <w:rPr>
          <w:b/>
        </w:rPr>
        <w:t>Место оказания услуг</w:t>
      </w:r>
      <w:r w:rsidRPr="006778E1">
        <w:t xml:space="preserve">:187553, Ленинградская область, город Тихвин, ул. Карла Маркса, д.68 </w:t>
      </w:r>
    </w:p>
    <w:p w14:paraId="6CD66C40" w14:textId="77777777" w:rsidR="008668C4" w:rsidRPr="006778E1" w:rsidRDefault="008668C4" w:rsidP="008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778E1">
        <w:rPr>
          <w:b/>
        </w:rPr>
        <w:t xml:space="preserve">Сроки (периоды) оказания услуг: </w:t>
      </w:r>
      <w:r w:rsidRPr="006778E1">
        <w:t>в течение 3 рабочих дней с момента подписания договора</w:t>
      </w:r>
    </w:p>
    <w:p w14:paraId="7903C344" w14:textId="7CF5D0F0" w:rsidR="008668C4" w:rsidRPr="006778E1" w:rsidRDefault="008668C4" w:rsidP="008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6778E1">
        <w:rPr>
          <w:b/>
        </w:rPr>
        <w:t>В цену контракта включены</w:t>
      </w:r>
      <w:r w:rsidRPr="006778E1">
        <w:t xml:space="preserve">: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(с учётом доставки, разгрузки товара, ввода в эксплуатацию), в том числе с учетом НДС и транспортных расходов. </w:t>
      </w:r>
    </w:p>
    <w:p w14:paraId="2917BE84" w14:textId="77777777" w:rsidR="008668C4" w:rsidRPr="006778E1" w:rsidRDefault="008668C4" w:rsidP="008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78E1">
        <w:rPr>
          <w:b/>
        </w:rPr>
        <w:t>Срок оплаты:</w:t>
      </w:r>
      <w:r w:rsidRPr="006778E1">
        <w:t xml:space="preserve"> в течение 7-ми рабочих дней с момента подписания документа о приемке.</w:t>
      </w:r>
    </w:p>
    <w:p w14:paraId="0EF49AD5" w14:textId="77777777" w:rsidR="008668C4" w:rsidRPr="006778E1" w:rsidRDefault="008668C4" w:rsidP="008668C4">
      <w:pPr>
        <w:autoSpaceDE w:val="0"/>
        <w:adjustRightInd w:val="0"/>
      </w:pPr>
      <w:r w:rsidRPr="006778E1">
        <w:rPr>
          <w:b/>
        </w:rPr>
        <w:t xml:space="preserve">Гарантия качества товара: </w:t>
      </w:r>
      <w:r w:rsidRPr="006778E1">
        <w:t>Гарантия на выполненные работы и заменяемые части составляют 3 месяца.</w:t>
      </w:r>
    </w:p>
    <w:p w14:paraId="58E49ECA" w14:textId="77777777" w:rsidR="008668C4" w:rsidRPr="006778E1" w:rsidRDefault="008668C4" w:rsidP="008668C4">
      <w:pPr>
        <w:rPr>
          <w:b/>
          <w:sz w:val="28"/>
        </w:rPr>
      </w:pPr>
    </w:p>
    <w:p w14:paraId="55AC9B2D" w14:textId="77777777" w:rsidR="008668C4" w:rsidRPr="006778E1" w:rsidRDefault="008668C4" w:rsidP="008668C4">
      <w:pPr>
        <w:pStyle w:val="a3"/>
        <w:jc w:val="center"/>
        <w:rPr>
          <w:b/>
          <w:sz w:val="28"/>
        </w:rPr>
      </w:pPr>
      <w:r w:rsidRPr="006778E1">
        <w:rPr>
          <w:b/>
          <w:sz w:val="28"/>
        </w:rPr>
        <w:t>Объем работ:</w:t>
      </w:r>
    </w:p>
    <w:p w14:paraId="59C9E77C" w14:textId="77777777" w:rsidR="008668C4" w:rsidRPr="006778E1" w:rsidRDefault="008668C4" w:rsidP="008668C4"/>
    <w:tbl>
      <w:tblPr>
        <w:tblW w:w="5000" w:type="pct"/>
        <w:tblCellMar>
          <w:left w:w="0" w:type="dxa"/>
          <w:right w:w="0" w:type="dxa"/>
        </w:tblCellMar>
        <w:tblLook w:val="04A0" w:firstRow="1" w:lastRow="0" w:firstColumn="1" w:lastColumn="0" w:noHBand="0" w:noVBand="1"/>
      </w:tblPr>
      <w:tblGrid>
        <w:gridCol w:w="647"/>
        <w:gridCol w:w="6905"/>
        <w:gridCol w:w="1787"/>
      </w:tblGrid>
      <w:tr w:rsidR="008668C4" w:rsidRPr="006778E1" w14:paraId="42B1BA5D" w14:textId="77777777" w:rsidTr="00F6655D">
        <w:trPr>
          <w:trHeight w:val="20"/>
        </w:trPr>
        <w:tc>
          <w:tcPr>
            <w:tcW w:w="346"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31C26D98" w14:textId="77777777" w:rsidR="008668C4" w:rsidRPr="006778E1" w:rsidRDefault="008668C4" w:rsidP="00F6655D">
            <w:pPr>
              <w:jc w:val="center"/>
              <w:rPr>
                <w:bCs/>
              </w:rPr>
            </w:pPr>
            <w:r w:rsidRPr="006778E1">
              <w:rPr>
                <w:bCs/>
              </w:rPr>
              <w:t>№</w:t>
            </w:r>
          </w:p>
        </w:tc>
        <w:tc>
          <w:tcPr>
            <w:tcW w:w="3696" w:type="pct"/>
            <w:tcBorders>
              <w:top w:val="single" w:sz="8" w:space="0" w:color="auto"/>
              <w:left w:val="nil"/>
              <w:bottom w:val="single" w:sz="4" w:space="0" w:color="auto"/>
              <w:right w:val="nil"/>
            </w:tcBorders>
            <w:shd w:val="clear" w:color="auto" w:fill="auto"/>
            <w:vAlign w:val="center"/>
            <w:hideMark/>
          </w:tcPr>
          <w:p w14:paraId="0AF32921" w14:textId="77777777" w:rsidR="008668C4" w:rsidRPr="006778E1" w:rsidRDefault="008668C4" w:rsidP="00F6655D">
            <w:pPr>
              <w:jc w:val="center"/>
              <w:rPr>
                <w:bCs/>
              </w:rPr>
            </w:pPr>
            <w:r w:rsidRPr="006778E1">
              <w:rPr>
                <w:bCs/>
              </w:rPr>
              <w:t>Оборудование/наименование работ</w:t>
            </w:r>
          </w:p>
        </w:tc>
        <w:tc>
          <w:tcPr>
            <w:tcW w:w="957"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D7D805A" w14:textId="77777777" w:rsidR="008668C4" w:rsidRPr="006778E1" w:rsidRDefault="008668C4" w:rsidP="00F6655D">
            <w:pPr>
              <w:jc w:val="center"/>
              <w:rPr>
                <w:bCs/>
              </w:rPr>
            </w:pPr>
            <w:r w:rsidRPr="006778E1">
              <w:rPr>
                <w:bCs/>
              </w:rPr>
              <w:t xml:space="preserve">Кол-во </w:t>
            </w:r>
          </w:p>
        </w:tc>
      </w:tr>
      <w:tr w:rsidR="008668C4" w:rsidRPr="006778E1" w14:paraId="523940CD" w14:textId="77777777" w:rsidTr="00F6655D">
        <w:trPr>
          <w:trHeight w:val="20"/>
        </w:trPr>
        <w:tc>
          <w:tcPr>
            <w:tcW w:w="346" w:type="pct"/>
            <w:tcBorders>
              <w:top w:val="nil"/>
              <w:left w:val="single" w:sz="8" w:space="0" w:color="auto"/>
              <w:bottom w:val="single" w:sz="8" w:space="0" w:color="auto"/>
              <w:right w:val="single" w:sz="4" w:space="0" w:color="auto"/>
            </w:tcBorders>
            <w:shd w:val="clear" w:color="auto" w:fill="auto"/>
            <w:vAlign w:val="center"/>
            <w:hideMark/>
          </w:tcPr>
          <w:p w14:paraId="37474812" w14:textId="77777777" w:rsidR="008668C4" w:rsidRPr="006778E1" w:rsidRDefault="008668C4" w:rsidP="00F6655D">
            <w:pPr>
              <w:jc w:val="center"/>
            </w:pPr>
            <w:r w:rsidRPr="006778E1">
              <w:t> </w:t>
            </w:r>
          </w:p>
        </w:tc>
        <w:tc>
          <w:tcPr>
            <w:tcW w:w="3696" w:type="pct"/>
            <w:tcBorders>
              <w:top w:val="nil"/>
              <w:left w:val="nil"/>
              <w:bottom w:val="single" w:sz="8" w:space="0" w:color="auto"/>
              <w:right w:val="nil"/>
            </w:tcBorders>
            <w:shd w:val="clear" w:color="auto" w:fill="auto"/>
            <w:vAlign w:val="center"/>
            <w:hideMark/>
          </w:tcPr>
          <w:p w14:paraId="44A49C8D" w14:textId="77777777" w:rsidR="008668C4" w:rsidRPr="006778E1" w:rsidRDefault="008668C4" w:rsidP="00F6655D">
            <w:pPr>
              <w:rPr>
                <w:bCs/>
              </w:rPr>
            </w:pPr>
            <w:r w:rsidRPr="006778E1">
              <w:rPr>
                <w:bCs/>
              </w:rPr>
              <w:t xml:space="preserve">Томограф компьютерный </w:t>
            </w:r>
            <w:proofErr w:type="spellStart"/>
            <w:r w:rsidRPr="006778E1">
              <w:rPr>
                <w:bCs/>
              </w:rPr>
              <w:t>Optima</w:t>
            </w:r>
            <w:proofErr w:type="spellEnd"/>
            <w:r w:rsidRPr="006778E1">
              <w:rPr>
                <w:bCs/>
              </w:rPr>
              <w:t xml:space="preserve"> CT520, </w:t>
            </w:r>
            <w:proofErr w:type="gramStart"/>
            <w:r w:rsidRPr="006778E1">
              <w:rPr>
                <w:bCs/>
              </w:rPr>
              <w:t>зав .</w:t>
            </w:r>
            <w:proofErr w:type="gramEnd"/>
            <w:r w:rsidRPr="006778E1">
              <w:rPr>
                <w:bCs/>
              </w:rPr>
              <w:t>№ CBDBG2200052HM,  инв.  №Я20400000001053, 2022 года выпуска</w:t>
            </w:r>
          </w:p>
        </w:tc>
        <w:tc>
          <w:tcPr>
            <w:tcW w:w="957" w:type="pct"/>
            <w:tcBorders>
              <w:top w:val="nil"/>
              <w:left w:val="single" w:sz="8" w:space="0" w:color="auto"/>
              <w:bottom w:val="single" w:sz="8" w:space="0" w:color="auto"/>
              <w:right w:val="single" w:sz="4" w:space="0" w:color="auto"/>
            </w:tcBorders>
            <w:shd w:val="clear" w:color="auto" w:fill="auto"/>
            <w:noWrap/>
            <w:vAlign w:val="center"/>
            <w:hideMark/>
          </w:tcPr>
          <w:p w14:paraId="7A16A808" w14:textId="77777777" w:rsidR="008668C4" w:rsidRPr="006778E1" w:rsidRDefault="008668C4" w:rsidP="00F6655D">
            <w:pPr>
              <w:jc w:val="center"/>
              <w:rPr>
                <w:bCs/>
              </w:rPr>
            </w:pPr>
            <w:r w:rsidRPr="006778E1">
              <w:rPr>
                <w:bCs/>
              </w:rPr>
              <w:t>1</w:t>
            </w:r>
          </w:p>
        </w:tc>
      </w:tr>
      <w:tr w:rsidR="008668C4" w:rsidRPr="006778E1" w14:paraId="5467D48B"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7977E916" w14:textId="77777777" w:rsidR="008668C4" w:rsidRPr="006778E1" w:rsidRDefault="008668C4" w:rsidP="00F6655D">
            <w:pPr>
              <w:jc w:val="center"/>
            </w:pPr>
            <w:r w:rsidRPr="006778E1">
              <w:t>1</w:t>
            </w:r>
          </w:p>
        </w:tc>
        <w:tc>
          <w:tcPr>
            <w:tcW w:w="3696" w:type="pct"/>
            <w:tcBorders>
              <w:top w:val="nil"/>
              <w:left w:val="nil"/>
              <w:bottom w:val="single" w:sz="4" w:space="0" w:color="auto"/>
              <w:right w:val="nil"/>
            </w:tcBorders>
            <w:shd w:val="clear" w:color="auto" w:fill="auto"/>
            <w:vAlign w:val="center"/>
            <w:hideMark/>
          </w:tcPr>
          <w:p w14:paraId="0835F16C" w14:textId="77777777" w:rsidR="008668C4" w:rsidRPr="006778E1" w:rsidRDefault="008668C4" w:rsidP="00F6655D">
            <w:r w:rsidRPr="006778E1">
              <w:t xml:space="preserve">Замена блока питания </w:t>
            </w:r>
            <w:proofErr w:type="spellStart"/>
            <w:r w:rsidRPr="006778E1">
              <w:t>гентри</w:t>
            </w:r>
            <w:proofErr w:type="spellEnd"/>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187B7C9A" w14:textId="77777777" w:rsidR="008668C4" w:rsidRPr="006778E1" w:rsidRDefault="008668C4" w:rsidP="00F6655D">
            <w:pPr>
              <w:jc w:val="center"/>
            </w:pPr>
            <w:r w:rsidRPr="006778E1">
              <w:t>1</w:t>
            </w:r>
          </w:p>
        </w:tc>
      </w:tr>
      <w:tr w:rsidR="008668C4" w:rsidRPr="006778E1" w14:paraId="7614FC67"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2E51C5F8" w14:textId="77777777" w:rsidR="008668C4" w:rsidRPr="006778E1" w:rsidRDefault="008668C4" w:rsidP="00F6655D">
            <w:pPr>
              <w:jc w:val="center"/>
            </w:pPr>
            <w:r w:rsidRPr="006778E1">
              <w:t>2</w:t>
            </w:r>
          </w:p>
        </w:tc>
        <w:tc>
          <w:tcPr>
            <w:tcW w:w="3696" w:type="pct"/>
            <w:tcBorders>
              <w:top w:val="nil"/>
              <w:left w:val="nil"/>
              <w:bottom w:val="single" w:sz="4" w:space="0" w:color="auto"/>
              <w:right w:val="nil"/>
            </w:tcBorders>
            <w:shd w:val="clear" w:color="auto" w:fill="auto"/>
            <w:vAlign w:val="center"/>
            <w:hideMark/>
          </w:tcPr>
          <w:p w14:paraId="12247D09" w14:textId="77777777" w:rsidR="008668C4" w:rsidRPr="006778E1" w:rsidRDefault="008668C4" w:rsidP="00F6655D">
            <w:r w:rsidRPr="006778E1">
              <w:t>Замена жестких дисков рабочей станции</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1CDD6FC1" w14:textId="77777777" w:rsidR="008668C4" w:rsidRPr="006778E1" w:rsidRDefault="008668C4" w:rsidP="00F6655D">
            <w:pPr>
              <w:jc w:val="center"/>
            </w:pPr>
            <w:r w:rsidRPr="006778E1">
              <w:t>1</w:t>
            </w:r>
          </w:p>
        </w:tc>
      </w:tr>
      <w:tr w:rsidR="008668C4" w:rsidRPr="006778E1" w14:paraId="0DFDBC35"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1E23EB97" w14:textId="77777777" w:rsidR="008668C4" w:rsidRPr="006778E1" w:rsidRDefault="008668C4" w:rsidP="00F6655D">
            <w:pPr>
              <w:jc w:val="center"/>
            </w:pPr>
            <w:r w:rsidRPr="006778E1">
              <w:t>3</w:t>
            </w:r>
          </w:p>
        </w:tc>
        <w:tc>
          <w:tcPr>
            <w:tcW w:w="3696" w:type="pct"/>
            <w:tcBorders>
              <w:top w:val="nil"/>
              <w:left w:val="nil"/>
              <w:bottom w:val="single" w:sz="4" w:space="0" w:color="auto"/>
              <w:right w:val="nil"/>
            </w:tcBorders>
            <w:shd w:val="clear" w:color="auto" w:fill="auto"/>
            <w:vAlign w:val="center"/>
            <w:hideMark/>
          </w:tcPr>
          <w:p w14:paraId="6311B02F" w14:textId="4BB39203" w:rsidR="008668C4" w:rsidRPr="006778E1" w:rsidRDefault="005D2B5A" w:rsidP="00F6655D">
            <w:r>
              <w:t>Инсталляция</w:t>
            </w:r>
            <w:r w:rsidR="008668C4" w:rsidRPr="006778E1">
              <w:t xml:space="preserve"> рабоче</w:t>
            </w:r>
            <w:r>
              <w:t>й оболочки</w:t>
            </w:r>
            <w:r w:rsidR="008668C4" w:rsidRPr="006778E1">
              <w:t xml:space="preserve"> </w:t>
            </w:r>
            <w:r>
              <w:t>программного обеспечения</w:t>
            </w:r>
            <w:r w:rsidR="008668C4" w:rsidRPr="006778E1">
              <w:t xml:space="preserve"> </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38A0DAFC" w14:textId="77777777" w:rsidR="008668C4" w:rsidRPr="006778E1" w:rsidRDefault="008668C4" w:rsidP="00F6655D">
            <w:pPr>
              <w:jc w:val="center"/>
            </w:pPr>
            <w:r w:rsidRPr="006778E1">
              <w:t>1</w:t>
            </w:r>
          </w:p>
        </w:tc>
      </w:tr>
      <w:tr w:rsidR="008668C4" w:rsidRPr="006778E1" w14:paraId="7004150E"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5A29FBBE" w14:textId="77777777" w:rsidR="008668C4" w:rsidRPr="006778E1" w:rsidRDefault="008668C4" w:rsidP="00F6655D">
            <w:pPr>
              <w:jc w:val="center"/>
            </w:pPr>
            <w:r w:rsidRPr="006778E1">
              <w:t>4</w:t>
            </w:r>
          </w:p>
        </w:tc>
        <w:tc>
          <w:tcPr>
            <w:tcW w:w="3696" w:type="pct"/>
            <w:tcBorders>
              <w:top w:val="nil"/>
              <w:left w:val="nil"/>
              <w:bottom w:val="single" w:sz="4" w:space="0" w:color="auto"/>
              <w:right w:val="nil"/>
            </w:tcBorders>
            <w:shd w:val="clear" w:color="auto" w:fill="auto"/>
            <w:vAlign w:val="center"/>
            <w:hideMark/>
          </w:tcPr>
          <w:p w14:paraId="17AB9499" w14:textId="39568F74" w:rsidR="008668C4" w:rsidRPr="006778E1" w:rsidRDefault="005D2B5A" w:rsidP="00F6655D">
            <w:r>
              <w:t>Обновление до последней актуальной версии программного обеспечения</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2C706CA1" w14:textId="77777777" w:rsidR="008668C4" w:rsidRPr="006778E1" w:rsidRDefault="008668C4" w:rsidP="00F6655D">
            <w:pPr>
              <w:jc w:val="center"/>
            </w:pPr>
            <w:r w:rsidRPr="006778E1">
              <w:t>1</w:t>
            </w:r>
          </w:p>
        </w:tc>
      </w:tr>
      <w:tr w:rsidR="005D2B5A" w:rsidRPr="006778E1" w14:paraId="4F69A9F7"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tcPr>
          <w:p w14:paraId="7EB0F420" w14:textId="48CA20BE" w:rsidR="005D2B5A" w:rsidRPr="006778E1" w:rsidRDefault="005D2B5A" w:rsidP="00F6655D">
            <w:pPr>
              <w:jc w:val="center"/>
            </w:pPr>
            <w:r>
              <w:t>5</w:t>
            </w:r>
          </w:p>
        </w:tc>
        <w:tc>
          <w:tcPr>
            <w:tcW w:w="3696" w:type="pct"/>
            <w:tcBorders>
              <w:top w:val="nil"/>
              <w:left w:val="nil"/>
              <w:bottom w:val="single" w:sz="4" w:space="0" w:color="auto"/>
              <w:right w:val="nil"/>
            </w:tcBorders>
            <w:shd w:val="clear" w:color="auto" w:fill="auto"/>
            <w:vAlign w:val="center"/>
          </w:tcPr>
          <w:p w14:paraId="65926EB4" w14:textId="335D71D3" w:rsidR="005D2B5A" w:rsidRPr="006778E1" w:rsidRDefault="005D2B5A" w:rsidP="00F6655D">
            <w:r w:rsidRPr="005D2B5A">
              <w:t>Калибровка компьютерного томографа</w:t>
            </w:r>
          </w:p>
        </w:tc>
        <w:tc>
          <w:tcPr>
            <w:tcW w:w="957" w:type="pct"/>
            <w:tcBorders>
              <w:top w:val="nil"/>
              <w:left w:val="single" w:sz="8" w:space="0" w:color="auto"/>
              <w:bottom w:val="single" w:sz="4" w:space="0" w:color="auto"/>
              <w:right w:val="single" w:sz="4" w:space="0" w:color="auto"/>
            </w:tcBorders>
            <w:shd w:val="clear" w:color="auto" w:fill="auto"/>
            <w:noWrap/>
            <w:vAlign w:val="center"/>
          </w:tcPr>
          <w:p w14:paraId="3DADCBA1" w14:textId="125DEA1F" w:rsidR="005D2B5A" w:rsidRPr="006778E1" w:rsidRDefault="005D2B5A" w:rsidP="00F6655D">
            <w:pPr>
              <w:jc w:val="center"/>
            </w:pPr>
            <w:r>
              <w:t>1</w:t>
            </w:r>
          </w:p>
        </w:tc>
      </w:tr>
      <w:tr w:rsidR="008668C4" w:rsidRPr="006778E1" w14:paraId="77B7C138"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67A8BF9B" w14:textId="77777777" w:rsidR="008668C4" w:rsidRPr="006778E1" w:rsidRDefault="008668C4" w:rsidP="00F6655D">
            <w:pPr>
              <w:jc w:val="center"/>
            </w:pPr>
            <w:r w:rsidRPr="006778E1">
              <w:t>5</w:t>
            </w:r>
          </w:p>
        </w:tc>
        <w:tc>
          <w:tcPr>
            <w:tcW w:w="3696" w:type="pct"/>
            <w:tcBorders>
              <w:top w:val="nil"/>
              <w:left w:val="nil"/>
              <w:bottom w:val="single" w:sz="4" w:space="0" w:color="auto"/>
              <w:right w:val="nil"/>
            </w:tcBorders>
            <w:shd w:val="clear" w:color="auto" w:fill="auto"/>
            <w:vAlign w:val="center"/>
            <w:hideMark/>
          </w:tcPr>
          <w:p w14:paraId="4FCB9186" w14:textId="7260C9A1" w:rsidR="008668C4" w:rsidRPr="006778E1" w:rsidRDefault="005D2B5A" w:rsidP="00F6655D">
            <w:r>
              <w:t>Пусконаладочные работы</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4F9A90F4" w14:textId="77777777" w:rsidR="008668C4" w:rsidRPr="006778E1" w:rsidRDefault="008668C4" w:rsidP="00F6655D">
            <w:pPr>
              <w:jc w:val="center"/>
            </w:pPr>
            <w:r w:rsidRPr="006778E1">
              <w:t>1</w:t>
            </w:r>
          </w:p>
        </w:tc>
      </w:tr>
      <w:tr w:rsidR="005D2B5A" w:rsidRPr="006778E1" w14:paraId="6B5B49E2"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tcPr>
          <w:p w14:paraId="027AAB98" w14:textId="282E446F" w:rsidR="005D2B5A" w:rsidRPr="006778E1" w:rsidRDefault="005D2B5A" w:rsidP="00F6655D">
            <w:pPr>
              <w:jc w:val="center"/>
            </w:pPr>
            <w:r>
              <w:t>7</w:t>
            </w:r>
          </w:p>
        </w:tc>
        <w:tc>
          <w:tcPr>
            <w:tcW w:w="3696" w:type="pct"/>
            <w:tcBorders>
              <w:top w:val="nil"/>
              <w:left w:val="nil"/>
              <w:bottom w:val="single" w:sz="4" w:space="0" w:color="auto"/>
              <w:right w:val="nil"/>
            </w:tcBorders>
            <w:shd w:val="clear" w:color="auto" w:fill="auto"/>
            <w:vAlign w:val="center"/>
          </w:tcPr>
          <w:p w14:paraId="371592F4" w14:textId="54A328B7" w:rsidR="005D2B5A" w:rsidRDefault="005D2B5A" w:rsidP="00F6655D">
            <w:r>
              <w:t>Контроль технического состояния</w:t>
            </w:r>
          </w:p>
        </w:tc>
        <w:tc>
          <w:tcPr>
            <w:tcW w:w="957" w:type="pct"/>
            <w:tcBorders>
              <w:top w:val="nil"/>
              <w:left w:val="single" w:sz="8" w:space="0" w:color="auto"/>
              <w:bottom w:val="single" w:sz="4" w:space="0" w:color="auto"/>
              <w:right w:val="single" w:sz="4" w:space="0" w:color="auto"/>
            </w:tcBorders>
            <w:shd w:val="clear" w:color="auto" w:fill="auto"/>
            <w:noWrap/>
            <w:vAlign w:val="center"/>
          </w:tcPr>
          <w:p w14:paraId="51B36CA1" w14:textId="37EB617B" w:rsidR="005D2B5A" w:rsidRPr="006778E1" w:rsidRDefault="005D2B5A" w:rsidP="00F6655D">
            <w:pPr>
              <w:jc w:val="center"/>
            </w:pPr>
            <w:r>
              <w:t>1</w:t>
            </w:r>
          </w:p>
        </w:tc>
      </w:tr>
      <w:tr w:rsidR="008668C4" w:rsidRPr="006778E1" w14:paraId="32C6C154" w14:textId="77777777" w:rsidTr="00F6655D">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14:paraId="5F7C86B7" w14:textId="77777777" w:rsidR="008668C4" w:rsidRPr="006778E1" w:rsidRDefault="008668C4" w:rsidP="00F6655D">
            <w:pPr>
              <w:jc w:val="center"/>
            </w:pPr>
            <w:r w:rsidRPr="006778E1">
              <w:t>6</w:t>
            </w:r>
          </w:p>
        </w:tc>
        <w:tc>
          <w:tcPr>
            <w:tcW w:w="3696" w:type="pct"/>
            <w:tcBorders>
              <w:top w:val="nil"/>
              <w:left w:val="nil"/>
              <w:bottom w:val="single" w:sz="4" w:space="0" w:color="auto"/>
              <w:right w:val="nil"/>
            </w:tcBorders>
            <w:shd w:val="clear" w:color="auto" w:fill="auto"/>
            <w:vAlign w:val="center"/>
            <w:hideMark/>
          </w:tcPr>
          <w:p w14:paraId="4749009C" w14:textId="77777777" w:rsidR="008668C4" w:rsidRPr="006778E1" w:rsidRDefault="008668C4" w:rsidP="00F6655D">
            <w:r w:rsidRPr="006778E1">
              <w:t xml:space="preserve">Сдача заказчику аппарата в полностью работоспособном состоянии  </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14:paraId="56A92A40" w14:textId="77777777" w:rsidR="008668C4" w:rsidRPr="006778E1" w:rsidRDefault="008668C4" w:rsidP="00F6655D">
            <w:pPr>
              <w:jc w:val="center"/>
            </w:pPr>
            <w:r w:rsidRPr="006778E1">
              <w:t>1</w:t>
            </w:r>
          </w:p>
        </w:tc>
      </w:tr>
    </w:tbl>
    <w:p w14:paraId="0DF37275" w14:textId="77777777" w:rsidR="008668C4" w:rsidRPr="006778E1" w:rsidRDefault="008668C4" w:rsidP="008668C4"/>
    <w:p w14:paraId="4F7ABC28" w14:textId="77777777" w:rsidR="008668C4" w:rsidRPr="006778E1" w:rsidRDefault="008668C4" w:rsidP="008668C4">
      <w:pPr>
        <w:jc w:val="left"/>
        <w:rPr>
          <w:b/>
        </w:rPr>
      </w:pPr>
      <w:r w:rsidRPr="006778E1">
        <w:t>Услуги по ремонту выполняются авторизованными специалистами, прошедшими соответствующее обучение</w:t>
      </w:r>
    </w:p>
    <w:p w14:paraId="32913993" w14:textId="11423253" w:rsidR="00F12C76" w:rsidRDefault="00F12C76" w:rsidP="005D2B5A">
      <w:pPr>
        <w:jc w:val="left"/>
      </w:pPr>
    </w:p>
    <w:p w14:paraId="6833ACF8" w14:textId="77777777" w:rsidR="005D2B5A" w:rsidRPr="00E663B0" w:rsidRDefault="005D2B5A" w:rsidP="005D2B5A">
      <w:pPr>
        <w:pStyle w:val="a5"/>
        <w:rPr>
          <w:rFonts w:ascii="Times New Roman" w:hAnsi="Times New Roman" w:cs="Times New Roman"/>
          <w:sz w:val="24"/>
          <w:szCs w:val="24"/>
        </w:rPr>
      </w:pPr>
      <w:r w:rsidRPr="00E663B0">
        <w:rPr>
          <w:rFonts w:ascii="Times New Roman" w:hAnsi="Times New Roman" w:cs="Times New Roman"/>
          <w:sz w:val="24"/>
          <w:szCs w:val="24"/>
        </w:rPr>
        <w:t>Наличие у Исполнителя действующей лицензии или выписки из реестра лицензий на осуществления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 перечнем выполняемых работ (оказываемых услуг) (на основании Федерального закона от 04.05.2011 № 99-ФЗ «О лицензировании отдельных видов деятельности», постановления Правительства Российской Федерации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N 1445 и признании утратившими силу отдельных актов Правительства Российской Федерации».</w:t>
      </w:r>
    </w:p>
    <w:p w14:paraId="217F92D1" w14:textId="77777777" w:rsidR="005D2B5A" w:rsidRPr="00E663B0" w:rsidRDefault="005D2B5A" w:rsidP="005D2B5A">
      <w:pPr>
        <w:pStyle w:val="a5"/>
        <w:rPr>
          <w:rFonts w:ascii="Times New Roman" w:hAnsi="Times New Roman" w:cs="Times New Roman"/>
          <w:sz w:val="24"/>
          <w:szCs w:val="24"/>
        </w:rPr>
      </w:pPr>
      <w:r w:rsidRPr="00E663B0">
        <w:rPr>
          <w:rFonts w:ascii="Times New Roman" w:hAnsi="Times New Roman" w:cs="Times New Roman"/>
          <w:sz w:val="24"/>
          <w:szCs w:val="24"/>
        </w:rPr>
        <w:t>Действие лицензии распространяется на следующие группы медицинских изделий:</w:t>
      </w:r>
    </w:p>
    <w:p w14:paraId="363024E8" w14:textId="77777777" w:rsidR="005D2B5A" w:rsidRPr="00E663B0" w:rsidRDefault="005D2B5A" w:rsidP="005D2B5A">
      <w:pPr>
        <w:pStyle w:val="a5"/>
        <w:rPr>
          <w:rFonts w:ascii="Times New Roman" w:hAnsi="Times New Roman" w:cs="Times New Roman"/>
          <w:sz w:val="24"/>
          <w:szCs w:val="24"/>
        </w:rPr>
      </w:pPr>
      <w:r w:rsidRPr="00E663B0">
        <w:rPr>
          <w:rFonts w:ascii="Times New Roman" w:hAnsi="Times New Roman" w:cs="Times New Roman"/>
          <w:sz w:val="24"/>
          <w:szCs w:val="24"/>
        </w:rPr>
        <w:t>техническое обслуживание групп медицинских изделий (кроме программного обеспечения, являющегося медицинским изделием) класса 2б потенциального риска применения:</w:t>
      </w:r>
    </w:p>
    <w:p w14:paraId="33914C95" w14:textId="7F609EC1" w:rsidR="005D2B5A" w:rsidRDefault="005D2B5A" w:rsidP="005D2B5A">
      <w:pPr>
        <w:jc w:val="left"/>
        <w:rPr>
          <w:sz w:val="24"/>
          <w:szCs w:val="24"/>
        </w:rPr>
      </w:pPr>
      <w:r w:rsidRPr="00E663B0">
        <w:rPr>
          <w:sz w:val="24"/>
          <w:szCs w:val="24"/>
        </w:rPr>
        <w:lastRenderedPageBreak/>
        <w:t>- радиологические медицинские изделия (в части рентгеновского оборудования для компьютерной томографии и ангиографии). Статус лицензии (действующая, не приостановлена, не приостановлена частично, не прекращена).</w:t>
      </w:r>
    </w:p>
    <w:p w14:paraId="38B757F0" w14:textId="6CB5558C" w:rsidR="005D2B5A" w:rsidRDefault="005D2B5A" w:rsidP="005D2B5A">
      <w:pPr>
        <w:jc w:val="left"/>
        <w:rPr>
          <w:sz w:val="24"/>
          <w:szCs w:val="24"/>
        </w:rPr>
      </w:pPr>
    </w:p>
    <w:p w14:paraId="6D9D03F7" w14:textId="77777777" w:rsidR="005D2B5A" w:rsidRDefault="005D2B5A" w:rsidP="005D2B5A">
      <w:pPr>
        <w:jc w:val="left"/>
      </w:pPr>
      <w:r>
        <w:t>Наличие у Исполнителя действующей лицензии на осуществление деятельности в области использования источников ионизирующего излучения (генерирующих) на основании Федерального закона от 04.05.2011 №99-ФЗ «О лицензировании отдельных видов деятельности». Статус лицензии (действующая, не приостановлена, не приостановлена частично, не прекращена).</w:t>
      </w:r>
    </w:p>
    <w:p w14:paraId="039FC104" w14:textId="1EE2104E" w:rsidR="005D2B5A" w:rsidRDefault="005D2B5A" w:rsidP="005D2B5A">
      <w:pPr>
        <w:jc w:val="left"/>
      </w:pPr>
      <w:r>
        <w:t>Наличие у Исполнителя действующего санитарно-эпидемиологического заключения о соответствии (несоответствии) видов деятельности (работ, услуг) требованиям государственных санитарно-эпидемиологических правил и нормативов</w:t>
      </w:r>
    </w:p>
    <w:p w14:paraId="61983708" w14:textId="27841EAD" w:rsidR="005D2B5A" w:rsidRDefault="005D2B5A" w:rsidP="005D2B5A">
      <w:pPr>
        <w:jc w:val="left"/>
      </w:pPr>
    </w:p>
    <w:p w14:paraId="1BC337FD" w14:textId="79FD96A8" w:rsidR="005D2B5A" w:rsidRDefault="005D2B5A" w:rsidP="005D2B5A">
      <w:pPr>
        <w:jc w:val="left"/>
      </w:pPr>
      <w:r>
        <w:t xml:space="preserve">Исполнитель должен иметь контрольно-измерительное и </w:t>
      </w:r>
      <w:proofErr w:type="gramStart"/>
      <w:r>
        <w:t>технологическое испытательное оборудование</w:t>
      </w:r>
      <w:proofErr w:type="gramEnd"/>
      <w:r>
        <w:t xml:space="preserve"> которое должно обеспечивать проведение всех видов работ по ТО МИ, указанных в перечне МИ, подлежащих ТО</w:t>
      </w:r>
    </w:p>
    <w:p w14:paraId="1089B2F4" w14:textId="77777777" w:rsidR="005D2B5A" w:rsidRDefault="005D2B5A" w:rsidP="005D2B5A">
      <w:pPr>
        <w:jc w:val="left"/>
      </w:pPr>
    </w:p>
    <w:p w14:paraId="2B47AD71" w14:textId="77777777" w:rsidR="005D2B5A" w:rsidRDefault="005D2B5A" w:rsidP="005D2B5A">
      <w:pPr>
        <w:jc w:val="left"/>
      </w:pPr>
      <w:r>
        <w:t xml:space="preserve">Средства измерений должны быть </w:t>
      </w:r>
      <w:proofErr w:type="spellStart"/>
      <w:r>
        <w:t>поверены</w:t>
      </w:r>
      <w:proofErr w:type="spellEnd"/>
      <w:r>
        <w:t>, технологическое испытательное оборудование, требующее аттестации, должно быть аттестовано согласно Федерального закона от 26 июня 2008 г. № 102-ФЗ по ГОСТ Р 8.568.</w:t>
      </w:r>
    </w:p>
    <w:p w14:paraId="4175A577" w14:textId="77777777" w:rsidR="005D2B5A" w:rsidRDefault="005D2B5A" w:rsidP="005D2B5A">
      <w:pPr>
        <w:jc w:val="left"/>
      </w:pPr>
    </w:p>
    <w:p w14:paraId="77D59B4B" w14:textId="0DA3014D" w:rsidR="005D2B5A" w:rsidRDefault="005D2B5A" w:rsidP="005D2B5A">
      <w:pPr>
        <w:jc w:val="left"/>
      </w:pPr>
      <w:r>
        <w:t xml:space="preserve">Все заменяемые запасные части должны быть оригинальными запасными </w:t>
      </w:r>
      <w:proofErr w:type="gramStart"/>
      <w:r>
        <w:t>частями ,</w:t>
      </w:r>
      <w:proofErr w:type="gramEnd"/>
      <w:r>
        <w:t xml:space="preserve"> быть новыми (не бывшими в употреблении и не восстановленными), с датой производства не ранее 2025 года и соответствовать техническим характеристикам завода-изготовителя. </w:t>
      </w:r>
    </w:p>
    <w:p w14:paraId="13BE25A8" w14:textId="77777777" w:rsidR="005D2B5A" w:rsidRDefault="005D2B5A" w:rsidP="005D2B5A">
      <w:pPr>
        <w:jc w:val="left"/>
      </w:pPr>
    </w:p>
    <w:p w14:paraId="1299947D" w14:textId="00B756D5" w:rsidR="005D2B5A" w:rsidRDefault="005D2B5A" w:rsidP="005D2B5A">
      <w:pPr>
        <w:jc w:val="left"/>
      </w:pPr>
      <w:r>
        <w:t>Наличие системы удаленного мониторинга состояния аппарата полностью совместимого с ПО производителя.</w:t>
      </w:r>
    </w:p>
    <w:p w14:paraId="148AD0B8" w14:textId="2C75E42F" w:rsidR="005D2B5A" w:rsidRDefault="005D2B5A" w:rsidP="005D2B5A">
      <w:pPr>
        <w:jc w:val="left"/>
      </w:pPr>
    </w:p>
    <w:p w14:paraId="41BFAD0A" w14:textId="5A778ED3" w:rsidR="005D2B5A" w:rsidRDefault="005D2B5A" w:rsidP="005D2B5A">
      <w:pPr>
        <w:jc w:val="left"/>
      </w:pPr>
      <w:r w:rsidRPr="005D2B5A">
        <w:t>Исполнитель должен иметь полный комплект действующей нормативной, технической и эксплуатационной документации, необходимой для проведения ремонта МИ, указанных в перечне МИ, подлежащих ремонту</w:t>
      </w:r>
    </w:p>
    <w:p w14:paraId="37AF298B" w14:textId="55D97AC2" w:rsidR="005D2B5A" w:rsidRDefault="005D2B5A" w:rsidP="005D2B5A">
      <w:pPr>
        <w:jc w:val="left"/>
      </w:pPr>
    </w:p>
    <w:p w14:paraId="1CE70085" w14:textId="77777777" w:rsidR="005D2B5A" w:rsidRDefault="005D2B5A" w:rsidP="005D2B5A">
      <w:pPr>
        <w:jc w:val="left"/>
      </w:pPr>
      <w:r>
        <w:t>Услуги оказываются специалистами по ремонту оборудования, прошедшими обучение на предприятиях-производителях соответствующих видов (наименований) оборудования или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ремонту соответствующих видов оборудования), имеющими документы установленного образца, если такие требования установлены производителем оборудования.</w:t>
      </w:r>
    </w:p>
    <w:p w14:paraId="3AD57A88" w14:textId="77777777" w:rsidR="005D2B5A" w:rsidRDefault="005D2B5A" w:rsidP="005D2B5A">
      <w:pPr>
        <w:jc w:val="left"/>
      </w:pPr>
    </w:p>
    <w:p w14:paraId="13474656" w14:textId="5E0EBDBF" w:rsidR="005D2B5A" w:rsidRDefault="005D2B5A" w:rsidP="005D2B5A">
      <w:pPr>
        <w:jc w:val="left"/>
      </w:pPr>
      <w:r>
        <w:t xml:space="preserve">Исполнитель обязуется обеспечить оказание услуг в соответствии с требованиями национального стандарта Российской Федерации </w:t>
      </w:r>
      <w:bookmarkStart w:id="0" w:name="_GoBack"/>
      <w:r>
        <w:t xml:space="preserve">ГОСТ Р 57501-2017 </w:t>
      </w:r>
      <w:bookmarkEnd w:id="0"/>
      <w:r>
        <w:t>«Техническое обслуживание медицинских изделий. Требования для государственных закупок»</w:t>
      </w:r>
      <w:r w:rsidR="00443BA6">
        <w:t>.</w:t>
      </w:r>
    </w:p>
    <w:sectPr w:rsidR="005D2B5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32"/>
    <w:rsid w:val="00237E4F"/>
    <w:rsid w:val="00443BA6"/>
    <w:rsid w:val="005D2B5A"/>
    <w:rsid w:val="006C0B77"/>
    <w:rsid w:val="008242FF"/>
    <w:rsid w:val="008668C4"/>
    <w:rsid w:val="00870751"/>
    <w:rsid w:val="00922C48"/>
    <w:rsid w:val="00A45501"/>
    <w:rsid w:val="00B915B7"/>
    <w:rsid w:val="00C67032"/>
    <w:rsid w:val="00DA418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4D86"/>
  <w15:chartTrackingRefBased/>
  <w15:docId w15:val="{6453475A-5091-4CF8-AF99-AFB82E0E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8C4"/>
    <w:pPr>
      <w:suppressAutoHyphens/>
      <w:autoSpaceDN w:val="0"/>
      <w:spacing w:after="0" w:line="240" w:lineRule="auto"/>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8668C4"/>
    <w:pPr>
      <w:ind w:left="720"/>
      <w:contextualSpacing/>
    </w:pPr>
  </w:style>
  <w:style w:type="character" w:customStyle="1" w:styleId="a4">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3"/>
    <w:uiPriority w:val="34"/>
    <w:locked/>
    <w:rsid w:val="008668C4"/>
    <w:rPr>
      <w:rFonts w:ascii="Times New Roman" w:eastAsia="Calibri" w:hAnsi="Times New Roman" w:cs="Times New Roman"/>
    </w:rPr>
  </w:style>
  <w:style w:type="paragraph" w:styleId="a5">
    <w:name w:val="No Spacing"/>
    <w:uiPriority w:val="1"/>
    <w:qFormat/>
    <w:rsid w:val="005D2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2026-06-19T10:43:00Z</dcterms:created>
  <dcterms:modified xsi:type="dcterms:W3CDTF">2026-06-19T10:48:00Z</dcterms:modified>
</cp:coreProperties>
</file>