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9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Техническое задание </w:t>
        <w:br w:type="textWrapping" w:clear="all"/>
        <w:t xml:space="preserve">на поставку</w:t>
      </w:r>
      <w:r>
        <w:rPr>
          <w:b/>
          <w:sz w:val="24"/>
          <w:szCs w:val="24"/>
        </w:rPr>
        <w:t xml:space="preserve"> питьевой воды (бутилированной)</w:t>
      </w:r>
      <w:r>
        <w:rPr>
          <w:b/>
          <w:sz w:val="24"/>
          <w:szCs w:val="24"/>
        </w:rPr>
        <w:t xml:space="preserve"> для нужд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9"/>
        <w:ind w:left="0" w:firstLine="0"/>
        <w:jc w:val="center"/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Территориального</w:t>
      </w:r>
      <w:r>
        <w:rPr>
          <w:rFonts w:eastAsia="Calibri"/>
          <w:b/>
          <w:bCs/>
          <w:sz w:val="24"/>
          <w:szCs w:val="24"/>
        </w:rPr>
        <w:t xml:space="preserve"> управления</w:t>
      </w:r>
      <w:r>
        <w:rPr>
          <w:rFonts w:eastAsia="Calibri"/>
          <w:b/>
          <w:bCs/>
          <w:sz w:val="24"/>
          <w:szCs w:val="24"/>
        </w:rPr>
        <w:t xml:space="preserve"> Федерального агентства по управлению государственным имуществом в городе Москве</w:t>
      </w:r>
      <w:r>
        <w:rPr>
          <w:rFonts w:eastAsia="Calibri"/>
          <w:b/>
          <w:bCs/>
          <w:sz w:val="24"/>
          <w:szCs w:val="24"/>
        </w:rPr>
      </w:r>
      <w:r>
        <w:rPr>
          <w:rFonts w:eastAsia="Calibri"/>
          <w:b/>
          <w:bCs/>
          <w:sz w:val="24"/>
          <w:szCs w:val="24"/>
        </w:rPr>
      </w:r>
    </w:p>
    <w:p>
      <w:pPr>
        <w:pStyle w:val="921"/>
        <w:ind w:left="284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Style w:val="921"/>
        <w:ind w:left="284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Style w:val="921"/>
        <w:ind w:left="0" w:right="0" w:firstLine="850"/>
        <w:jc w:val="both"/>
        <w:spacing w:line="276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1. Общие положения:</w:t>
      </w:r>
      <w:r>
        <w:rPr>
          <w:rFonts w:eastAsia="Times New Roman"/>
          <w:b/>
          <w:sz w:val="24"/>
          <w:szCs w:val="24"/>
        </w:rPr>
      </w:r>
      <w:r>
        <w:rPr>
          <w:rFonts w:eastAsia="Times New Roman"/>
          <w:b/>
          <w:sz w:val="24"/>
          <w:szCs w:val="24"/>
        </w:rPr>
      </w:r>
    </w:p>
    <w:p>
      <w:pPr>
        <w:pStyle w:val="921"/>
        <w:ind w:left="0" w:right="0" w:firstLine="850"/>
        <w:jc w:val="both"/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Предметом закупки является</w:t>
      </w:r>
      <w:r>
        <w:rPr>
          <w:sz w:val="24"/>
          <w:szCs w:val="24"/>
        </w:rPr>
        <w:t xml:space="preserve"> поставка питьевой бутилированной воды для нужд </w:t>
      </w:r>
      <w:r>
        <w:rPr>
          <w:rFonts w:eastAsia="Calibri"/>
          <w:bCs/>
          <w:sz w:val="24"/>
          <w:szCs w:val="24"/>
        </w:rPr>
        <w:t xml:space="preserve">Территориального управления</w:t>
      </w:r>
      <w:r>
        <w:rPr>
          <w:rFonts w:eastAsia="Calibri"/>
          <w:bCs/>
          <w:sz w:val="24"/>
          <w:szCs w:val="24"/>
        </w:rPr>
        <w:t xml:space="preserve"> Федерального агентства по управлению государственным имуществом в городе Москве</w:t>
      </w:r>
      <w:r>
        <w:rPr>
          <w:rStyle w:val="957"/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для кулера объёмом 19 л. (далее – Товар).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21"/>
        <w:ind w:left="0" w:right="0" w:firstLine="850"/>
        <w:jc w:val="both"/>
        <w:spacing w:line="276" w:lineRule="auto"/>
        <w:widowControl w:val="off"/>
        <w:rPr>
          <w:rFonts w:eastAsia="Calibri"/>
          <w:bCs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Заказч</w:t>
      </w:r>
      <w:r>
        <w:rPr>
          <w:rFonts w:eastAsia="Arial Unicode MS"/>
          <w:sz w:val="24"/>
          <w:szCs w:val="24"/>
        </w:rPr>
        <w:t xml:space="preserve">ику должен быть поставлен Товар</w:t>
      </w:r>
      <w:r>
        <w:rPr>
          <w:rFonts w:eastAsia="Arial Unicode MS"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в соответствии с требованиями настояще</w:t>
      </w:r>
      <w:r>
        <w:rPr>
          <w:rFonts w:eastAsia="Calibri"/>
          <w:bCs/>
          <w:sz w:val="24"/>
          <w:szCs w:val="24"/>
        </w:rPr>
        <w:t xml:space="preserve">го Т</w:t>
      </w:r>
      <w:r>
        <w:rPr>
          <w:rFonts w:eastAsia="Calibri"/>
          <w:bCs/>
          <w:sz w:val="24"/>
          <w:szCs w:val="24"/>
        </w:rPr>
        <w:t xml:space="preserve">ехнического задания.</w:t>
      </w:r>
      <w:r>
        <w:rPr>
          <w:rFonts w:eastAsia="Calibri"/>
          <w:bCs/>
          <w:sz w:val="24"/>
          <w:szCs w:val="24"/>
        </w:rPr>
      </w:r>
      <w:r>
        <w:rPr>
          <w:rFonts w:eastAsia="Calibri"/>
          <w:bCs/>
          <w:sz w:val="24"/>
          <w:szCs w:val="24"/>
        </w:rPr>
      </w:r>
    </w:p>
    <w:p>
      <w:pPr>
        <w:pStyle w:val="921"/>
        <w:ind w:left="0" w:right="0" w:firstLine="850"/>
        <w:jc w:val="both"/>
        <w:spacing w:line="276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2. Порядок формирования цены контракта:</w:t>
      </w:r>
      <w:r>
        <w:rPr>
          <w:rFonts w:eastAsia="Times New Roman"/>
          <w:b/>
          <w:sz w:val="24"/>
          <w:szCs w:val="24"/>
        </w:rPr>
      </w:r>
      <w:r>
        <w:rPr>
          <w:rFonts w:eastAsia="Times New Roman"/>
          <w:b/>
          <w:sz w:val="24"/>
          <w:szCs w:val="24"/>
        </w:rPr>
      </w:r>
    </w:p>
    <w:p>
      <w:pPr>
        <w:pStyle w:val="921"/>
        <w:ind w:left="0" w:right="0" w:firstLine="850"/>
        <w:jc w:val="both"/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Цена </w:t>
      </w:r>
      <w:r>
        <w:rPr>
          <w:rFonts w:eastAsia="Times New Roman"/>
          <w:sz w:val="24"/>
          <w:szCs w:val="24"/>
        </w:rPr>
        <w:t xml:space="preserve">Договор</w:t>
      </w:r>
      <w:r>
        <w:rPr>
          <w:rFonts w:eastAsia="Times New Roman"/>
          <w:sz w:val="24"/>
          <w:szCs w:val="24"/>
        </w:rPr>
        <w:t xml:space="preserve">а формируется с учетом всех расходов, связанных с исполнением </w:t>
      </w:r>
      <w:r>
        <w:rPr>
          <w:rFonts w:eastAsia="Times New Roman"/>
          <w:sz w:val="24"/>
          <w:szCs w:val="24"/>
        </w:rPr>
        <w:t xml:space="preserve">Договор</w:t>
      </w:r>
      <w:r>
        <w:rPr>
          <w:rFonts w:eastAsia="Times New Roman"/>
          <w:sz w:val="24"/>
          <w:szCs w:val="24"/>
        </w:rPr>
        <w:t xml:space="preserve">а, </w:t>
      </w:r>
      <w:r>
        <w:rPr>
          <w:rFonts w:eastAsia="Times New Roman"/>
          <w:sz w:val="24"/>
          <w:szCs w:val="24"/>
        </w:rPr>
        <w:t xml:space="preserve">в том числе расходов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 налоги, сборы, других обязательных платежей, упаковку, тару, погрузку, доставку, разгрузку, подъем на этаж, расходы, связанные с доставкой счетов.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21"/>
        <w:ind w:left="0" w:right="0" w:firstLine="850"/>
        <w:jc w:val="both"/>
        <w:spacing w:line="276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3. Срок и место поставки:</w:t>
      </w:r>
      <w:r>
        <w:rPr>
          <w:rFonts w:eastAsia="Times New Roman"/>
          <w:b/>
          <w:sz w:val="24"/>
          <w:szCs w:val="24"/>
        </w:rPr>
      </w:r>
      <w:r>
        <w:rPr>
          <w:rFonts w:eastAsia="Times New Roman"/>
          <w:b/>
          <w:sz w:val="24"/>
          <w:szCs w:val="24"/>
        </w:rPr>
      </w:r>
    </w:p>
    <w:p>
      <w:pPr>
        <w:pStyle w:val="921"/>
        <w:ind w:left="0" w:right="0" w:firstLine="850"/>
        <w:jc w:val="both"/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Поставка Товара осуществляется по адрес</w:t>
      </w:r>
      <w:r>
        <w:rPr>
          <w:rFonts w:eastAsia="Times New Roman"/>
          <w:sz w:val="24"/>
          <w:szCs w:val="24"/>
        </w:rPr>
        <w:t xml:space="preserve">у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г. Москва, Орликов пер., 3, к. Б.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21"/>
        <w:ind w:left="0" w:right="0" w:firstLine="850"/>
        <w:jc w:val="both"/>
        <w:spacing w:line="276" w:lineRule="auto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Срок поставки Товара:</w:t>
      </w:r>
      <w:r>
        <w:rPr>
          <w:rFonts w:eastAsia="Times New Roman"/>
          <w:sz w:val="24"/>
          <w:szCs w:val="24"/>
          <w:highlight w:val="white"/>
        </w:rPr>
        <w:t xml:space="preserve"> с момента заключения </w:t>
      </w:r>
      <w:r>
        <w:rPr>
          <w:rFonts w:eastAsia="Times New Roman"/>
          <w:sz w:val="24"/>
          <w:szCs w:val="24"/>
          <w:highlight w:val="white"/>
        </w:rPr>
        <w:t xml:space="preserve">Государственного </w:t>
      </w:r>
      <w:r>
        <w:rPr>
          <w:rFonts w:eastAsia="Times New Roman"/>
          <w:sz w:val="24"/>
          <w:szCs w:val="24"/>
          <w:highlight w:val="white"/>
        </w:rPr>
        <w:t xml:space="preserve">контракта</w:t>
        <w:br/>
      </w:r>
      <w:r>
        <w:rPr>
          <w:rFonts w:eastAsia="Times New Roman"/>
          <w:sz w:val="24"/>
          <w:szCs w:val="24"/>
          <w:highlight w:val="white"/>
        </w:rPr>
        <w:t xml:space="preserve">по</w:t>
      </w:r>
      <w:r>
        <w:rPr>
          <w:rFonts w:eastAsia="Times New Roman"/>
          <w:sz w:val="24"/>
          <w:szCs w:val="24"/>
          <w:highlight w:val="white"/>
        </w:rPr>
        <w:t xml:space="preserve"> 30</w:t>
      </w:r>
      <w:r>
        <w:rPr>
          <w:rFonts w:eastAsia="Times New Roman"/>
          <w:sz w:val="24"/>
          <w:szCs w:val="24"/>
          <w:highlight w:val="white"/>
        </w:rPr>
        <w:t xml:space="preserve"> октября</w:t>
      </w:r>
      <w:r>
        <w:rPr>
          <w:rFonts w:eastAsia="Times New Roman"/>
          <w:sz w:val="24"/>
          <w:szCs w:val="24"/>
          <w:highlight w:val="white"/>
        </w:rPr>
        <w:t xml:space="preserve"> 20</w:t>
      </w:r>
      <w:r>
        <w:rPr>
          <w:rFonts w:eastAsia="Times New Roman"/>
          <w:sz w:val="24"/>
          <w:szCs w:val="24"/>
          <w:highlight w:val="white"/>
        </w:rPr>
        <w:t xml:space="preserve">26</w:t>
      </w:r>
      <w:r>
        <w:rPr>
          <w:rFonts w:eastAsia="Times New Roman"/>
          <w:sz w:val="24"/>
          <w:szCs w:val="24"/>
          <w:highlight w:val="white"/>
        </w:rPr>
        <w:t xml:space="preserve"> г.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pStyle w:val="921"/>
        <w:ind w:left="0" w:right="0" w:firstLine="850"/>
        <w:jc w:val="both"/>
        <w:spacing w:line="276" w:lineRule="auto"/>
        <w:rPr>
          <w:rFonts w:eastAsia="Times New Roman"/>
          <w:b/>
          <w:bCs/>
          <w:sz w:val="24"/>
          <w:szCs w:val="24"/>
          <w:highlight w:val="none"/>
        </w:rPr>
      </w:pPr>
      <w:r>
        <w:rPr>
          <w:rFonts w:eastAsia="Times New Roman"/>
          <w:b/>
          <w:sz w:val="24"/>
          <w:szCs w:val="24"/>
        </w:rPr>
        <w:t xml:space="preserve">4</w:t>
      </w:r>
      <w:r>
        <w:rPr>
          <w:rFonts w:eastAsia="Times New Roman"/>
          <w:b/>
          <w:sz w:val="24"/>
          <w:szCs w:val="24"/>
        </w:rPr>
        <w:t xml:space="preserve">. Порядок поставки товара:</w:t>
      </w:r>
      <w:r>
        <w:rPr>
          <w:rFonts w:eastAsia="Times New Roman"/>
          <w:b/>
          <w:bCs/>
          <w:sz w:val="24"/>
          <w:szCs w:val="24"/>
          <w:highlight w:val="none"/>
        </w:rPr>
      </w:r>
      <w:r>
        <w:rPr>
          <w:rFonts w:eastAsia="Times New Roman"/>
          <w:b/>
          <w:bCs/>
          <w:sz w:val="24"/>
          <w:szCs w:val="24"/>
          <w:highlight w:val="none"/>
        </w:rPr>
      </w:r>
    </w:p>
    <w:p>
      <w:pPr>
        <w:ind w:left="0" w:right="0" w:firstLine="850"/>
        <w:jc w:val="both"/>
        <w:spacing w:line="276" w:lineRule="auto"/>
        <w:tabs>
          <w:tab w:val="left" w:pos="1418" w:leader="none"/>
        </w:tabs>
        <w:rPr>
          <w:rFonts w:eastAsia="Times New Roman"/>
          <w:sz w:val="24"/>
          <w:szCs w:val="24"/>
          <w14:ligatures w14:val="none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t xml:space="preserve">Поставлять по согласованию с Заказчиком </w:t>
      </w:r>
      <w:r>
        <w:rPr>
          <w:rFonts w:eastAsia="Times New Roman"/>
          <w:sz w:val="24"/>
          <w:szCs w:val="24"/>
        </w:rPr>
        <w:t xml:space="preserve">требуемое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количество бутылей в месяц</w:t>
      </w:r>
      <w:r>
        <w:rPr>
          <w:rFonts w:eastAsia="Times New Roman"/>
          <w:sz w:val="24"/>
          <w:szCs w:val="24"/>
        </w:rPr>
        <w:t xml:space="preserve"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</w:t>
      </w:r>
      <w:r>
        <w:rPr>
          <w:rFonts w:eastAsia="Times New Roman"/>
          <w:sz w:val="24"/>
          <w:szCs w:val="24"/>
        </w:rPr>
        <w:t xml:space="preserve"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</w:t>
      </w:r>
      <w:r>
        <w:rPr>
          <w:rFonts w:eastAsia="Times New Roman"/>
          <w:sz w:val="24"/>
          <w:szCs w:val="24"/>
        </w:rPr>
        <w:t xml:space="preserve">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</w:t>
      </w:r>
      <w:r>
        <w:rPr>
          <w:rFonts w:eastAsia="Times New Roman"/>
          <w:sz w:val="24"/>
          <w:szCs w:val="24"/>
        </w:rPr>
        <w:t xml:space="preserve">е</w:t>
      </w:r>
      <w:r>
        <w:rPr>
          <w:rFonts w:eastAsia="Times New Roman"/>
          <w:sz w:val="24"/>
          <w:szCs w:val="24"/>
        </w:rPr>
        <w:t xml:space="preserve">н</w:t>
      </w:r>
      <w:r>
        <w:rPr>
          <w:rFonts w:eastAsia="Times New Roman"/>
          <w:sz w:val="24"/>
          <w:szCs w:val="24"/>
        </w:rPr>
        <w:t xml:space="preserve">е</w:t>
      </w:r>
      <w:r>
        <w:rPr>
          <w:rFonts w:eastAsia="Times New Roman"/>
          <w:sz w:val="24"/>
          <w:szCs w:val="24"/>
        </w:rPr>
        <w:t xml:space="preserve">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4</w:t>
      </w:r>
      <w:r>
        <w:rPr>
          <w:rFonts w:eastAsia="Times New Roman"/>
          <w:sz w:val="24"/>
          <w:szCs w:val="24"/>
        </w:rPr>
        <w:t xml:space="preserve">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б</w:t>
      </w:r>
      <w:r>
        <w:rPr>
          <w:rFonts w:eastAsia="Times New Roman"/>
          <w:sz w:val="24"/>
          <w:szCs w:val="24"/>
        </w:rPr>
        <w:t xml:space="preserve">у</w:t>
      </w:r>
      <w:r>
        <w:rPr>
          <w:rFonts w:eastAsia="Times New Roman"/>
          <w:sz w:val="24"/>
          <w:szCs w:val="24"/>
        </w:rPr>
        <w:t xml:space="preserve">т</w:t>
      </w:r>
      <w:r>
        <w:rPr>
          <w:rFonts w:eastAsia="Times New Roman"/>
          <w:sz w:val="24"/>
          <w:szCs w:val="24"/>
        </w:rPr>
        <w:t xml:space="preserve">ы</w:t>
      </w:r>
      <w:r>
        <w:rPr>
          <w:rFonts w:eastAsia="Times New Roman"/>
          <w:sz w:val="24"/>
          <w:szCs w:val="24"/>
        </w:rPr>
        <w:t xml:space="preserve">л</w:t>
      </w:r>
      <w:r>
        <w:rPr>
          <w:rFonts w:eastAsia="Times New Roman"/>
          <w:sz w:val="24"/>
          <w:szCs w:val="24"/>
        </w:rPr>
        <w:t xml:space="preserve">ей за одну поставку.</w:t>
      </w:r>
      <w:r>
        <w:rPr>
          <w:rFonts w:eastAsia="Times New Roman"/>
          <w:sz w:val="24"/>
          <w:szCs w:val="24"/>
          <w14:ligatures w14:val="none"/>
        </w:rPr>
      </w:r>
      <w:r>
        <w:rPr>
          <w:rFonts w:eastAsia="Times New Roman"/>
          <w:sz w:val="24"/>
          <w:szCs w:val="24"/>
          <w14:ligatures w14:val="none"/>
        </w:rPr>
      </w:r>
    </w:p>
    <w:p>
      <w:pPr>
        <w:ind w:left="0" w:right="0" w:firstLine="850"/>
        <w:jc w:val="both"/>
        <w:spacing w:after="0" w:line="276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Доставка, разгрузка Товара</w:t>
      </w:r>
      <w:r>
        <w:rPr>
          <w:rFonts w:ascii="Times New Roman" w:hAnsi="Times New Roman"/>
          <w:sz w:val="24"/>
        </w:rPr>
        <w:t xml:space="preserve"> с автотранспортных средств </w:t>
      </w:r>
      <w:r>
        <w:rPr>
          <w:rFonts w:ascii="Times New Roman" w:hAnsi="Times New Roman"/>
          <w:b/>
          <w:sz w:val="24"/>
        </w:rPr>
        <w:t xml:space="preserve">до места складирования</w:t>
      </w:r>
      <w:r>
        <w:rPr>
          <w:rFonts w:ascii="Times New Roman" w:hAnsi="Times New Roman"/>
          <w:sz w:val="24"/>
        </w:rPr>
        <w:t xml:space="preserve"> Заказчика осуществляются силами Поставщика.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850"/>
        <w:jc w:val="both"/>
        <w:spacing w:after="0" w:line="276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Доставка Товара производится Поставщиком в согласованные между Заказчиком</w:t>
        <w:br/>
        <w:t xml:space="preserve">и Поставщиком рабоч</w:t>
      </w:r>
      <w:r>
        <w:rPr>
          <w:rFonts w:ascii="Times New Roman" w:hAnsi="Times New Roman"/>
          <w:sz w:val="24"/>
        </w:rPr>
        <w:t xml:space="preserve">ие дни Заказчика: с понедельника по четверг с 09:00 до 18:00 часов,</w:t>
        <w:br/>
        <w:t xml:space="preserve">по пятницам – с 09:00 до 16:45 часов по московскому времени, на условиях контракта</w:t>
        <w:br/>
        <w:t xml:space="preserve">и настоящего Технического задания. Поставщик должен учитывать режим работы Заказчика при поставке Товара.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21"/>
        <w:ind w:left="567" w:right="0" w:firstLine="283"/>
        <w:jc w:val="both"/>
        <w:spacing w:line="276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5</w:t>
      </w:r>
      <w:r>
        <w:rPr>
          <w:rFonts w:eastAsia="Times New Roman"/>
          <w:b/>
          <w:sz w:val="24"/>
          <w:szCs w:val="24"/>
        </w:rPr>
        <w:t xml:space="preserve">. Технические и функциональные характеристики Товара:</w:t>
      </w:r>
      <w:r>
        <w:rPr>
          <w:rFonts w:eastAsia="Times New Roman"/>
          <w:b/>
          <w:sz w:val="24"/>
          <w:szCs w:val="24"/>
        </w:rPr>
      </w:r>
      <w:r>
        <w:rPr>
          <w:rFonts w:eastAsia="Times New Roman"/>
          <w:b/>
          <w:sz w:val="24"/>
          <w:szCs w:val="24"/>
        </w:rPr>
      </w:r>
    </w:p>
    <w:p>
      <w:pPr>
        <w:ind w:left="0" w:right="0" w:firstLine="851"/>
        <w:jc w:val="both"/>
        <w:spacing w:after="0" w:line="240" w:lineRule="auto"/>
        <w:widowControl w:val="off"/>
        <w:tabs>
          <w:tab w:val="left" w:pos="7088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spacing w:after="0" w:line="240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567" w:firstLine="142"/>
        <w:jc w:val="both"/>
        <w:spacing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  <w:highlight w:val="none"/>
        </w:rPr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tbl>
      <w:tblPr>
        <w:tblW w:w="0" w:type="auto"/>
        <w:tblInd w:w="5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2977"/>
        <w:gridCol w:w="3969"/>
        <w:gridCol w:w="992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1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№ </w:t>
              <w:br w:type="textWrapping" w:clear="all"/>
              <w:t xml:space="preserve">п/п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921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Наименование Товара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921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Характеристики Товара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21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Ед. изм.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21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Кол-во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1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1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Питьевая бутилированная вода 19 л.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ОКПД2: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11.07.11.121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921"/>
              <w:jc w:val="both"/>
              <w:spacing w:line="252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Вода питьевая должна быть не ниже первой категории, артезианская, негазированная, прозрачная, без посторонних привк</w:t>
            </w:r>
            <w:r>
              <w:rPr>
                <w:sz w:val="24"/>
                <w:szCs w:val="24"/>
              </w:rPr>
              <w:t xml:space="preserve">усов и запаха, расфасованная в </w:t>
            </w:r>
            <w:r>
              <w:rPr>
                <w:color w:val="000000"/>
                <w:sz w:val="24"/>
                <w:szCs w:val="24"/>
              </w:rPr>
              <w:t xml:space="preserve">одноразовые ПЭТ бутыли объёмом</w:t>
            </w:r>
            <w:r>
              <w:rPr>
                <w:sz w:val="24"/>
                <w:szCs w:val="24"/>
              </w:rPr>
              <w:t xml:space="preserve"> 19 л</w:t>
            </w:r>
            <w:r>
              <w:rPr>
                <w:color w:val="000000"/>
                <w:sz w:val="24"/>
                <w:szCs w:val="24"/>
              </w:rPr>
              <w:t xml:space="preserve">. Остаточный срок годности на момент поставки - не менее 90 % с даты разлива (изготовления).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spacing w:line="252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бщая минерализация 0,05 – 1 г/л.;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Химический состав: бикарбонаты HCO3- &lt;400, кальций Ca2+ &lt;130, магний Mg2+ &lt;65;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жесткость не более 7 мг-экв/л.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spacing w:line="252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Срок годности: 12 месяцев;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both"/>
              <w:spacing w:line="252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Питьевая вода должна соответствовать следующим требованиям: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both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постановлению Главного</w:t>
            </w:r>
            <w:r>
              <w:rPr>
                <w:sz w:val="24"/>
                <w:szCs w:val="24"/>
              </w:rPr>
              <w:t xml:space="preserve"> государственного санитарного врача РФ от 19.03.2002 № 12</w:t>
              <w:br/>
              <w:t xml:space="preserve">«О введении в действие санитарно-эпидемиологических правил и нормативов «Питьевая вода. Гигиенические требования </w:t>
              <w:br/>
              <w:t xml:space="preserve">к качеству воды, расфасованной в емкости. Контроль качества. СанПиН 2.1.4.1116-02»;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Техническому регламенту Евразийского экономического союза «О безопасности упакованной питьевой воды, включая природную минеральную воду» (решение Совета Евразийской экономической комиссии от 23.06.2017 № 45).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21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бутыль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sz w:val="24"/>
                <w:szCs w:val="24"/>
                <w:highlight w:val="none"/>
              </w:rPr>
              <w:t xml:space="preserve">430</w:t>
            </w:r>
            <w:r>
              <w:rPr>
                <w:rFonts w:eastAsia="Times New Roman"/>
                <w:sz w:val="24"/>
                <w:szCs w:val="24"/>
                <w:highlight w:val="yellow"/>
              </w:rPr>
            </w:r>
          </w:p>
        </w:tc>
      </w:tr>
    </w:tbl>
    <w:p>
      <w:pPr>
        <w:pStyle w:val="921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  <w:r>
        <w:rPr>
          <w:rFonts w:eastAsia="Times New Roman"/>
          <w:b/>
          <w:sz w:val="24"/>
          <w:szCs w:val="24"/>
        </w:rPr>
      </w:r>
      <w:r>
        <w:rPr>
          <w:rFonts w:eastAsia="Times New Roman"/>
          <w:b/>
          <w:sz w:val="24"/>
          <w:szCs w:val="24"/>
        </w:rPr>
      </w:r>
    </w:p>
    <w:p>
      <w:pPr>
        <w:ind w:left="0" w:firstLine="851"/>
        <w:jc w:val="both"/>
        <w:spacing w:after="0" w:line="240" w:lineRule="auto"/>
        <w:widowControl w:val="o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Требования к </w:t>
      </w:r>
      <w:r>
        <w:rPr>
          <w:rFonts w:ascii="Times New Roman" w:hAnsi="Times New Roman"/>
          <w:b/>
          <w:sz w:val="24"/>
        </w:rPr>
        <w:t xml:space="preserve">упаковке </w:t>
      </w:r>
      <w:r>
        <w:rPr>
          <w:rFonts w:ascii="Times New Roman" w:hAnsi="Times New Roman"/>
          <w:b/>
          <w:sz w:val="24"/>
        </w:rPr>
        <w:t xml:space="preserve">Товара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Маркировка Товара должна быть четкой и содержать необходимую информацию о товаре </w:t>
      </w:r>
      <w:r>
        <w:rPr>
          <w:rFonts w:ascii="Times New Roman" w:hAnsi="Times New Roman"/>
          <w:sz w:val="24"/>
        </w:rPr>
        <w:t xml:space="preserve">в соответствии со стандартами, СанПиНами, ГОСТами и иными нормативными актами, в том числе: наименование товара, страна производства, товарный знак изготовителя (при наличии), объем, основной состав, дата разлива (изготовления), срок годности.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Упаковка Товара должна обеспечивать его сохранность при транспортировке, защищать от повреждений и воздействия вн</w:t>
      </w:r>
      <w:r>
        <w:rPr>
          <w:rFonts w:ascii="Times New Roman" w:hAnsi="Times New Roman"/>
          <w:sz w:val="24"/>
        </w:rPr>
        <w:t xml:space="preserve">ешней среды. Маркировка товара 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keepNext/>
        <w:spacing w:after="0" w:line="276" w:lineRule="auto"/>
        <w:widowControl w:val="off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7. Требования к гарантийному сроку и объему предоставления гарантии качества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keepNext/>
        <w:spacing w:after="0" w:line="276" w:lineRule="auto"/>
        <w:widowControl w:val="off"/>
        <w:tabs>
          <w:tab w:val="left" w:pos="0" w:leader="none"/>
        </w:tabs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</w:t>
      </w:r>
      <w:r>
        <w:rPr>
          <w:rFonts w:ascii="Times New Roman" w:hAnsi="Times New Roman"/>
          <w:sz w:val="24"/>
        </w:rPr>
        <w:t xml:space="preserve">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/>
          <w:color w:val="000000"/>
          <w:sz w:val="24"/>
        </w:rPr>
        <w:t xml:space="preserve">сертификатами</w:t>
      </w:r>
      <w:r>
        <w:rPr>
          <w:rFonts w:ascii="Times New Roman" w:hAnsi="Times New Roman"/>
          <w:color w:val="000000"/>
          <w:sz w:val="24"/>
        </w:rPr>
        <w:t xml:space="preserve">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851"/>
        <w:jc w:val="both"/>
        <w:keepNext/>
        <w:spacing w:after="0" w:line="276" w:lineRule="auto"/>
        <w:widowControl w:val="off"/>
        <w:tabs>
          <w:tab w:val="left" w:pos="0" w:leader="none"/>
        </w:tabs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Гарантийный срок на поставленный Товар должен составлять не менее 12 (двенадцати) месяцев с даты подписания Сторонами универсального передаточного документа товарной накладной.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</w:t>
      </w:r>
      <w:r>
        <w:rPr>
          <w:rFonts w:ascii="Times New Roman" w:hAnsi="Times New Roman"/>
          <w:sz w:val="24"/>
        </w:rPr>
        <w:t xml:space="preserve">, в срок 5 (пяти)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708" w:firstLine="143"/>
        <w:jc w:val="both"/>
        <w:spacing w:after="0" w:line="276" w:lineRule="auto"/>
        <w:widowControl w:val="o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8. </w:t>
      </w:r>
      <w:r>
        <w:rPr>
          <w:rFonts w:ascii="Times New Roman" w:hAnsi="Times New Roman"/>
          <w:b/>
          <w:sz w:val="24"/>
        </w:rPr>
        <w:t xml:space="preserve">Порядок приемки и оплаты Товара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Одновременно с Товаром Поставщик передает Заказчику следующие документы: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товарную накладную формы № ТОРГ-12 или универсальный передаточный документ </w:t>
      </w:r>
      <w:r>
        <w:rPr>
          <w:rFonts w:ascii="Times New Roman" w:hAnsi="Times New Roman"/>
          <w:sz w:val="24"/>
        </w:rPr>
        <w:t xml:space="preserve">в соответствии с письмом ФНС России от 21 октября 2013 г. № ММВ-20-3/96</w:t>
      </w:r>
      <w:r>
        <w:rPr>
          <w:rFonts w:ascii="Times New Roman" w:hAnsi="Times New Roman"/>
          <w:sz w:val="24"/>
        </w:rPr>
        <w:t xml:space="preserve"> (далее – УПД) в 2-х экземплярах (один экземпляр – для Заказчика и один экземпляр – для Поставщика);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счет на оплату;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иные относящиеся к Товару документы (при наличии).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850"/>
        <w:jc w:val="both"/>
        <w:spacing w:after="0" w:line="276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Приемка Товара осуществляется в день поставки Товара путем подписания Сторонами универсального передаточного документа или товарной накладной с приложением иных относящихся к Товару документов (при </w:t>
      </w:r>
      <w:r>
        <w:rPr>
          <w:rFonts w:ascii="Times New Roman" w:hAnsi="Times New Roman"/>
          <w:sz w:val="24"/>
        </w:rPr>
        <w:t xml:space="preserve">наличии). В случае обнаружения каких-либо недостатков в количестве, качестве и т.д. Заказчик составляет мотивированный отказ от подписания универсального передаточного документа или товарной накладной с указанием сроков устранения обнаруженных недостатков.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851"/>
        <w:jc w:val="both"/>
        <w:spacing w:after="0" w:line="276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Оплата производится на основании подписанного Сторонами универсального передаточного документа или товарной накладной и предоставления Поставщиком всех относящихся к Товару документов не позднее 7 (семи) рабочих дней </w:t>
      </w:r>
      <w:r>
        <w:rPr>
          <w:rFonts w:ascii="Times New Roman" w:hAnsi="Times New Roman"/>
          <w:sz w:val="24"/>
        </w:rPr>
        <w:t xml:space="preserve">с даты подписания документов о приемке Товара.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headerReference w:type="default" r:id="rId9"/>
      <w:footnotePr/>
      <w:endnotePr/>
      <w:type w:val="nextPage"/>
      <w:pgSz w:w="11907" w:h="16840" w:orient="portrait"/>
      <w:pgMar w:top="1134" w:right="852" w:bottom="1134" w:left="992" w:header="0" w:footer="442" w:gutter="0"/>
      <w:cols w:num="1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Cambria">
    <w:panose1 w:val="02040503050406030204"/>
  </w:font>
  <w:font w:name="Times New Roman">
    <w:panose1 w:val="02020603050405020304"/>
  </w:font>
  <w:font w:name="Courier New">
    <w:panose1 w:val="02070309020205020404"/>
  </w:font>
  <w:font w:name="SimSun">
    <w:panose1 w:val="02000506000000020000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  <w:ind w:left="1276"/>
      <w:jc w:val="right"/>
      <w:rPr>
        <w:b/>
        <w:sz w:val="24"/>
        <w:szCs w:val="16"/>
      </w:rPr>
    </w:pPr>
    <w:r>
      <w:rPr>
        <w:b/>
        <w:sz w:val="24"/>
        <w:szCs w:val="16"/>
      </w:rPr>
    </w:r>
    <w:r>
      <w:rPr>
        <w:b/>
        <w:sz w:val="24"/>
        <w:szCs w:val="16"/>
      </w:rPr>
    </w:r>
    <w:r>
      <w:rPr>
        <w:b/>
        <w:sz w:val="24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firstLine="360"/>
        <w:tabs>
          <w:tab w:val="num" w:pos="357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64" w:hanging="244"/>
        <w:tabs>
          <w:tab w:val="num" w:pos="72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isLgl w:val="false"/>
      <w:suff w:val="tab"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cs="Times New Roman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484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968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092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9576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70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184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6308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792" w:hanging="1800"/>
      </w:pPr>
      <w:rPr>
        <w:rFonts w:cs="Times New Roman"/>
      </w:rPr>
    </w:lvl>
  </w:abstractNum>
  <w:abstractNum w:abstractNumId="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70" w:hanging="870"/>
        <w:tabs>
          <w:tab w:val="num" w:pos="870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086" w:hanging="870"/>
        <w:tabs>
          <w:tab w:val="num" w:pos="1086" w:leader="none"/>
        </w:tabs>
      </w:pPr>
      <w:rPr>
        <w:rFonts w:cs="Times New Roman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302" w:hanging="870"/>
        <w:tabs>
          <w:tab w:val="num" w:pos="1302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8" w:hanging="870"/>
        <w:tabs>
          <w:tab w:val="num" w:pos="151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734" w:hanging="870"/>
        <w:tabs>
          <w:tab w:val="num" w:pos="1734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080"/>
        <w:tabs>
          <w:tab w:val="num" w:pos="21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376" w:hanging="1080"/>
        <w:tabs>
          <w:tab w:val="num" w:pos="2376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92" w:hanging="1080"/>
        <w:tabs>
          <w:tab w:val="num" w:pos="2592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68" w:hanging="1440"/>
        <w:tabs>
          <w:tab w:val="num" w:pos="3168" w:leader="none"/>
        </w:tabs>
      </w:pPr>
      <w:rPr>
        <w:rFonts w:cs="Times New Roman"/>
      </w:r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85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9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3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02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7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60" w:hanging="1440"/>
      </w:p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eastAsia="Arial Unicode MS"/>
      </w:rPr>
    </w:lvl>
    <w:lvl w:ilvl="1">
      <w:start w:val="1"/>
      <w:numFmt w:val="decimal"/>
      <w:isLgl w:val="false"/>
      <w:suff w:val="tab"/>
      <w:lvlText w:val="%1.%2."/>
      <w:lvlJc w:val="left"/>
      <w:pPr>
        <w:ind w:left="1004" w:hanging="360"/>
      </w:pPr>
      <w:rPr>
        <w:rFonts w:eastAsia="Arial Unicode MS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08" w:hanging="720"/>
      </w:pPr>
      <w:rPr>
        <w:rFonts w:eastAsia="Arial Unicode M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652" w:hanging="720"/>
      </w:pPr>
      <w:rPr>
        <w:rFonts w:eastAsia="Arial Unicode MS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656" w:hanging="1080"/>
      </w:pPr>
      <w:rPr>
        <w:rFonts w:eastAsia="Arial Unicode MS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300" w:hanging="1080"/>
      </w:pPr>
      <w:rPr>
        <w:rFonts w:eastAsia="Arial Unicode MS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944" w:hanging="1080"/>
      </w:pPr>
      <w:rPr>
        <w:rFonts w:eastAsia="Arial Unicode MS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48" w:hanging="1440"/>
      </w:pPr>
      <w:rPr>
        <w:rFonts w:eastAsia="Arial Unicode MS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592" w:hanging="1440"/>
      </w:pPr>
      <w:rPr>
        <w:rFonts w:eastAsia="Arial Unicode MS"/>
      </w:rPr>
    </w:lvl>
  </w:abstractNum>
  <w:abstractNum w:abstractNumId="1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1.%2."/>
      <w:lvlJc w:val="left"/>
      <w:pPr>
        <w:ind w:left="750" w:hanging="390"/>
        <w:tabs>
          <w:tab w:val="num" w:pos="75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10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14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  <w:tabs>
          <w:tab w:val="num" w:pos="14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180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  <w:tabs>
          <w:tab w:val="num" w:pos="1800" w:leader="none"/>
        </w:tabs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SimSu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3.%1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cs="Times New Roman"/>
      </w:r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11" w:hanging="495"/>
        <w:tabs>
          <w:tab w:val="num" w:pos="711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52" w:hanging="720"/>
        <w:tabs>
          <w:tab w:val="num" w:pos="1152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368" w:hanging="720"/>
        <w:tabs>
          <w:tab w:val="num" w:pos="136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44" w:hanging="1080"/>
        <w:tabs>
          <w:tab w:val="num" w:pos="1944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080"/>
        <w:tabs>
          <w:tab w:val="num" w:pos="21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376" w:hanging="1080"/>
        <w:tabs>
          <w:tab w:val="num" w:pos="2376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952" w:hanging="1440"/>
        <w:tabs>
          <w:tab w:val="num" w:pos="2952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68" w:hanging="1440"/>
        <w:tabs>
          <w:tab w:val="num" w:pos="3168" w:leader="none"/>
        </w:tabs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 w:eastAsia="SimSu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585" w:hanging="585"/>
        <w:tabs>
          <w:tab w:val="num" w:pos="585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"/>
      <w:lvlJc w:val="left"/>
      <w:pPr>
        <w:ind w:left="801" w:hanging="585"/>
        <w:tabs>
          <w:tab w:val="num" w:pos="801" w:leader="none"/>
        </w:tabs>
      </w:pPr>
      <w:rPr>
        <w:rFonts w:cs="Times New Roman"/>
      </w:rPr>
    </w:lvl>
    <w:lvl w:ilvl="2">
      <w:start w:val="2"/>
      <w:numFmt w:val="decimal"/>
      <w:isLgl w:val="false"/>
      <w:suff w:val="tab"/>
      <w:lvlText w:val="%1.%2.%3"/>
      <w:lvlJc w:val="left"/>
      <w:pPr>
        <w:ind w:left="1152" w:hanging="720"/>
        <w:tabs>
          <w:tab w:val="num" w:pos="1152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368" w:hanging="720"/>
        <w:tabs>
          <w:tab w:val="num" w:pos="136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584" w:hanging="720"/>
        <w:tabs>
          <w:tab w:val="num" w:pos="1584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080"/>
        <w:tabs>
          <w:tab w:val="num" w:pos="21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376" w:hanging="1080"/>
        <w:tabs>
          <w:tab w:val="num" w:pos="2376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952" w:hanging="1440"/>
        <w:tabs>
          <w:tab w:val="num" w:pos="2952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168" w:hanging="1440"/>
        <w:tabs>
          <w:tab w:val="num" w:pos="3168" w:leader="none"/>
        </w:tabs>
      </w:pPr>
      <w:rPr>
        <w:rFonts w:cs="Times New Roman"/>
      </w:rPr>
    </w:lvl>
  </w:abstractNum>
  <w:abstractNum w:abstractNumId="2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  <w:rPr>
        <w:rFonts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1.%1"/>
      <w:lvlJc w:val="left"/>
      <w:pPr>
        <w:ind w:left="360" w:hanging="360"/>
        <w:tabs>
          <w:tab w:val="num" w:pos="360" w:leader="none"/>
        </w:tabs>
      </w:pPr>
      <w:rPr>
        <w:rFonts w:cs="Times New Roman"/>
        <w:sz w:val="18"/>
        <w:szCs w:val="1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cs="Times New Roman"/>
      </w:r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405" w:hanging="405"/>
        <w:tabs>
          <w:tab w:val="num" w:pos="405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"/>
      <w:lvlJc w:val="left"/>
      <w:pPr>
        <w:ind w:left="405" w:hanging="405"/>
        <w:tabs>
          <w:tab w:val="num" w:pos="405" w:leader="none"/>
        </w:tabs>
      </w:pPr>
      <w:rPr>
        <w:rFonts w:cs="Times New Roman"/>
      </w:rPr>
    </w:lvl>
    <w:lvl w:ilvl="2">
      <w:start w:val="2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</w:abstractNum>
  <w:abstractNum w:abstractNumId="2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20" w:hanging="1020"/>
        <w:tabs>
          <w:tab w:val="num" w:pos="1020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236" w:hanging="1020"/>
        <w:tabs>
          <w:tab w:val="num" w:pos="1236" w:leader="none"/>
        </w:tabs>
      </w:pPr>
      <w:rPr>
        <w:rFonts w:cs="Times New Roman"/>
      </w:rPr>
    </w:lvl>
    <w:lvl w:ilvl="2">
      <w:start w:val="10"/>
      <w:numFmt w:val="decimal"/>
      <w:isLgl w:val="false"/>
      <w:suff w:val="tab"/>
      <w:lvlText w:val="%1.%2.%3."/>
      <w:lvlJc w:val="left"/>
      <w:pPr>
        <w:ind w:left="1452" w:hanging="1020"/>
        <w:tabs>
          <w:tab w:val="num" w:pos="1452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668" w:hanging="1020"/>
        <w:tabs>
          <w:tab w:val="num" w:pos="166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884" w:hanging="1020"/>
        <w:tabs>
          <w:tab w:val="num" w:pos="1884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080"/>
        <w:tabs>
          <w:tab w:val="num" w:pos="21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376" w:hanging="1080"/>
        <w:tabs>
          <w:tab w:val="num" w:pos="2376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92" w:hanging="1080"/>
        <w:tabs>
          <w:tab w:val="num" w:pos="2592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68" w:hanging="1440"/>
        <w:tabs>
          <w:tab w:val="num" w:pos="3168" w:leader="none"/>
        </w:tabs>
      </w:pPr>
      <w:rPr>
        <w:rFonts w:cs="Times New Roman"/>
      </w:rPr>
    </w:lvl>
  </w:abstractNum>
  <w:abstractNum w:abstractNumId="2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1.%1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85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9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3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02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7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60" w:hanging="1440"/>
      </w:pPr>
    </w:lvl>
  </w:abstractNum>
  <w:abstractNum w:abstractNumId="3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5"/>
      <w:numFmt w:val="decimal"/>
      <w:isLgl w:val="false"/>
      <w:suff w:val="tab"/>
      <w:lvlText w:val="%1.%2.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5.%1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cs="Times New Roman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3">
    <w:multiLevelType w:val="hybridMultilevel"/>
    <w:lvl w:ilvl="0">
      <w:start w:val="1"/>
      <w:numFmt w:val="decimal"/>
      <w:pStyle w:val="951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cs="Times New Roman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2.%1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cs="Times New Roman"/>
      </w:rPr>
    </w:lvl>
  </w:abstractNum>
  <w:abstractNum w:abstractNumId="3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num w:numId="1">
    <w:abstractNumId w:val="21"/>
  </w:num>
  <w:num w:numId="2">
    <w:abstractNumId w:val="34"/>
  </w:num>
  <w:num w:numId="3">
    <w:abstractNumId w:val="33"/>
  </w:num>
  <w:num w:numId="4">
    <w:abstractNumId w:val="13"/>
  </w:num>
  <w:num w:numId="5">
    <w:abstractNumId w:val="16"/>
  </w:num>
  <w:num w:numId="6">
    <w:abstractNumId w:val="31"/>
  </w:num>
  <w:num w:numId="7">
    <w:abstractNumId w:val="28"/>
  </w:num>
  <w:num w:numId="8">
    <w:abstractNumId w:val="22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9"/>
  </w:num>
  <w:num w:numId="12">
    <w:abstractNumId w:val="6"/>
  </w:num>
  <w:num w:numId="13">
    <w:abstractNumId w:val="23"/>
  </w:num>
  <w:num w:numId="14">
    <w:abstractNumId w:val="0"/>
  </w:num>
  <w:num w:numId="15">
    <w:abstractNumId w:val="1"/>
  </w:num>
  <w:num w:numId="16">
    <w:abstractNumId w:val="20"/>
  </w:num>
  <w:num w:numId="17">
    <w:abstractNumId w:val="3"/>
  </w:num>
  <w:num w:numId="18">
    <w:abstractNumId w:val="35"/>
  </w:num>
  <w:num w:numId="19">
    <w:abstractNumId w:val="27"/>
  </w:num>
  <w:num w:numId="20">
    <w:abstractNumId w:val="32"/>
  </w:num>
  <w:num w:numId="21">
    <w:abstractNumId w:val="26"/>
  </w:num>
  <w:num w:numId="22">
    <w:abstractNumId w:val="5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6"/>
  </w:num>
  <w:num w:numId="26">
    <w:abstractNumId w:val="24"/>
  </w:num>
  <w:num w:numId="27">
    <w:abstractNumId w:val="37"/>
    <w:lvlOverride w:ilvl="0">
      <w:lvl w:ilvl="0">
        <w:start w:val="1"/>
        <w:numFmt w:val="bullet"/>
        <w:isLgl w:val="false"/>
        <w:suff w:val="tab"/>
        <w:lvlText w:val=""/>
        <w:legacy w:legacy="1" w:legacyIndent="0" w:legacySpace="0"/>
        <w:lvlJc w:val="left"/>
        <w:pPr/>
        <w:rPr>
          <w:rFonts w:ascii="Symbol" w:hAnsi="Symbol"/>
        </w:rPr>
      </w:lvl>
    </w:lvlOverride>
  </w:num>
  <w:num w:numId="28">
    <w:abstractNumId w:val="29"/>
  </w:num>
  <w:num w:numId="29">
    <w:abstractNumId w:val="7"/>
  </w:num>
  <w:num w:numId="30">
    <w:abstractNumId w:val="9"/>
  </w:num>
  <w:num w:numId="31">
    <w:abstractNumId w:val="15"/>
  </w:num>
  <w:num w:numId="32">
    <w:abstractNumId w:val="18"/>
  </w:num>
  <w:num w:numId="33">
    <w:abstractNumId w:val="12"/>
  </w:num>
  <w:num w:numId="34">
    <w:abstractNumId w:val="8"/>
  </w:num>
  <w:num w:numId="35">
    <w:abstractNumId w:val="2"/>
  </w:num>
  <w:num w:numId="36">
    <w:abstractNumId w:val="4"/>
  </w:num>
  <w:num w:numId="37">
    <w:abstractNumId w:val="10"/>
  </w:num>
  <w:num w:numId="38">
    <w:abstractNumId w:val="1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3">
    <w:name w:val="Heading 1"/>
    <w:basedOn w:val="921"/>
    <w:next w:val="921"/>
    <w:link w:val="74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4">
    <w:name w:val="Heading 1 Char"/>
    <w:link w:val="743"/>
    <w:uiPriority w:val="9"/>
    <w:rPr>
      <w:rFonts w:ascii="Arial" w:hAnsi="Arial" w:eastAsia="Arial" w:cs="Arial"/>
      <w:sz w:val="40"/>
      <w:szCs w:val="40"/>
    </w:rPr>
  </w:style>
  <w:style w:type="paragraph" w:styleId="745">
    <w:name w:val="Heading 2"/>
    <w:basedOn w:val="921"/>
    <w:next w:val="921"/>
    <w:link w:val="74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6">
    <w:name w:val="Heading 2 Char"/>
    <w:link w:val="745"/>
    <w:uiPriority w:val="9"/>
    <w:rPr>
      <w:rFonts w:ascii="Arial" w:hAnsi="Arial" w:eastAsia="Arial" w:cs="Arial"/>
      <w:sz w:val="34"/>
    </w:rPr>
  </w:style>
  <w:style w:type="paragraph" w:styleId="747">
    <w:name w:val="Heading 3"/>
    <w:basedOn w:val="921"/>
    <w:next w:val="921"/>
    <w:link w:val="74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8">
    <w:name w:val="Heading 3 Char"/>
    <w:link w:val="747"/>
    <w:uiPriority w:val="9"/>
    <w:rPr>
      <w:rFonts w:ascii="Arial" w:hAnsi="Arial" w:eastAsia="Arial" w:cs="Arial"/>
      <w:sz w:val="30"/>
      <w:szCs w:val="30"/>
    </w:rPr>
  </w:style>
  <w:style w:type="paragraph" w:styleId="749">
    <w:name w:val="Heading 4"/>
    <w:basedOn w:val="921"/>
    <w:next w:val="921"/>
    <w:link w:val="7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0">
    <w:name w:val="Heading 4 Char"/>
    <w:link w:val="749"/>
    <w:uiPriority w:val="9"/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921"/>
    <w:next w:val="921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2">
    <w:name w:val="Heading 5 Char"/>
    <w:link w:val="751"/>
    <w:uiPriority w:val="9"/>
    <w:rPr>
      <w:rFonts w:ascii="Arial" w:hAnsi="Arial" w:eastAsia="Arial" w:cs="Arial"/>
      <w:b/>
      <w:bCs/>
      <w:sz w:val="24"/>
      <w:szCs w:val="24"/>
    </w:rPr>
  </w:style>
  <w:style w:type="paragraph" w:styleId="753">
    <w:name w:val="Heading 6"/>
    <w:basedOn w:val="921"/>
    <w:next w:val="921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4">
    <w:name w:val="Heading 6 Char"/>
    <w:link w:val="753"/>
    <w:uiPriority w:val="9"/>
    <w:rPr>
      <w:rFonts w:ascii="Arial" w:hAnsi="Arial" w:eastAsia="Arial" w:cs="Arial"/>
      <w:b/>
      <w:bCs/>
      <w:sz w:val="22"/>
      <w:szCs w:val="22"/>
    </w:rPr>
  </w:style>
  <w:style w:type="paragraph" w:styleId="755">
    <w:name w:val="Heading 7"/>
    <w:basedOn w:val="921"/>
    <w:next w:val="921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6">
    <w:name w:val="Heading 7 Char"/>
    <w:link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7">
    <w:name w:val="Heading 8"/>
    <w:basedOn w:val="921"/>
    <w:next w:val="921"/>
    <w:link w:val="75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8">
    <w:name w:val="Heading 8 Char"/>
    <w:link w:val="757"/>
    <w:uiPriority w:val="9"/>
    <w:rPr>
      <w:rFonts w:ascii="Arial" w:hAnsi="Arial" w:eastAsia="Arial" w:cs="Arial"/>
      <w:i/>
      <w:iCs/>
      <w:sz w:val="22"/>
      <w:szCs w:val="22"/>
    </w:rPr>
  </w:style>
  <w:style w:type="paragraph" w:styleId="759">
    <w:name w:val="Heading 9"/>
    <w:basedOn w:val="921"/>
    <w:next w:val="921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>
    <w:name w:val="Heading 9 Char"/>
    <w:link w:val="759"/>
    <w:uiPriority w:val="9"/>
    <w:rPr>
      <w:rFonts w:ascii="Arial" w:hAnsi="Arial" w:eastAsia="Arial" w:cs="Arial"/>
      <w:i/>
      <w:iCs/>
      <w:sz w:val="21"/>
      <w:szCs w:val="21"/>
    </w:rPr>
  </w:style>
  <w:style w:type="paragraph" w:styleId="761">
    <w:name w:val="List Paragraph"/>
    <w:basedOn w:val="921"/>
    <w:uiPriority w:val="34"/>
    <w:qFormat/>
    <w:pPr>
      <w:contextualSpacing/>
      <w:ind w:left="720"/>
    </w:pPr>
  </w:style>
  <w:style w:type="paragraph" w:styleId="762">
    <w:name w:val="No Spacing"/>
    <w:uiPriority w:val="1"/>
    <w:qFormat/>
    <w:pPr>
      <w:spacing w:before="0" w:after="0" w:line="240" w:lineRule="auto"/>
    </w:pPr>
  </w:style>
  <w:style w:type="paragraph" w:styleId="763">
    <w:name w:val="Title"/>
    <w:basedOn w:val="921"/>
    <w:next w:val="921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>
    <w:name w:val="Title Char"/>
    <w:link w:val="763"/>
    <w:uiPriority w:val="10"/>
    <w:rPr>
      <w:sz w:val="48"/>
      <w:szCs w:val="48"/>
    </w:rPr>
  </w:style>
  <w:style w:type="paragraph" w:styleId="765">
    <w:name w:val="Subtitle"/>
    <w:basedOn w:val="921"/>
    <w:next w:val="921"/>
    <w:link w:val="766"/>
    <w:uiPriority w:val="11"/>
    <w:qFormat/>
    <w:pPr>
      <w:spacing w:before="200" w:after="200"/>
    </w:pPr>
    <w:rPr>
      <w:sz w:val="24"/>
      <w:szCs w:val="24"/>
    </w:rPr>
  </w:style>
  <w:style w:type="character" w:styleId="766">
    <w:name w:val="Subtitle Char"/>
    <w:link w:val="765"/>
    <w:uiPriority w:val="11"/>
    <w:rPr>
      <w:sz w:val="24"/>
      <w:szCs w:val="24"/>
    </w:rPr>
  </w:style>
  <w:style w:type="paragraph" w:styleId="767">
    <w:name w:val="Quote"/>
    <w:basedOn w:val="921"/>
    <w:next w:val="921"/>
    <w:link w:val="768"/>
    <w:uiPriority w:val="29"/>
    <w:qFormat/>
    <w:pPr>
      <w:ind w:left="720" w:right="720"/>
    </w:pPr>
    <w:rPr>
      <w:i/>
    </w:rPr>
  </w:style>
  <w:style w:type="character" w:styleId="768">
    <w:name w:val="Quote Char"/>
    <w:link w:val="767"/>
    <w:uiPriority w:val="29"/>
    <w:rPr>
      <w:i/>
    </w:rPr>
  </w:style>
  <w:style w:type="paragraph" w:styleId="769">
    <w:name w:val="Intense Quote"/>
    <w:basedOn w:val="921"/>
    <w:next w:val="921"/>
    <w:link w:val="7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 Char"/>
    <w:link w:val="769"/>
    <w:uiPriority w:val="30"/>
    <w:rPr>
      <w:i/>
    </w:rPr>
  </w:style>
  <w:style w:type="paragraph" w:styleId="771">
    <w:name w:val="Header"/>
    <w:basedOn w:val="921"/>
    <w:link w:val="7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2">
    <w:name w:val="Header Char"/>
    <w:link w:val="771"/>
    <w:uiPriority w:val="99"/>
  </w:style>
  <w:style w:type="paragraph" w:styleId="773">
    <w:name w:val="Footer"/>
    <w:basedOn w:val="921"/>
    <w:link w:val="7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4">
    <w:name w:val="Footer Char"/>
    <w:link w:val="773"/>
    <w:uiPriority w:val="99"/>
  </w:style>
  <w:style w:type="paragraph" w:styleId="775">
    <w:name w:val="Caption"/>
    <w:basedOn w:val="921"/>
    <w:next w:val="921"/>
    <w:link w:val="7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6">
    <w:name w:val="Caption Char"/>
    <w:link w:val="775"/>
    <w:uiPriority w:val="35"/>
    <w:rPr>
      <w:b/>
      <w:bCs/>
      <w:color w:val="4f81bd" w:themeColor="accent1"/>
      <w:sz w:val="18"/>
      <w:szCs w:val="18"/>
    </w:rPr>
  </w:style>
  <w:style w:type="table" w:styleId="77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3">
    <w:name w:val="Hyperlink"/>
    <w:uiPriority w:val="99"/>
    <w:unhideWhenUsed/>
    <w:rPr>
      <w:color w:val="0000ff" w:themeColor="hyperlink"/>
      <w:u w:val="single"/>
    </w:rPr>
  </w:style>
  <w:style w:type="paragraph" w:styleId="904">
    <w:name w:val="footnote text"/>
    <w:basedOn w:val="921"/>
    <w:link w:val="905"/>
    <w:uiPriority w:val="99"/>
    <w:semiHidden/>
    <w:unhideWhenUsed/>
    <w:pPr>
      <w:spacing w:after="40" w:line="240" w:lineRule="auto"/>
    </w:pPr>
    <w:rPr>
      <w:sz w:val="18"/>
    </w:rPr>
  </w:style>
  <w:style w:type="character" w:styleId="905">
    <w:name w:val="Footnote Text Char"/>
    <w:link w:val="904"/>
    <w:uiPriority w:val="99"/>
    <w:rPr>
      <w:sz w:val="18"/>
    </w:rPr>
  </w:style>
  <w:style w:type="character" w:styleId="906">
    <w:name w:val="footnote reference"/>
    <w:uiPriority w:val="99"/>
    <w:unhideWhenUsed/>
    <w:rPr>
      <w:vertAlign w:val="superscript"/>
    </w:rPr>
  </w:style>
  <w:style w:type="paragraph" w:styleId="907">
    <w:name w:val="endnote text"/>
    <w:basedOn w:val="921"/>
    <w:link w:val="908"/>
    <w:uiPriority w:val="99"/>
    <w:semiHidden/>
    <w:unhideWhenUsed/>
    <w:pPr>
      <w:spacing w:after="0" w:line="240" w:lineRule="auto"/>
    </w:pPr>
    <w:rPr>
      <w:sz w:val="20"/>
    </w:rPr>
  </w:style>
  <w:style w:type="character" w:styleId="908">
    <w:name w:val="Endnote Text Char"/>
    <w:link w:val="907"/>
    <w:uiPriority w:val="99"/>
    <w:rPr>
      <w:sz w:val="20"/>
    </w:rPr>
  </w:style>
  <w:style w:type="character" w:styleId="909">
    <w:name w:val="endnote reference"/>
    <w:uiPriority w:val="99"/>
    <w:semiHidden/>
    <w:unhideWhenUsed/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next w:val="921"/>
    <w:link w:val="921"/>
    <w:qFormat/>
    <w:rPr>
      <w:rFonts w:eastAsia="SimSun"/>
      <w:lang w:val="ru-RU" w:eastAsia="ru-RU" w:bidi="ar-SA"/>
    </w:rPr>
  </w:style>
  <w:style w:type="character" w:styleId="922">
    <w:name w:val="Основной шрифт абзаца"/>
    <w:next w:val="922"/>
    <w:link w:val="921"/>
    <w:uiPriority w:val="99"/>
    <w:semiHidden/>
  </w:style>
  <w:style w:type="table" w:styleId="923">
    <w:name w:val="Обычная таблица"/>
    <w:next w:val="923"/>
    <w:link w:val="921"/>
    <w:uiPriority w:val="99"/>
    <w:semiHidden/>
    <w:unhideWhenUsed/>
    <w:tblPr/>
  </w:style>
  <w:style w:type="numbering" w:styleId="924">
    <w:name w:val="Нет списка"/>
    <w:next w:val="924"/>
    <w:link w:val="921"/>
    <w:uiPriority w:val="99"/>
    <w:semiHidden/>
    <w:unhideWhenUsed/>
  </w:style>
  <w:style w:type="paragraph" w:styleId="925">
    <w:name w:val="заголовок 3"/>
    <w:basedOn w:val="921"/>
    <w:next w:val="921"/>
    <w:link w:val="921"/>
    <w:uiPriority w:val="99"/>
    <w:pPr>
      <w:ind w:left="284" w:right="509"/>
      <w:keepNext/>
      <w:spacing w:line="278" w:lineRule="exact"/>
      <w:shd w:val="clear" w:color="auto" w:fill="ffffff"/>
      <w:outlineLvl w:val="2"/>
    </w:pPr>
    <w:rPr>
      <w:b/>
      <w:bCs/>
      <w:color w:val="000000"/>
      <w:sz w:val="25"/>
      <w:szCs w:val="25"/>
    </w:rPr>
  </w:style>
  <w:style w:type="paragraph" w:styleId="926">
    <w:name w:val="заголовок 4"/>
    <w:basedOn w:val="921"/>
    <w:next w:val="921"/>
    <w:link w:val="921"/>
    <w:uiPriority w:val="99"/>
    <w:pPr>
      <w:ind w:left="1276" w:right="24"/>
      <w:keepNext/>
      <w:shd w:val="clear" w:color="auto" w:fill="ffffff"/>
      <w:outlineLvl w:val="3"/>
    </w:pPr>
    <w:rPr>
      <w:b/>
      <w:bCs/>
      <w:color w:val="000000"/>
      <w:spacing w:val="-4"/>
      <w:sz w:val="18"/>
      <w:szCs w:val="18"/>
    </w:rPr>
  </w:style>
  <w:style w:type="character" w:styleId="927">
    <w:name w:val="Основной шрифт"/>
    <w:next w:val="927"/>
    <w:link w:val="921"/>
    <w:uiPriority w:val="99"/>
  </w:style>
  <w:style w:type="paragraph" w:styleId="928">
    <w:name w:val="Текст"/>
    <w:basedOn w:val="921"/>
    <w:next w:val="928"/>
    <w:link w:val="929"/>
    <w:uiPriority w:val="99"/>
    <w:rPr>
      <w:rFonts w:ascii="Courier New" w:hAnsi="Courier New" w:cs="Courier New"/>
    </w:rPr>
  </w:style>
  <w:style w:type="character" w:styleId="929">
    <w:name w:val="Текст Знак"/>
    <w:next w:val="929"/>
    <w:link w:val="928"/>
    <w:uiPriority w:val="99"/>
    <w:semiHidden/>
    <w:rPr>
      <w:rFonts w:ascii="Courier New" w:hAnsi="Courier New" w:eastAsia="SimSun" w:cs="Courier New"/>
      <w:sz w:val="20"/>
      <w:szCs w:val="20"/>
    </w:rPr>
  </w:style>
  <w:style w:type="paragraph" w:styleId="930">
    <w:name w:val="Основной текст"/>
    <w:basedOn w:val="921"/>
    <w:next w:val="930"/>
    <w:link w:val="931"/>
    <w:uiPriority w:val="99"/>
    <w:pPr>
      <w:spacing w:before="283"/>
      <w:shd w:val="clear" w:color="auto" w:fill="ffffff"/>
      <w:tabs>
        <w:tab w:val="left" w:pos="7032" w:leader="none"/>
      </w:tabs>
    </w:pPr>
    <w:rPr>
      <w:b/>
      <w:bCs/>
      <w:color w:val="000000"/>
    </w:rPr>
  </w:style>
  <w:style w:type="character" w:styleId="931">
    <w:name w:val="Основной текст Знак"/>
    <w:next w:val="931"/>
    <w:link w:val="930"/>
    <w:uiPriority w:val="99"/>
    <w:semiHidden/>
    <w:rPr>
      <w:rFonts w:eastAsia="SimSun" w:cs="Times New Roman"/>
      <w:sz w:val="20"/>
      <w:szCs w:val="20"/>
    </w:rPr>
  </w:style>
  <w:style w:type="paragraph" w:styleId="932">
    <w:name w:val="Основной текст 2"/>
    <w:basedOn w:val="921"/>
    <w:next w:val="932"/>
    <w:link w:val="933"/>
    <w:uiPriority w:val="99"/>
    <w:pPr>
      <w:ind w:right="-142"/>
      <w:jc w:val="both"/>
    </w:pPr>
  </w:style>
  <w:style w:type="character" w:styleId="933">
    <w:name w:val="Основной текст 2 Знак"/>
    <w:next w:val="933"/>
    <w:link w:val="932"/>
    <w:uiPriority w:val="99"/>
    <w:semiHidden/>
    <w:rPr>
      <w:rFonts w:eastAsia="SimSun" w:cs="Times New Roman"/>
      <w:sz w:val="20"/>
      <w:szCs w:val="20"/>
    </w:rPr>
  </w:style>
  <w:style w:type="paragraph" w:styleId="934">
    <w:name w:val="Основной текст с отступом 2"/>
    <w:basedOn w:val="921"/>
    <w:next w:val="934"/>
    <w:link w:val="935"/>
    <w:uiPriority w:val="99"/>
    <w:pPr>
      <w:ind w:left="11"/>
      <w:jc w:val="both"/>
      <w:spacing w:before="120" w:line="235" w:lineRule="exact"/>
      <w:shd w:val="clear" w:color="auto" w:fill="ffffff"/>
    </w:pPr>
    <w:rPr>
      <w:color w:val="000000"/>
      <w:sz w:val="18"/>
      <w:szCs w:val="18"/>
    </w:rPr>
  </w:style>
  <w:style w:type="character" w:styleId="935">
    <w:name w:val="Основной текст с отступом 2 Знак"/>
    <w:next w:val="935"/>
    <w:link w:val="934"/>
    <w:uiPriority w:val="99"/>
    <w:semiHidden/>
    <w:rPr>
      <w:rFonts w:eastAsia="SimSun" w:cs="Times New Roman"/>
      <w:sz w:val="20"/>
      <w:szCs w:val="20"/>
    </w:rPr>
  </w:style>
  <w:style w:type="paragraph" w:styleId="936">
    <w:name w:val="Основной текст с отступом 3"/>
    <w:basedOn w:val="921"/>
    <w:next w:val="936"/>
    <w:link w:val="937"/>
    <w:uiPriority w:val="99"/>
    <w:pPr>
      <w:ind w:left="43"/>
      <w:jc w:val="both"/>
      <w:spacing w:line="235" w:lineRule="exact"/>
      <w:shd w:val="clear" w:color="auto" w:fill="ffffff"/>
    </w:pPr>
    <w:rPr>
      <w:color w:val="000000"/>
      <w:sz w:val="18"/>
      <w:szCs w:val="18"/>
    </w:rPr>
  </w:style>
  <w:style w:type="character" w:styleId="937">
    <w:name w:val="Основной текст с отступом 3 Знак"/>
    <w:next w:val="937"/>
    <w:link w:val="936"/>
    <w:uiPriority w:val="99"/>
    <w:semiHidden/>
    <w:rPr>
      <w:rFonts w:eastAsia="SimSun" w:cs="Times New Roman"/>
      <w:sz w:val="16"/>
      <w:szCs w:val="16"/>
    </w:rPr>
  </w:style>
  <w:style w:type="paragraph" w:styleId="938">
    <w:name w:val="Название"/>
    <w:basedOn w:val="921"/>
    <w:next w:val="938"/>
    <w:link w:val="940"/>
    <w:uiPriority w:val="99"/>
    <w:qFormat/>
    <w:pPr>
      <w:jc w:val="center"/>
    </w:pPr>
    <w:rPr>
      <w:b/>
      <w:bCs/>
      <w:sz w:val="28"/>
      <w:szCs w:val="28"/>
    </w:rPr>
  </w:style>
  <w:style w:type="paragraph" w:styleId="939">
    <w:name w:val="Подзаголовок"/>
    <w:basedOn w:val="921"/>
    <w:next w:val="939"/>
    <w:link w:val="941"/>
    <w:uiPriority w:val="99"/>
    <w:qFormat/>
    <w:pPr>
      <w:ind w:left="-851"/>
      <w:jc w:val="center"/>
    </w:pPr>
    <w:rPr>
      <w:b/>
      <w:bCs/>
      <w:sz w:val="28"/>
      <w:szCs w:val="28"/>
    </w:rPr>
  </w:style>
  <w:style w:type="character" w:styleId="940">
    <w:name w:val="Название Знак"/>
    <w:next w:val="940"/>
    <w:link w:val="938"/>
    <w:uiPriority w:val="99"/>
    <w:rPr>
      <w:rFonts w:ascii="Cambria" w:hAnsi="Cambria" w:eastAsia="Times New Roman" w:cs="Times New Roman"/>
      <w:b/>
      <w:bCs/>
      <w:sz w:val="32"/>
      <w:szCs w:val="32"/>
    </w:rPr>
  </w:style>
  <w:style w:type="character" w:styleId="941">
    <w:name w:val="Подзаголовок Знак"/>
    <w:next w:val="941"/>
    <w:link w:val="939"/>
    <w:uiPriority w:val="11"/>
    <w:rPr>
      <w:rFonts w:ascii="Cambria" w:hAnsi="Cambria" w:eastAsia="Times New Roman" w:cs="Times New Roman"/>
      <w:sz w:val="24"/>
      <w:szCs w:val="24"/>
    </w:rPr>
  </w:style>
  <w:style w:type="paragraph" w:styleId="942">
    <w:name w:val="Верхний колонтитул"/>
    <w:basedOn w:val="921"/>
    <w:next w:val="942"/>
    <w:link w:val="943"/>
    <w:uiPriority w:val="99"/>
    <w:pPr>
      <w:tabs>
        <w:tab w:val="center" w:pos="4153" w:leader="none"/>
        <w:tab w:val="right" w:pos="8306" w:leader="none"/>
      </w:tabs>
    </w:pPr>
    <w:rPr>
      <w:lang w:eastAsia="zh-CN"/>
    </w:rPr>
  </w:style>
  <w:style w:type="character" w:styleId="943">
    <w:name w:val="Верхний колонтитул Знак"/>
    <w:next w:val="943"/>
    <w:link w:val="942"/>
    <w:uiPriority w:val="99"/>
    <w:semiHidden/>
    <w:rPr>
      <w:rFonts w:eastAsia="SimSun" w:cs="Times New Roman"/>
      <w:sz w:val="20"/>
      <w:szCs w:val="20"/>
    </w:rPr>
  </w:style>
  <w:style w:type="paragraph" w:styleId="944">
    <w:name w:val="Нижний колонтитул"/>
    <w:basedOn w:val="921"/>
    <w:next w:val="944"/>
    <w:link w:val="945"/>
    <w:uiPriority w:val="99"/>
    <w:pPr>
      <w:tabs>
        <w:tab w:val="center" w:pos="4677" w:leader="none"/>
        <w:tab w:val="right" w:pos="9355" w:leader="none"/>
      </w:tabs>
    </w:pPr>
  </w:style>
  <w:style w:type="character" w:styleId="945">
    <w:name w:val="Нижний колонтитул Знак"/>
    <w:next w:val="945"/>
    <w:link w:val="944"/>
    <w:uiPriority w:val="99"/>
    <w:rPr>
      <w:rFonts w:eastAsia="SimSun" w:cs="Times New Roman"/>
      <w:sz w:val="20"/>
      <w:szCs w:val="20"/>
    </w:rPr>
  </w:style>
  <w:style w:type="paragraph" w:styleId="946">
    <w:name w:val="Текст выноски"/>
    <w:basedOn w:val="921"/>
    <w:next w:val="946"/>
    <w:link w:val="947"/>
    <w:uiPriority w:val="99"/>
    <w:semiHidden/>
    <w:rPr>
      <w:rFonts w:ascii="Tahoma" w:hAnsi="Tahoma" w:cs="Tahoma"/>
      <w:sz w:val="16"/>
      <w:szCs w:val="16"/>
    </w:rPr>
  </w:style>
  <w:style w:type="character" w:styleId="947">
    <w:name w:val="Текст выноски Знак"/>
    <w:next w:val="947"/>
    <w:link w:val="946"/>
    <w:uiPriority w:val="99"/>
    <w:semiHidden/>
    <w:rPr>
      <w:rFonts w:ascii="Tahoma" w:hAnsi="Tahoma" w:eastAsia="SimSun" w:cs="Tahoma"/>
      <w:sz w:val="16"/>
      <w:szCs w:val="16"/>
    </w:rPr>
  </w:style>
  <w:style w:type="character" w:styleId="948">
    <w:name w:val="Номер страницы"/>
    <w:next w:val="948"/>
    <w:link w:val="921"/>
    <w:uiPriority w:val="99"/>
    <w:rPr>
      <w:rFonts w:cs="Times New Roman"/>
    </w:rPr>
  </w:style>
  <w:style w:type="paragraph" w:styleId="949">
    <w:name w:val="Основной текст 3"/>
    <w:basedOn w:val="921"/>
    <w:next w:val="949"/>
    <w:link w:val="950"/>
    <w:uiPriority w:val="99"/>
    <w:rPr>
      <w:rFonts w:eastAsia="Times New Roman"/>
      <w:sz w:val="24"/>
      <w:szCs w:val="24"/>
    </w:rPr>
  </w:style>
  <w:style w:type="character" w:styleId="950">
    <w:name w:val="Основной текст 3 Знак"/>
    <w:next w:val="950"/>
    <w:link w:val="949"/>
    <w:uiPriority w:val="99"/>
    <w:semiHidden/>
    <w:rPr>
      <w:rFonts w:eastAsia="SimSun" w:cs="Times New Roman"/>
      <w:sz w:val="16"/>
      <w:szCs w:val="16"/>
    </w:rPr>
  </w:style>
  <w:style w:type="paragraph" w:styleId="951">
    <w:name w:val="Заголовок11"/>
    <w:basedOn w:val="921"/>
    <w:next w:val="951"/>
    <w:link w:val="921"/>
    <w:uiPriority w:val="99"/>
    <w:pPr>
      <w:numPr>
        <w:ilvl w:val="0"/>
        <w:numId w:val="3"/>
      </w:numPr>
      <w:ind w:left="360" w:hanging="360"/>
      <w:jc w:val="center"/>
    </w:pPr>
    <w:rPr>
      <w:b/>
      <w:bCs/>
      <w:sz w:val="24"/>
      <w:szCs w:val="24"/>
    </w:rPr>
  </w:style>
  <w:style w:type="character" w:styleId="952">
    <w:name w:val="Гиперссылка"/>
    <w:next w:val="952"/>
    <w:link w:val="921"/>
    <w:uiPriority w:val="99"/>
    <w:rPr>
      <w:rFonts w:cs="Times New Roman"/>
      <w:color w:val="0000ff"/>
      <w:u w:val="single"/>
    </w:rPr>
  </w:style>
  <w:style w:type="paragraph" w:styleId="953">
    <w:name w:val="ConsNonformat"/>
    <w:next w:val="953"/>
    <w:link w:val="921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954">
    <w:name w:val="Сетка таблицы"/>
    <w:basedOn w:val="923"/>
    <w:next w:val="954"/>
    <w:link w:val="921"/>
    <w:uiPriority w:val="99"/>
    <w:pPr>
      <w:spacing w:after="0" w:line="240" w:lineRule="auto"/>
    </w:pPr>
    <w:rPr>
      <w:sz w:val="20"/>
      <w:szCs w:val="20"/>
    </w:rPr>
    <w:tblPr/>
  </w:style>
  <w:style w:type="paragraph" w:styleId="955">
    <w:name w:val="Текст сноски"/>
    <w:basedOn w:val="921"/>
    <w:next w:val="955"/>
    <w:link w:val="956"/>
    <w:uiPriority w:val="99"/>
  </w:style>
  <w:style w:type="character" w:styleId="956">
    <w:name w:val="Текст сноски Знак"/>
    <w:next w:val="956"/>
    <w:link w:val="955"/>
    <w:uiPriority w:val="99"/>
    <w:rPr>
      <w:rFonts w:eastAsia="SimSun"/>
      <w:sz w:val="20"/>
      <w:szCs w:val="20"/>
    </w:rPr>
  </w:style>
  <w:style w:type="character" w:styleId="957">
    <w:name w:val="Знак сноски"/>
    <w:next w:val="957"/>
    <w:link w:val="921"/>
    <w:uiPriority w:val="99"/>
    <w:rPr>
      <w:vertAlign w:val="superscript"/>
    </w:rPr>
  </w:style>
  <w:style w:type="paragraph" w:styleId="958">
    <w:name w:val="Абзац списка"/>
    <w:basedOn w:val="921"/>
    <w:next w:val="958"/>
    <w:link w:val="921"/>
    <w:uiPriority w:val="34"/>
    <w:qFormat/>
    <w:pPr>
      <w:contextualSpacing/>
      <w:ind w:left="720"/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959">
    <w:name w:val="Обычный2"/>
    <w:next w:val="959"/>
    <w:link w:val="921"/>
    <w:pPr>
      <w:ind w:left="1134" w:firstLine="709"/>
      <w:jc w:val="both"/>
    </w:pPr>
    <w:rPr>
      <w:lang w:val="ru-RU" w:eastAsia="ru-RU" w:bidi="ar-SA"/>
    </w:rPr>
  </w:style>
  <w:style w:type="paragraph" w:styleId="960">
    <w:name w:val="Без интервала"/>
    <w:next w:val="960"/>
    <w:link w:val="921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61" w:default="1">
    <w:name w:val="Default Paragraph Font"/>
    <w:uiPriority w:val="1"/>
    <w:semiHidden/>
    <w:unhideWhenUsed/>
  </w:style>
  <w:style w:type="numbering" w:styleId="962" w:default="1">
    <w:name w:val="No List"/>
    <w:uiPriority w:val="99"/>
    <w:semiHidden/>
    <w:unhideWhenUsed/>
  </w:style>
  <w:style w:type="table" w:styleId="9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home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zas</dc:creator>
  <cp:lastModifiedBy>svetlana.filinskih</cp:lastModifiedBy>
  <cp:revision>62</cp:revision>
  <dcterms:created xsi:type="dcterms:W3CDTF">2024-05-16T07:56:00Z</dcterms:created>
  <dcterms:modified xsi:type="dcterms:W3CDTF">2026-08-10T11:39:21Z</dcterms:modified>
  <cp:version>983040</cp:version>
</cp:coreProperties>
</file>