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1"/>
        <w:jc w:val="center"/>
        <w:spacing w:after="0" w:line="216" w:lineRule="exact"/>
        <w:shd w:val="clear" w:color="auto" w:fill="ffffff"/>
        <w:rPr>
          <w:rFonts w:ascii="Tinos" w:hAnsi="Tinos" w:eastAsia="Tinos" w:cs="Tinos"/>
          <w:b/>
          <w:bCs/>
          <w:color w:val="000000"/>
          <w:spacing w:val="-8"/>
          <w:sz w:val="24"/>
          <w:szCs w:val="24"/>
          <w:highlight w:val="none"/>
        </w:rPr>
      </w:pPr>
      <w:r>
        <w:rPr>
          <w:rFonts w:ascii="Tinos" w:hAnsi="Tinos" w:eastAsia="Tinos" w:cs="Tinos"/>
          <w:b/>
          <w:color w:val="000000"/>
          <w:spacing w:val="-8"/>
          <w:sz w:val="24"/>
          <w:szCs w:val="24"/>
        </w:rPr>
        <w:t xml:space="preserve">ГОСУДАРСТВЕННЫЙ</w:t>
      </w:r>
      <w:r>
        <w:rPr>
          <w:rFonts w:ascii="Tinos" w:hAnsi="Tinos" w:eastAsia="Tinos" w:cs="Tinos"/>
          <w:b/>
          <w:color w:val="000000"/>
          <w:spacing w:val="-8"/>
          <w:sz w:val="24"/>
          <w:szCs w:val="24"/>
        </w:rPr>
        <w:t xml:space="preserve"> КОНТРАКТ № ___________________</w:t>
      </w:r>
      <w:r>
        <w:rPr>
          <w:rFonts w:ascii="Tinos" w:hAnsi="Tinos" w:eastAsia="Tinos" w:cs="Tinos"/>
          <w:b/>
          <w:bCs/>
          <w:color w:val="000000"/>
          <w:spacing w:val="-8"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color w:val="000000"/>
          <w:spacing w:val="-8"/>
          <w:sz w:val="24"/>
          <w:szCs w:val="24"/>
          <w:highlight w:val="none"/>
        </w:rPr>
      </w:r>
    </w:p>
    <w:p>
      <w:pPr>
        <w:ind w:left="5"/>
        <w:jc w:val="center"/>
        <w:spacing w:after="0"/>
        <w:shd w:val="clear" w:color="auto" w:fill="ffffff"/>
      </w:pPr>
      <w:r>
        <w:rPr>
          <w:rFonts w:ascii="Tinos" w:hAnsi="Tinos" w:eastAsia="Tinos" w:cs="Tinos"/>
          <w:b/>
          <w:bCs/>
          <w:color w:val="000000"/>
          <w:spacing w:val="-8"/>
          <w:sz w:val="24"/>
          <w:szCs w:val="24"/>
        </w:rPr>
      </w:r>
      <w:r>
        <w:rPr>
          <w:rFonts w:ascii="Tinos" w:hAnsi="Tinos" w:eastAsia="Tinos" w:cs="Tinos"/>
          <w:b/>
          <w:bCs/>
          <w:color w:val="000000"/>
          <w:spacing w:val="-8"/>
          <w:sz w:val="24"/>
          <w:szCs w:val="24"/>
        </w:rPr>
        <w:t xml:space="preserve">на оказание услуг </w:t>
      </w:r>
      <w:r/>
    </w:p>
    <w:p>
      <w:pPr>
        <w:ind w:left="5"/>
        <w:spacing w:after="0"/>
        <w:shd w:val="clear" w:color="auto" w:fill="ffffff"/>
        <w:rPr>
          <w:rFonts w:ascii="Tinos" w:hAnsi="Tinos" w:cs="Tinos"/>
          <w:color w:val="000000"/>
          <w:spacing w:val="-10"/>
          <w:sz w:val="24"/>
          <w:szCs w:val="24"/>
        </w:rPr>
      </w:pPr>
      <w:r>
        <w:rPr>
          <w:rFonts w:ascii="Tinos" w:hAnsi="Tinos" w:eastAsia="Tinos" w:cs="Tinos"/>
          <w:color w:val="000000"/>
          <w:spacing w:val="-10"/>
          <w:sz w:val="24"/>
          <w:szCs w:val="24"/>
        </w:rPr>
      </w:r>
      <w:r>
        <w:rPr>
          <w:rFonts w:ascii="Tinos" w:hAnsi="Tinos" w:cs="Tinos"/>
          <w:color w:val="000000"/>
          <w:spacing w:val="-10"/>
          <w:sz w:val="24"/>
          <w:szCs w:val="24"/>
        </w:rPr>
      </w:r>
      <w:r>
        <w:rPr>
          <w:rFonts w:ascii="Tinos" w:hAnsi="Tinos" w:cs="Tinos"/>
          <w:color w:val="000000"/>
          <w:spacing w:val="-10"/>
          <w:sz w:val="24"/>
          <w:szCs w:val="24"/>
        </w:rPr>
      </w:r>
    </w:p>
    <w:p>
      <w:pPr>
        <w:ind w:left="5"/>
        <w:spacing w:after="0"/>
        <w:shd w:val="clear" w:color="auto" w:fill="ffff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-10"/>
          <w:sz w:val="24"/>
          <w:szCs w:val="24"/>
        </w:rPr>
        <w:t xml:space="preserve">г. Иркутск</w:t>
      </w:r>
      <w:r>
        <w:rPr>
          <w:rFonts w:ascii="Tinos" w:hAnsi="Tinos" w:eastAsia="Tinos" w:cs="Tinos"/>
          <w:spacing w:val="-10"/>
          <w:sz w:val="24"/>
          <w:szCs w:val="24"/>
        </w:rPr>
        <w:tab/>
      </w:r>
      <w:r>
        <w:rPr>
          <w:rFonts w:ascii="Tinos" w:hAnsi="Tinos" w:eastAsia="Tinos" w:cs="Tinos"/>
          <w:spacing w:val="-10"/>
          <w:sz w:val="24"/>
          <w:szCs w:val="24"/>
        </w:rPr>
        <w:tab/>
      </w:r>
      <w:r>
        <w:rPr>
          <w:rFonts w:ascii="Tinos" w:hAnsi="Tinos" w:eastAsia="Tinos" w:cs="Tinos"/>
          <w:spacing w:val="-10"/>
          <w:sz w:val="24"/>
          <w:szCs w:val="24"/>
        </w:rPr>
        <w:tab/>
      </w:r>
      <w:r>
        <w:rPr>
          <w:rFonts w:ascii="Tinos" w:hAnsi="Tinos" w:eastAsia="Tinos" w:cs="Tinos"/>
          <w:spacing w:val="-10"/>
          <w:sz w:val="24"/>
          <w:szCs w:val="24"/>
        </w:rPr>
        <w:tab/>
      </w:r>
      <w:r>
        <w:rPr>
          <w:rFonts w:ascii="Tinos" w:hAnsi="Tinos" w:eastAsia="Tinos" w:cs="Tinos"/>
          <w:spacing w:val="-10"/>
          <w:sz w:val="24"/>
          <w:szCs w:val="24"/>
        </w:rPr>
        <w:tab/>
      </w:r>
      <w:r>
        <w:rPr>
          <w:rFonts w:ascii="Tinos" w:hAnsi="Tinos" w:eastAsia="Tinos" w:cs="Tinos"/>
          <w:spacing w:val="-10"/>
          <w:sz w:val="24"/>
          <w:szCs w:val="24"/>
        </w:rPr>
        <w:tab/>
      </w:r>
      <w:r>
        <w:rPr>
          <w:rFonts w:ascii="Tinos" w:hAnsi="Tinos" w:eastAsia="Tinos" w:cs="Tinos"/>
          <w:spacing w:val="-10"/>
          <w:sz w:val="24"/>
          <w:szCs w:val="24"/>
        </w:rPr>
        <w:tab/>
      </w:r>
      <w:r>
        <w:rPr>
          <w:rFonts w:ascii="Tinos" w:hAnsi="Tinos" w:eastAsia="Tinos" w:cs="Tinos"/>
          <w:spacing w:val="-10"/>
          <w:sz w:val="24"/>
          <w:szCs w:val="24"/>
        </w:rPr>
        <w:tab/>
      </w:r>
      <w:r>
        <w:rPr>
          <w:rFonts w:ascii="Tinos" w:hAnsi="Tinos" w:eastAsia="Tinos" w:cs="Tinos"/>
          <w:spacing w:val="-10"/>
          <w:sz w:val="24"/>
          <w:szCs w:val="24"/>
        </w:rPr>
        <w:t xml:space="preserve">           </w:t>
      </w:r>
      <w:r>
        <w:rPr>
          <w:rFonts w:ascii="Tinos" w:hAnsi="Tinos" w:eastAsia="Tinos" w:cs="Tinos"/>
          <w:spacing w:val="-10"/>
          <w:sz w:val="24"/>
          <w:szCs w:val="24"/>
        </w:rPr>
        <w:t xml:space="preserve">  </w:t>
      </w:r>
      <w:r>
        <w:rPr>
          <w:rFonts w:ascii="Tinos" w:hAnsi="Tinos" w:eastAsia="Tinos" w:cs="Tinos"/>
          <w:spacing w:val="-10"/>
          <w:sz w:val="24"/>
          <w:szCs w:val="24"/>
        </w:rPr>
        <w:t xml:space="preserve"> </w:t>
      </w:r>
      <w:r>
        <w:rPr>
          <w:rFonts w:ascii="Tinos" w:hAnsi="Tinos" w:eastAsia="Tinos" w:cs="Tinos"/>
          <w:spacing w:val="-9"/>
          <w:sz w:val="24"/>
          <w:szCs w:val="24"/>
        </w:rPr>
        <w:t xml:space="preserve">«</w:t>
      </w:r>
      <w:r>
        <w:rPr>
          <w:rFonts w:ascii="Tinos" w:hAnsi="Tinos" w:eastAsia="Tinos" w:cs="Tinos"/>
          <w:spacing w:val="-9"/>
          <w:sz w:val="24"/>
          <w:szCs w:val="24"/>
        </w:rPr>
        <w:t xml:space="preserve">____» _____________ 20</w:t>
      </w:r>
      <w:r>
        <w:rPr>
          <w:rFonts w:ascii="Tinos" w:hAnsi="Tinos" w:eastAsia="Tinos" w:cs="Tinos"/>
          <w:spacing w:val="-9"/>
          <w:sz w:val="24"/>
          <w:szCs w:val="24"/>
        </w:rPr>
        <w:t xml:space="preserve">26</w:t>
      </w:r>
      <w:r>
        <w:rPr>
          <w:rFonts w:ascii="Tinos" w:hAnsi="Tinos" w:eastAsia="Tinos" w:cs="Tinos"/>
          <w:spacing w:val="-9"/>
          <w:sz w:val="24"/>
          <w:szCs w:val="24"/>
        </w:rPr>
        <w:t xml:space="preserve"> г.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rPr>
          <w:rFonts w:ascii="Tinos" w:hAnsi="Tinos" w:cs="Tinos"/>
          <w:b/>
          <w:bCs/>
          <w:color w:val="000000"/>
          <w:sz w:val="24"/>
          <w:szCs w:val="24"/>
        </w:rPr>
      </w:pPr>
      <w:r>
        <w:rPr>
          <w:rFonts w:ascii="Tinos" w:hAnsi="Tinos" w:eastAsia="Tinos" w:cs="Tinos"/>
          <w:b/>
          <w:bCs/>
          <w:color w:val="000000"/>
          <w:sz w:val="24"/>
          <w:szCs w:val="24"/>
          <w:lang w:eastAsia="ru-RU"/>
        </w:rPr>
      </w:r>
      <w:r>
        <w:rPr>
          <w:rFonts w:ascii="Tinos" w:hAnsi="Tinos" w:cs="Tinos"/>
          <w:b/>
          <w:bCs/>
          <w:color w:val="000000"/>
          <w:sz w:val="24"/>
          <w:szCs w:val="24"/>
        </w:rPr>
      </w:r>
      <w:r>
        <w:rPr>
          <w:rFonts w:ascii="Tinos" w:hAnsi="Tinos" w:cs="Tinos"/>
          <w:b/>
          <w:bCs/>
          <w:color w:val="000000"/>
          <w:sz w:val="24"/>
          <w:szCs w:val="24"/>
        </w:rPr>
      </w:r>
    </w:p>
    <w:p>
      <w:pPr>
        <w:ind w:firstLine="709"/>
        <w:jc w:val="both"/>
        <w:spacing w:after="60" w:line="240" w:lineRule="auto"/>
      </w:pPr>
      <w:r>
        <w:rPr>
          <w:rFonts w:ascii="Tinos" w:hAnsi="Tinos" w:eastAsia="Tinos" w:cs="Tinos"/>
          <w:color w:val="000000"/>
          <w:spacing w:val="-2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pacing w:val="-2"/>
          <w:sz w:val="24"/>
          <w:szCs w:val="24"/>
          <w:highlight w:val="none"/>
        </w:rPr>
      </w:r>
      <w:r/>
    </w:p>
    <w:p>
      <w:pPr>
        <w:ind w:firstLine="709"/>
        <w:jc w:val="both"/>
        <w:spacing w:after="6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bCs/>
          <w:color w:val="000000"/>
          <w:spacing w:val="-2"/>
          <w:sz w:val="24"/>
          <w:szCs w:val="24"/>
          <w:highlight w:val="none"/>
        </w:rPr>
        <w:t xml:space="preserve">Управление Федеральной службы государственной регистрации, кадастра и картографии по Иркутской области (Управление Росреестра по Иркутской области)</w:t>
      </w:r>
      <w:r>
        <w:rPr>
          <w:rFonts w:ascii="Tinos" w:hAnsi="Tinos" w:eastAsia="Tinos" w:cs="Tinos"/>
          <w:color w:val="000000"/>
          <w:spacing w:val="-2"/>
          <w:sz w:val="24"/>
          <w:szCs w:val="24"/>
          <w:highlight w:val="none"/>
        </w:rPr>
        <w:t xml:space="preserve">, от имени Российской Федерации, в целях обеспечения государственных нужд, в лице _________________________, д</w:t>
      </w:r>
      <w:r>
        <w:rPr>
          <w:rFonts w:ascii="Tinos" w:hAnsi="Tinos" w:eastAsia="Tinos" w:cs="Tinos"/>
          <w:color w:val="000000"/>
          <w:spacing w:val="-2"/>
          <w:sz w:val="24"/>
          <w:szCs w:val="24"/>
          <w:highlight w:val="none"/>
        </w:rPr>
        <w:t xml:space="preserve">ействующего (ей) на основании _______________________, именуемое в дальнейшем </w:t>
      </w:r>
      <w:r>
        <w:rPr>
          <w:rFonts w:ascii="Tinos" w:hAnsi="Tinos" w:eastAsia="Tinos" w:cs="Tinos"/>
          <w:b/>
          <w:bCs/>
          <w:color w:val="000000"/>
          <w:spacing w:val="-2"/>
          <w:sz w:val="24"/>
          <w:szCs w:val="24"/>
          <w:highlight w:val="none"/>
        </w:rPr>
        <w:t xml:space="preserve">«Заказчик»</w:t>
      </w:r>
      <w:r>
        <w:rPr>
          <w:rFonts w:ascii="Tinos" w:hAnsi="Tinos" w:eastAsia="Tinos" w:cs="Tinos"/>
          <w:color w:val="000000"/>
          <w:spacing w:val="-2"/>
          <w:sz w:val="24"/>
          <w:szCs w:val="24"/>
          <w:highlight w:val="none"/>
        </w:rPr>
        <w:t xml:space="preserve">, с одной стороны и, ___________________________, именуемый в дальнейшем </w:t>
      </w:r>
      <w:r>
        <w:rPr>
          <w:rFonts w:ascii="Tinos" w:hAnsi="Tinos" w:eastAsia="Tinos" w:cs="Tinos"/>
          <w:b/>
          <w:bCs/>
          <w:color w:val="000000"/>
          <w:spacing w:val="-2"/>
          <w:sz w:val="24"/>
          <w:szCs w:val="24"/>
          <w:highlight w:val="none"/>
        </w:rPr>
        <w:t xml:space="preserve">«Исполнитель»</w:t>
      </w:r>
      <w:r>
        <w:rPr>
          <w:rFonts w:ascii="Tinos" w:hAnsi="Tinos" w:eastAsia="Tinos" w:cs="Tinos"/>
          <w:color w:val="000000"/>
          <w:spacing w:val="-2"/>
          <w:sz w:val="24"/>
          <w:szCs w:val="24"/>
          <w:highlight w:val="none"/>
        </w:rPr>
        <w:t xml:space="preserve">, в лице _________________________, действующего (ей) на основании ________________</w:t>
      </w:r>
      <w:r>
        <w:rPr>
          <w:rFonts w:ascii="Tinos" w:hAnsi="Tinos" w:eastAsia="Tinos" w:cs="Tinos"/>
          <w:color w:val="000000"/>
          <w:spacing w:val="-2"/>
          <w:sz w:val="24"/>
          <w:szCs w:val="24"/>
          <w:highlight w:val="none"/>
        </w:rPr>
        <w:t xml:space="preserve">_, с другой стороны, совместно именуемые </w:t>
      </w:r>
      <w:r>
        <w:rPr>
          <w:rFonts w:ascii="Tinos" w:hAnsi="Tinos" w:eastAsia="Tinos" w:cs="Tinos"/>
          <w:b/>
          <w:bCs/>
          <w:color w:val="000000"/>
          <w:spacing w:val="-2"/>
          <w:sz w:val="24"/>
          <w:szCs w:val="24"/>
          <w:highlight w:val="none"/>
        </w:rPr>
        <w:t xml:space="preserve">«Стороны»</w:t>
      </w:r>
      <w:r>
        <w:rPr>
          <w:rFonts w:ascii="Tinos" w:hAnsi="Tinos" w:eastAsia="Tinos" w:cs="Tinos"/>
          <w:color w:val="000000"/>
          <w:spacing w:val="-2"/>
          <w:sz w:val="24"/>
          <w:szCs w:val="24"/>
          <w:highlight w:val="none"/>
        </w:rPr>
        <w:t xml:space="preserve">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</w:t>
      </w:r>
      <w:r>
        <w:rPr>
          <w:rFonts w:ascii="Tinos" w:hAnsi="Tinos" w:eastAsia="Tinos" w:cs="Tinos"/>
          <w:color w:val="000000"/>
          <w:spacing w:val="-2"/>
          <w:sz w:val="24"/>
          <w:szCs w:val="24"/>
          <w:highlight w:val="none"/>
        </w:rPr>
        <w:t xml:space="preserve"> 44-ФЗ), заключили настоящий государственный контракт (далее – Контракт) о нижеследующем: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65"/>
        <w:numPr>
          <w:ilvl w:val="0"/>
          <w:numId w:val="7"/>
        </w:numPr>
        <w:contextualSpacing/>
        <w:jc w:val="center"/>
        <w:spacing w:after="0" w:line="240" w:lineRule="auto"/>
        <w:shd w:val="clear" w:color="auto" w:fill="ffffff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Предмет контракта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highlight w:val="white"/>
        </w:rPr>
      </w:pPr>
      <w:r>
        <w:rPr>
          <w:rFonts w:ascii="Tinos" w:hAnsi="Tinos" w:eastAsia="Tinos" w:cs="Tinos"/>
          <w:color w:val="000000"/>
          <w:sz w:val="24"/>
          <w:szCs w:val="24"/>
          <w:highlight w:val="white"/>
          <w:lang w:eastAsia="ru-RU"/>
        </w:rPr>
        <w:t xml:space="preserve">1.1. Заказчик поручает, а Исполнитель принимает на себя обязательства по</w:t>
      </w:r>
      <w:r>
        <w:rPr>
          <w:rFonts w:ascii="Tinos" w:hAnsi="Tinos" w:eastAsia="Tinos" w:cs="Tinos"/>
          <w:color w:val="000000"/>
          <w:sz w:val="24"/>
          <w:szCs w:val="24"/>
          <w:highlight w:val="white"/>
          <w:lang w:eastAsia="ru-RU"/>
        </w:rPr>
        <w:t xml:space="preserve"> оказанию </w:t>
      </w:r>
      <w:r>
        <w:rPr>
          <w:rFonts w:ascii="Tinos" w:hAnsi="Tinos" w:eastAsia="Tinos" w:cs="Tinos"/>
          <w:color w:val="000000"/>
          <w:sz w:val="24"/>
          <w:szCs w:val="24"/>
          <w:highlight w:val="white"/>
          <w:lang w:eastAsia="ru-RU"/>
        </w:rPr>
        <w:t xml:space="preserve">услуг по обучению должностных лиц, входящих в составы эвакуационных и эвакоприемных комиссий, сборных и приемных эвакуационных пунктов, промежуточных пунктов эвакуации (эвакуационные органы)</w:t>
      </w:r>
      <w:r>
        <w:rPr>
          <w:rFonts w:ascii="Tinos" w:hAnsi="Tinos" w:eastAsia="Tinos" w:cs="Tinos"/>
          <w:color w:val="000000"/>
          <w:sz w:val="24"/>
          <w:szCs w:val="24"/>
          <w:highlight w:val="white"/>
          <w:lang w:eastAsia="ru-RU"/>
        </w:rPr>
        <w:t xml:space="preserve"> (в объеме не менее 36 учебных часов) (</w:t>
      </w:r>
      <w:r>
        <w:rPr>
          <w:rFonts w:ascii="Tinos" w:hAnsi="Tinos" w:eastAsia="Tinos" w:cs="Tinos"/>
          <w:color w:val="000000"/>
          <w:sz w:val="24"/>
          <w:szCs w:val="24"/>
          <w:highlight w:val="white"/>
          <w:lang w:eastAsia="ru-RU"/>
        </w:rPr>
        <w:t xml:space="preserve">д</w:t>
      </w:r>
      <w:r>
        <w:rPr>
          <w:rFonts w:ascii="Tinos" w:hAnsi="Tinos" w:eastAsia="Tinos" w:cs="Tinos"/>
          <w:color w:val="000000"/>
          <w:sz w:val="24"/>
          <w:szCs w:val="24"/>
          <w:highlight w:val="white"/>
          <w:lang w:eastAsia="ru-RU"/>
        </w:rPr>
        <w:t xml:space="preserve">а</w:t>
      </w:r>
      <w:r>
        <w:rPr>
          <w:rFonts w:ascii="Tinos" w:hAnsi="Tinos" w:eastAsia="Tinos" w:cs="Tinos"/>
          <w:color w:val="000000"/>
          <w:sz w:val="24"/>
          <w:szCs w:val="24"/>
          <w:highlight w:val="white"/>
          <w:lang w:eastAsia="ru-RU"/>
        </w:rPr>
        <w:t xml:space="preserve">л</w:t>
      </w:r>
      <w:r>
        <w:rPr>
          <w:rFonts w:ascii="Tinos" w:hAnsi="Tinos" w:eastAsia="Tinos" w:cs="Tinos"/>
          <w:color w:val="000000"/>
          <w:sz w:val="24"/>
          <w:szCs w:val="24"/>
          <w:highlight w:val="white"/>
          <w:lang w:eastAsia="ru-RU"/>
        </w:rPr>
        <w:t xml:space="preserve">е</w:t>
      </w:r>
      <w:r>
        <w:rPr>
          <w:rFonts w:ascii="Tinos" w:hAnsi="Tinos" w:eastAsia="Tinos" w:cs="Tinos"/>
          <w:color w:val="000000"/>
          <w:sz w:val="24"/>
          <w:szCs w:val="24"/>
          <w:highlight w:val="white"/>
          <w:lang w:eastAsia="ru-RU"/>
        </w:rPr>
        <w:t xml:space="preserve">е</w:t>
      </w:r>
      <w:r>
        <w:rPr>
          <w:rFonts w:ascii="Tinos" w:hAnsi="Tinos" w:eastAsia="Tinos" w:cs="Tinos"/>
          <w:color w:val="000000"/>
          <w:sz w:val="24"/>
          <w:szCs w:val="24"/>
          <w:highlight w:val="white"/>
          <w:lang w:eastAsia="ru-RU"/>
        </w:rPr>
        <w:t xml:space="preserve"> – Услуги)</w:t>
      </w:r>
      <w:r>
        <w:rPr>
          <w:rFonts w:ascii="Tinos" w:hAnsi="Tinos" w:eastAsia="Tinos" w:cs="Tinos"/>
          <w:color w:val="000000"/>
          <w:sz w:val="24"/>
          <w:szCs w:val="24"/>
          <w:highlight w:val="white"/>
          <w:lang w:eastAsia="ru-RU"/>
        </w:rPr>
        <w:t xml:space="preserve">, а Заказчик обязуется принять и оплатить оказанные услуги.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nos" w:hAnsi="Tinos" w:eastAsia="Tinos" w:cs="Tinos"/>
          <w:color w:val="000000"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1.2. Количест</w:t>
      </w:r>
      <w:r>
        <w:rPr>
          <w:rFonts w:ascii="Tinos" w:hAnsi="Tinos" w:eastAsia="Tinos" w:cs="Tinos"/>
          <w:color w:val="000000"/>
          <w:sz w:val="24"/>
          <w:szCs w:val="24"/>
          <w:highlight w:val="white"/>
          <w:lang w:eastAsia="ru-RU"/>
        </w:rPr>
        <w:t xml:space="preserve">во </w:t>
      </w:r>
      <w:r>
        <w:rPr>
          <w:rFonts w:ascii="Tinos" w:hAnsi="Tinos" w:eastAsia="Tinos" w:cs="Tinos"/>
          <w:color w:val="000000"/>
          <w:sz w:val="24"/>
          <w:szCs w:val="24"/>
          <w:highlight w:val="white"/>
          <w:lang w:eastAsia="ru-RU"/>
        </w:rPr>
        <w:t xml:space="preserve">должностных лиц</w:t>
      </w:r>
      <w:r>
        <w:rPr>
          <w:rFonts w:ascii="Tinos" w:hAnsi="Tinos" w:eastAsia="Tinos" w:cs="Tinos"/>
          <w:color w:val="000000"/>
          <w:sz w:val="24"/>
          <w:szCs w:val="24"/>
          <w:highlight w:val="white"/>
          <w:lang w:eastAsia="ru-RU"/>
        </w:rPr>
        <w:t xml:space="preserve">,</w:t>
      </w:r>
      <w:r>
        <w:rPr>
          <w:rFonts w:ascii="Tinos" w:hAnsi="Tinos" w:eastAsia="Tinos" w:cs="Tinos"/>
          <w:color w:val="000000"/>
          <w:sz w:val="24"/>
          <w:szCs w:val="24"/>
          <w:highlight w:val="white"/>
          <w:lang w:eastAsia="ru-RU"/>
        </w:rPr>
        <w:t xml:space="preserve"> под</w:t>
      </w: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лежащих обучению – 6 (Шесть) человек (далее – Обучающиеся). </w:t>
      </w:r>
      <w:r>
        <w:rPr>
          <w:rFonts w:ascii="Tinos" w:hAnsi="Tinos" w:eastAsia="Tinos" w:cs="Tinos"/>
          <w:color w:val="000000"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highlight w:val="white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1.3. Требования к характеристикам и объему (содержанию) оказываемых Услуг, а также </w:t>
      </w:r>
      <w:r>
        <w:rPr>
          <w:rFonts w:ascii="Tinos" w:hAnsi="Tinos" w:eastAsia="Tinos" w:cs="Tinos"/>
          <w:color w:val="000000"/>
          <w:sz w:val="24"/>
          <w:szCs w:val="24"/>
          <w:highlight w:val="white"/>
          <w:lang w:eastAsia="ru-RU"/>
        </w:rPr>
        <w:t xml:space="preserve">иные условия оказания Услуг определяются Описанием объекта закупки (</w:t>
      </w:r>
      <w:r>
        <w:rPr>
          <w:rFonts w:ascii="Tinos" w:hAnsi="Tinos" w:eastAsia="Tinos" w:cs="Tinos"/>
          <w:color w:val="000000"/>
          <w:sz w:val="24"/>
          <w:szCs w:val="24"/>
          <w:highlight w:val="white"/>
          <w:lang w:eastAsia="ru-RU"/>
        </w:rPr>
        <w:t xml:space="preserve">Приложение № 2 к Контракту).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0" w:line="240" w:lineRule="auto"/>
        <w:rPr>
          <w:highlight w:val="white"/>
        </w:rPr>
      </w:pPr>
      <w:r>
        <w:rPr>
          <w:rFonts w:ascii="Tinos" w:hAnsi="Tinos" w:eastAsia="Tinos" w:cs="Tinos"/>
          <w:color w:val="000000"/>
          <w:sz w:val="24"/>
          <w:szCs w:val="24"/>
          <w:highlight w:val="white"/>
          <w:lang w:eastAsia="ru-RU"/>
        </w:rPr>
        <w:t xml:space="preserve">1.4. Срок оказания Услуг: с 03.08.2026 до 26.08.2026.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0" w:line="240" w:lineRule="auto"/>
        <w:rPr>
          <w:highlight w:val="white"/>
        </w:rPr>
      </w:pPr>
      <w:r>
        <w:rPr>
          <w:rFonts w:ascii="Tinos" w:hAnsi="Tinos" w:eastAsia="Tinos" w:cs="Tinos"/>
          <w:color w:val="000000"/>
          <w:sz w:val="24"/>
          <w:szCs w:val="24"/>
          <w:highlight w:val="white"/>
          <w:lang w:eastAsia="ru-RU"/>
        </w:rPr>
        <w:t xml:space="preserve">1.5. Место оказания Услуг:</w:t>
      </w:r>
      <w:r>
        <w:rPr>
          <w:rFonts w:ascii="Tinos" w:hAnsi="Tinos" w:eastAsia="Tinos" w:cs="Tinos"/>
          <w:color w:val="000000"/>
          <w:sz w:val="24"/>
          <w:szCs w:val="24"/>
          <w:highlight w:val="white"/>
          <w:lang w:eastAsia="ru-RU"/>
        </w:rPr>
        <w:t xml:space="preserve"> на территории Заказчика. Обучение осуществляется с </w:t>
      </w:r>
      <w:r>
        <w:rPr>
          <w:rFonts w:ascii="Tinos" w:hAnsi="Tinos" w:eastAsia="Tinos" w:cs="Tinos"/>
          <w:color w:val="000000"/>
          <w:sz w:val="24"/>
          <w:szCs w:val="24"/>
          <w:highlight w:val="white"/>
          <w:lang w:eastAsia="ru-RU"/>
        </w:rPr>
        <w:t xml:space="preserve">применением дистанционных образовательных технологий.</w:t>
      </w: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after="0" w:line="240" w:lineRule="auto"/>
        <w:tabs>
          <w:tab w:val="left" w:pos="709" w:leader="none"/>
          <w:tab w:val="left" w:pos="1134" w:leader="none"/>
          <w:tab w:val="left" w:pos="5496" w:leader="none"/>
          <w:tab w:val="left" w:pos="6412" w:leader="none"/>
          <w:tab w:val="left" w:pos="7328" w:leader="none"/>
          <w:tab w:val="left" w:pos="8505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  <w:highlight w:val="white"/>
        </w:rPr>
      </w:pPr>
      <w:r>
        <w:rPr>
          <w:rFonts w:ascii="Tinos" w:hAnsi="Tinos" w:eastAsia="Tinos" w:cs="Tinos"/>
          <w:sz w:val="24"/>
          <w:szCs w:val="24"/>
          <w:highlight w:val="white"/>
          <w:lang w:eastAsia="ru-RU"/>
        </w:rPr>
      </w:r>
      <w:r>
        <w:rPr>
          <w:rFonts w:ascii="Tinos" w:hAnsi="Tinos" w:cs="Tinos"/>
          <w:sz w:val="24"/>
          <w:szCs w:val="24"/>
          <w:highlight w:val="white"/>
        </w:rPr>
      </w:r>
      <w:r>
        <w:rPr>
          <w:rFonts w:ascii="Tinos" w:hAnsi="Tinos" w:cs="Tinos"/>
          <w:sz w:val="24"/>
          <w:szCs w:val="24"/>
          <w:highlight w:val="white"/>
        </w:rPr>
      </w:r>
    </w:p>
    <w:p>
      <w:pPr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2. Цена контракта и порядок расчетов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bCs/>
          <w:i/>
          <w:sz w:val="18"/>
          <w:szCs w:val="18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2.1. 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Цена Контракта составляет: __________ руб. ___ копеек, в том числе НДС ___% ___ руб. ___ копеек (</w:t>
      </w:r>
      <w:r>
        <w:rPr>
          <w:rFonts w:ascii="Tinos" w:hAnsi="Tinos" w:eastAsia="Tinos" w:cs="Tinos"/>
          <w:i/>
          <w:iCs/>
          <w:color w:val="000000"/>
          <w:sz w:val="18"/>
          <w:szCs w:val="18"/>
        </w:rPr>
        <w:t xml:space="preserve">заполняется при условии наличия у Исполнителя обязанности по уплате НДС в соответствии с законодательством Российской Федерации о налогах </w:t>
      </w:r>
      <w:r>
        <w:rPr>
          <w:rFonts w:ascii="Tinos" w:hAnsi="Tinos" w:eastAsia="Tinos" w:cs="Tinos"/>
          <w:i/>
          <w:iCs/>
          <w:color w:val="000000"/>
          <w:sz w:val="18"/>
          <w:szCs w:val="18"/>
        </w:rPr>
        <w:t xml:space="preserve">и сборах. В случае если у Исполнителя в соответствии с законодательством Российской Федерации о налогах и сборах отсутствует обязанность по уплате налога на добавленную стоимость в настоящем пункте указывается «НДС не предусмотрено» с указанием основания).</w:t>
      </w:r>
      <w:r>
        <w:rPr>
          <w:rFonts w:ascii="Tinos" w:hAnsi="Tinos" w:cs="Tinos"/>
          <w:bCs/>
          <w:i/>
          <w:sz w:val="18"/>
          <w:szCs w:val="18"/>
        </w:rPr>
      </w:r>
      <w:r>
        <w:rPr>
          <w:rFonts w:ascii="Tinos" w:hAnsi="Tinos" w:cs="Tinos"/>
          <w:bCs/>
          <w:i/>
          <w:sz w:val="18"/>
          <w:szCs w:val="18"/>
        </w:rPr>
      </w:r>
    </w:p>
    <w:p>
      <w:pPr>
        <w:ind w:left="0" w:right="0" w:firstLine="709"/>
        <w:jc w:val="both"/>
        <w:spacing w:after="0" w:line="240" w:lineRule="auto"/>
        <w:rPr>
          <w:rFonts w:ascii="Tinos" w:hAnsi="Tinos" w:cs="Tinos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/>
          <w:sz w:val="24"/>
          <w:szCs w:val="24"/>
        </w:rPr>
        <w:t xml:space="preserve">2.2.   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Расчеты по Контракту будут производиться безналичным перечислением в срок, не 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более 10 (дес</w:t>
      </w:r>
      <w:r>
        <w:rPr>
          <w:rFonts w:ascii="Tinos" w:hAnsi="Tinos" w:eastAsia="Tinos" w:cs="Tinos"/>
          <w:color w:val="000000"/>
          <w:sz w:val="24"/>
          <w:szCs w:val="24"/>
          <w:highlight w:val="white"/>
        </w:rPr>
        <w:t xml:space="preserve">яти)</w:t>
      </w:r>
      <w:r>
        <w:rPr>
          <w:rFonts w:ascii="Tinos" w:hAnsi="Tinos" w:eastAsia="Tinos" w:cs="Tinos"/>
          <w:color w:val="000000"/>
          <w:sz w:val="24"/>
          <w:szCs w:val="24"/>
          <w:highlight w:val="white"/>
        </w:rPr>
        <w:t xml:space="preserve"> рабочих дней с даты </w:t>
      </w:r>
      <w:r>
        <w:rPr>
          <w:rFonts w:ascii="Tinos" w:hAnsi="Tinos" w:eastAsia="Tinos" w:cs="Tinos"/>
          <w:color w:val="000000"/>
          <w:sz w:val="24"/>
          <w:szCs w:val="24"/>
          <w:highlight w:val="white"/>
        </w:rPr>
        <w:t xml:space="preserve">подписания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 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Заказчиком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 </w:t>
      </w:r>
      <w:r>
        <w:rPr>
          <w:rFonts w:ascii="Tinos" w:hAnsi="Tinos" w:eastAsia="Tinos" w:cs="Tinos"/>
          <w:color w:val="000000"/>
          <w:sz w:val="24"/>
          <w:szCs w:val="24"/>
          <w:highlight w:val="white"/>
        </w:rPr>
        <w:t xml:space="preserve">документа</w:t>
      </w:r>
      <w:r>
        <w:rPr>
          <w:rFonts w:ascii="Tinos" w:hAnsi="Tinos" w:eastAsia="Tinos" w:cs="Tinos"/>
          <w:color w:val="000000"/>
          <w:sz w:val="24"/>
          <w:szCs w:val="24"/>
          <w:highlight w:val="white"/>
        </w:rPr>
        <w:t xml:space="preserve"> о приемке оказанных услуг.</w:t>
      </w:r>
      <w:r>
        <w:rPr>
          <w:rFonts w:ascii="Tinos" w:hAnsi="Tinos" w:cs="Tinos"/>
          <w:sz w:val="24"/>
          <w:szCs w:val="24"/>
          <w:highlight w:val="white"/>
        </w:rPr>
      </w:r>
      <w:r>
        <w:rPr>
          <w:rFonts w:ascii="Tinos" w:hAnsi="Tinos" w:cs="Tinos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  <w:highlight w:val="white"/>
        </w:rPr>
      </w:pP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2.3. 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Цена Контракта включает в себя все расходы,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 связанные с выполнением Исполнителем обязательств по Контракту, включая расходы на методические материалы, уплату   налогов, сборов и других обязательных платежей, которые Исполнитель должен выплатить в связи с выполнением обязательств по Контракту в соот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ветствии с законодательством Российской Федераци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и.</w:t>
      </w:r>
      <w:r>
        <w:rPr>
          <w:rFonts w:ascii="Tinos" w:hAnsi="Tinos" w:cs="Tinos"/>
          <w:sz w:val="24"/>
          <w:szCs w:val="24"/>
          <w:highlight w:val="white"/>
        </w:rPr>
      </w:r>
      <w:r>
        <w:rPr>
          <w:rFonts w:ascii="Tinos" w:hAnsi="Tinos" w:cs="Tinos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2.4.  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Оплата стоимости услуг по Контракту производится в валюте Российской Федерации в безналичном порядке, путем перечисления денежных средств на расчетный счет Исполнителя, указанный в реквизитах к настоящему Контракту.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  <w:highlight w:val="white"/>
        </w:rPr>
      </w:pP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  <w:t xml:space="preserve">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</w:t>
      </w:r>
      <w:r>
        <w:rPr>
          <w:rFonts w:ascii="Tinos" w:hAnsi="Tinos" w:cs="Tinos"/>
          <w:sz w:val="24"/>
          <w:szCs w:val="24"/>
          <w:highlight w:val="none"/>
        </w:rPr>
        <w:t xml:space="preserve">аказчиком денежных средств на указанный в Контракте счет Исполнителя, несет Исполнитель. </w:t>
      </w:r>
      <w:r>
        <w:rPr>
          <w:rFonts w:ascii="Tinos" w:hAnsi="Tinos" w:cs="Tinos"/>
          <w:sz w:val="24"/>
          <w:szCs w:val="24"/>
          <w:highlight w:val="white"/>
        </w:rPr>
      </w:r>
      <w:r>
        <w:rPr>
          <w:rFonts w:ascii="Tinos" w:hAnsi="Tinos" w:cs="Tinos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sz w:val="24"/>
          <w:szCs w:val="24"/>
          <w14:ligatures w14:val="none"/>
        </w:rPr>
      </w:pP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2.5.  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Цена Контракта является твердой и определяется на весь срок исполнения Контракта за исключением случа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ев, установленных Законом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№ 44-ФЗ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z w:val="24"/>
          <w:szCs w:val="24"/>
          <w14:ligatures w14:val="none"/>
        </w:rPr>
      </w:r>
      <w:r>
        <w:rPr>
          <w:rFonts w:ascii="Tinos" w:hAnsi="Tinos" w:cs="Tinos"/>
          <w:sz w:val="24"/>
          <w:szCs w:val="24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2.6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Сумма, подлежащая уплате Заказчиком Исполнителю, уменьшается на размер налогов, сборов и иных обязательных платежей в бюджеты бюджетной системы Росс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сийской Федерации Заказчиком.  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2.7.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Источник финансирования – Федеральный бюджет.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2.8.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Св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ерка расчетов по настоящему Контракту проводится между Исполнителем и Заказчиком по инициативе одной из Сторон путем составления и подписания Сторонами соответствующего акта. Сторона, инициирующая проведение сверки расчетов по настоящему Контракту, составл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я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ет и на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правляет в адрес другой Стороны акт сверки расчетов любым доступным способом, позволяющим подтвердить получение такого уведомления адресатом. В таком случае подписание акта сверки расчетов осуществляется в течение 3 (трёх) рабочих дней со дня его получения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. В случае неполучения ответа в течение более 10 (десяти) рабочих дней после направления Стороне акт сверки расчетов считается признанным (согласованным) обеими Сторонами.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sz w:val="24"/>
          <w:szCs w:val="24"/>
          <w:highlight w:val="none"/>
          <w:lang w:eastAsia="ru-RU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3. Права и обязанности сторон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Cs/>
          <w:sz w:val="24"/>
          <w:szCs w:val="24"/>
        </w:rPr>
      </w:pPr>
      <w:r>
        <w:rPr>
          <w:rFonts w:ascii="Tinos" w:hAnsi="Tinos" w:cs="Tinos"/>
          <w:b/>
          <w:bCs/>
          <w:sz w:val="24"/>
          <w:szCs w:val="24"/>
          <w14:ligatures w14:val="none"/>
        </w:rPr>
        <w:t xml:space="preserve">3.1. Исполнитель обязан: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 w:val="0"/>
          <w:bCs w:val="0"/>
          <w:sz w:val="24"/>
          <w:szCs w:val="24"/>
          <w:highlight w:val="none"/>
        </w:rPr>
      </w:pP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  <w:t xml:space="preserve">3.1.1. Оказать Услуги в полном объеме, надлежащего качества, в </w:t>
      </w: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  <w:t xml:space="preserve">соответствии с требованиями законодательства Российской Федерации, лично и в сроки, предусмотренные условиями Контракта.</w:t>
      </w:r>
      <w:r>
        <w:rPr>
          <w:rFonts w:ascii="Tinos" w:hAnsi="Tinos" w:cs="Tinos"/>
          <w:b w:val="0"/>
          <w:bCs w:val="0"/>
          <w:sz w:val="24"/>
          <w:szCs w:val="24"/>
          <w:highlight w:val="none"/>
        </w:rPr>
      </w:r>
      <w:r>
        <w:rPr>
          <w:rFonts w:ascii="Tinos" w:hAnsi="Tinos" w:cs="Tinos"/>
          <w:b w:val="0"/>
          <w:bCs w:val="0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highlight w:val="white"/>
        </w:rPr>
      </w:pP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  <w:t xml:space="preserve">3.1.2. Оказать Услуги с учетом современного уровня организации и проведения учебного процесса с использованием современных методических и информационных учебных технологий, 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обеспечить Обучающихся 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учебно-методическими материалам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и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,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 необходимы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ми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 для учебного процесса и предоставить доступ к информационному ресурсу (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посредством создания личного кабинета 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или направления учебно-методических материалов на адреса электронной почты Обучающихся, указанных в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 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з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а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я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в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к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е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).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</w:pPr>
      <w:r>
        <w:rPr>
          <w:highlight w:val="white"/>
        </w:rPr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3.1.3. В первый день обучени</w:t>
      </w: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  <w:t xml:space="preserve">я самостоятельно осуществить сбор персональных данных О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бучающихся, после предоставления Обучающимися необходимой информации.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 w:val="0"/>
          <w:bCs w:val="0"/>
          <w:sz w:val="24"/>
          <w:szCs w:val="24"/>
          <w:highlight w:val="yellow"/>
          <w14:ligatures w14:val="none"/>
        </w:rPr>
      </w:pP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3.1.4. Оказать Услуги в соответствии с требованиями 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действующих норм и правил, установленных законодательством Российской Федерации для данного вида услуг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.</w:t>
      </w:r>
      <w:r>
        <w:rPr>
          <w:rFonts w:ascii="Tinos" w:hAnsi="Tinos" w:cs="Tinos"/>
          <w:b w:val="0"/>
          <w:bCs w:val="0"/>
          <w:sz w:val="24"/>
          <w:szCs w:val="24"/>
          <w:highlight w:val="yellow"/>
          <w14:ligatures w14:val="none"/>
        </w:rPr>
      </w:r>
      <w:r>
        <w:rPr>
          <w:rFonts w:ascii="Tinos" w:hAnsi="Tinos" w:cs="Tinos"/>
          <w:b w:val="0"/>
          <w:bCs w:val="0"/>
          <w:sz w:val="24"/>
          <w:szCs w:val="24"/>
          <w:highlight w:val="yellow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</w:pP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  <w:t xml:space="preserve">3.1.5. Оказать Услуги в соответствии с имеющейся у Исполнителя лице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нз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ией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 </w:t>
      </w: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  <w:t xml:space="preserve">на осуществление образовательной деятельности по предмету настоящего Контракта, </w:t>
      </w: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  <w:t xml:space="preserve"> </w:t>
      </w: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  <w:t xml:space="preserve">в соответствии с требованиями Федерального закона от 29 декабря 2012 г. № 273-ФЗ «Об образовании в Российской Федерации», постановления Правительства Российской Федерации от 18 сентября 2020 г. № 1490 «О лицензировании образовательной деятельности», Федера</w:t>
      </w: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  <w:t xml:space="preserve">льного закона от 4 мая 2011 г. № 99 «О лицензировании отдельных видов деятельности».</w:t>
      </w: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</w: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</w:pP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  <w:t xml:space="preserve">3.1.6. Своевременно информировать Заказчика о начале, сроках и режиме занятий Обучающихся.</w:t>
      </w: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</w: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</w:pP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  <w:t xml:space="preserve">3.1.7. </w:t>
      </w: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  <w:t xml:space="preserve"> При выявлении недостатков в оказанных услугах Исполнитель обязан устранить все недостатки и дефекты, выявленные в ходе предоставления услуг своими силами и за свой 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счет в течение 3 (трех) рабочих дней с момента выявления таких недостатков. 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</w:pP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3.1.8. 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Осуществлять по итогам прохождения обучения комплексную оценку приобретенных Обучающимися знаний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 и при успешном окончании курса обучения выдать: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</w:pP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3.1.8.1. Копии удостоверений о повы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шении квалификации (оригиналы удостоверений направляются почтовым отправлением в адрес Заказч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ика)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.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/>
          <w:bCs/>
          <w:sz w:val="24"/>
          <w:szCs w:val="24"/>
          <w:highlight w:val="none"/>
          <w14:ligatures w14:val="none"/>
        </w:rPr>
      </w:pPr>
      <w:r>
        <w:rPr>
          <w:rFonts w:ascii="Tinos" w:hAnsi="Tinos" w:cs="Tinos"/>
          <w:b/>
          <w:bCs/>
          <w:sz w:val="24"/>
          <w:szCs w:val="24"/>
          <w14:ligatures w14:val="none"/>
        </w:rPr>
        <w:t xml:space="preserve">3.2. Исполнитель имеет право:</w:t>
      </w:r>
      <w:r>
        <w:rPr>
          <w:rFonts w:ascii="Tinos" w:hAnsi="Tinos" w:cs="Tinos"/>
          <w:b/>
          <w:bCs/>
          <w:sz w:val="24"/>
          <w:szCs w:val="24"/>
          <w:highlight w:val="none"/>
          <w14:ligatures w14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 w:val="0"/>
          <w:bCs w:val="0"/>
        </w:rPr>
      </w:pP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  <w:t xml:space="preserve">3.2.1. Самостоятельно осуществлять процесс оказания Услуг, устанавливать системы оценок, формы, порядок и периодичность проведения контрольных заданий (текущих, промежуточных и итоговых) Обучающихся.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 w:val="0"/>
          <w:bCs w:val="0"/>
        </w:rPr>
      </w:pP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  <w:t xml:space="preserve">3.2.2. Требовать от Заказчика произвести приемку оказанных услуг в порядке и в сроки, предусмотренные разделом 4 настоящего Контракта. 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 w:val="0"/>
          <w:bCs w:val="0"/>
        </w:rPr>
      </w:pP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  <w:t xml:space="preserve">3.2.3. Требовать своевременной оплаты на условиях, установленных настоящим Контрактом, надлежащим образом оказанных и принятых Заказчиком Услуг. 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Cs/>
          <w:sz w:val="24"/>
          <w:szCs w:val="24"/>
        </w:rPr>
      </w:pP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  <w:t xml:space="preserve">3.2.4. Принять решение об одностороннем отказе от исполнения Контракта по основаниям, предусмотренным законодательством Российской Федерации.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/>
          <w:bCs/>
          <w:sz w:val="24"/>
          <w:szCs w:val="24"/>
          <w:highlight w:val="none"/>
          <w14:ligatures w14:val="none"/>
        </w:rPr>
      </w:pPr>
      <w:r>
        <w:rPr>
          <w:rFonts w:ascii="Tinos" w:hAnsi="Tinos" w:cs="Tinos"/>
          <w:b/>
          <w:bCs/>
          <w:sz w:val="24"/>
          <w:szCs w:val="24"/>
          <w14:ligatures w14:val="none"/>
        </w:rPr>
        <w:t xml:space="preserve">3.3. Заказчик обязан:</w:t>
      </w:r>
      <w:r>
        <w:rPr>
          <w:rFonts w:ascii="Tinos" w:hAnsi="Tinos" w:cs="Tinos"/>
          <w:b/>
          <w:bCs/>
          <w:sz w:val="24"/>
          <w:szCs w:val="24"/>
          <w:highlight w:val="none"/>
          <w14:ligatures w14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 w:val="0"/>
          <w:bCs w:val="0"/>
          <w:sz w:val="24"/>
          <w:szCs w:val="24"/>
          <w:highlight w:val="none"/>
        </w:rPr>
      </w:pP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  <w:t xml:space="preserve">3.3.1. Принять Услуги, оказанные Исполнителем, в соответствии с разделом 4 настоящего  Контракта.</w:t>
      </w:r>
      <w:r>
        <w:rPr>
          <w:rFonts w:ascii="Tinos" w:hAnsi="Tinos" w:cs="Tinos"/>
          <w:b w:val="0"/>
          <w:bCs w:val="0"/>
          <w:sz w:val="24"/>
          <w:szCs w:val="24"/>
          <w:highlight w:val="none"/>
        </w:rPr>
      </w:r>
      <w:r>
        <w:rPr>
          <w:rFonts w:ascii="Tinos" w:hAnsi="Tinos" w:cs="Tinos"/>
          <w:b w:val="0"/>
          <w:bCs w:val="0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</w:pP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  <w:t xml:space="preserve">3.3.2. Оплатить оказанные Исполнителем Услуги согласно условиям настоящего Контракта. </w:t>
      </w: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</w: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</w:pP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  <w:t xml:space="preserve">3.3.3. Передать Исполнителю необходимую для оказания услуг информацию и документы, а также другие сведения и данные, необходимые ему для оказания услуг. </w:t>
      </w: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</w: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</w:pP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  <w:t xml:space="preserve">3.3.4. </w:t>
      </w: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  <w:t xml:space="preserve">Принять решение об одностороннем отказе от исполнения Контракта 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в 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случая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х, установленных 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Законом № 44-ФЗ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.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/>
          <w:bCs/>
          <w:sz w:val="24"/>
          <w:szCs w:val="24"/>
          <w:highlight w:val="white"/>
          <w14:ligatures w14:val="none"/>
        </w:rPr>
      </w:pPr>
      <w:r>
        <w:rPr>
          <w:rFonts w:ascii="Tinos" w:hAnsi="Tinos" w:cs="Tinos"/>
          <w:b/>
          <w:bCs/>
          <w:sz w:val="24"/>
          <w:szCs w:val="24"/>
          <w:highlight w:val="white"/>
          <w14:ligatures w14:val="none"/>
        </w:rPr>
        <w:t xml:space="preserve">3.4. Заказчик имеет право:</w:t>
      </w:r>
      <w:r>
        <w:rPr>
          <w:rFonts w:ascii="Tinos" w:hAnsi="Tinos" w:cs="Tinos"/>
          <w:b/>
          <w:bCs/>
          <w:sz w:val="24"/>
          <w:szCs w:val="24"/>
          <w:highlight w:val="white"/>
          <w14:ligatures w14:val="none"/>
        </w:rPr>
      </w:r>
      <w:r>
        <w:rPr>
          <w:rFonts w:ascii="Tinos" w:hAnsi="Tinos" w:cs="Tinos"/>
          <w:b/>
          <w:bCs/>
          <w:sz w:val="24"/>
          <w:szCs w:val="24"/>
          <w:highlight w:val="white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 w:val="0"/>
          <w:bCs w:val="0"/>
          <w:sz w:val="24"/>
          <w:szCs w:val="24"/>
          <w:highlight w:val="white"/>
        </w:rPr>
      </w:pP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3.4.1. Проверить в любое время ход и качество оказываемой услуги, не вмешиваясь в деятельность Исполнителя. </w:t>
      </w:r>
      <w:r>
        <w:rPr>
          <w:rFonts w:ascii="Tinos" w:hAnsi="Tinos" w:cs="Tinos"/>
          <w:b w:val="0"/>
          <w:bCs w:val="0"/>
          <w:sz w:val="24"/>
          <w:szCs w:val="24"/>
          <w:highlight w:val="white"/>
        </w:rPr>
      </w:r>
      <w:r>
        <w:rPr>
          <w:rFonts w:ascii="Tinos" w:hAnsi="Tinos" w:cs="Tinos"/>
          <w:b w:val="0"/>
          <w:bCs w:val="0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</w:pP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3.4.2. В случае ненадлежащего оказания услуг потребовать от Исполнителя безвозмездного устранения недостатков. 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</w:pP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3.4.3. Принять решение об одностороннем отказе от исполнения Контракта в случаях, 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установленных частью 15 статьи 95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  <w:t xml:space="preserve"> Закона № 44-ФЗ.</w:t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</w:r>
      <w:r>
        <w:rPr>
          <w:rFonts w:ascii="Tinos" w:hAnsi="Tinos" w:cs="Tinos"/>
          <w:b w:val="0"/>
          <w:bCs w:val="0"/>
          <w:sz w:val="24"/>
          <w:szCs w:val="24"/>
          <w:highlight w:val="white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</w:pPr>
      <w:r>
        <w:rPr>
          <w:rFonts w:ascii="Tinos" w:hAnsi="Tinos" w:cs="Tinos"/>
          <w:b w:val="0"/>
          <w:bCs w:val="0"/>
          <w:sz w:val="24"/>
          <w:szCs w:val="24"/>
          <w14:ligatures w14:val="none"/>
        </w:rPr>
        <w:t xml:space="preserve">3.4.4. Осуществлять иные права, предусмотренные настоящим Контрактом и (или) законодательством Российской Федерации.</w:t>
      </w: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</w: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 w:val="0"/>
          <w:bCs w:val="0"/>
          <w:sz w:val="24"/>
          <w:szCs w:val="24"/>
          <w14:ligatures w14:val="none"/>
        </w:rPr>
      </w:pPr>
      <w:r>
        <w:rPr>
          <w:rFonts w:ascii="Tinos" w:hAnsi="Tinos" w:cs="Tinos"/>
          <w:b w:val="0"/>
          <w:bCs w:val="0"/>
          <w:sz w:val="24"/>
          <w:szCs w:val="24"/>
          <w:highlight w:val="none"/>
          <w14:ligatures w14:val="none"/>
        </w:rPr>
      </w:r>
      <w:r>
        <w:rPr>
          <w:rFonts w:ascii="Tinos" w:hAnsi="Tinos" w:cs="Tinos"/>
          <w:b w:val="0"/>
          <w:bCs w:val="0"/>
          <w:sz w:val="24"/>
          <w:szCs w:val="24"/>
          <w14:ligatures w14:val="none"/>
        </w:rPr>
      </w:r>
      <w:r>
        <w:rPr>
          <w:rFonts w:ascii="Tinos" w:hAnsi="Tinos" w:cs="Tinos"/>
          <w:b w:val="0"/>
          <w:bCs w:val="0"/>
          <w:sz w:val="24"/>
          <w:szCs w:val="24"/>
          <w14:ligatures w14:val="none"/>
        </w:rPr>
      </w:r>
    </w:p>
    <w:p>
      <w:pPr>
        <w:ind w:firstLine="567"/>
        <w:jc w:val="center"/>
        <w:spacing w:after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4. </w:t>
      </w: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Порядок приемки услуг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nos" w:hAnsi="Tinos" w:cs="Tinos"/>
          <w:sz w:val="24"/>
          <w:szCs w:val="24"/>
          <w:highlight w:val="white"/>
        </w:rPr>
      </w:pP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4.1. 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Обязательным для обеих Сторон условием исполнения настоящего Контракта является проведение экспертизы в порядке, предусмотренном 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Законом № 44-ФЗ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. </w:t>
      </w:r>
      <w:r>
        <w:rPr>
          <w:rFonts w:ascii="Tinos" w:hAnsi="Tinos" w:cs="Tinos"/>
          <w:sz w:val="24"/>
          <w:szCs w:val="24"/>
          <w:highlight w:val="white"/>
        </w:rPr>
      </w:r>
      <w:r>
        <w:rPr>
          <w:rFonts w:ascii="Tinos" w:hAnsi="Tinos" w:cs="Tinos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nos" w:hAnsi="Tinos" w:cs="Tinos"/>
          <w:sz w:val="24"/>
          <w:szCs w:val="24"/>
          <w:highlight w:val="white"/>
        </w:rPr>
      </w:pP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заключенных контрактов.</w:t>
      </w:r>
      <w:r>
        <w:rPr>
          <w:rFonts w:ascii="Tinos" w:hAnsi="Tinos" w:cs="Tinos"/>
          <w:sz w:val="24"/>
          <w:szCs w:val="24"/>
          <w:highlight w:val="white"/>
        </w:rPr>
      </w:r>
      <w:r>
        <w:rPr>
          <w:rFonts w:ascii="Tinos" w:hAnsi="Tinos" w:cs="Tinos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nos" w:hAnsi="Tinos" w:cs="Tinos"/>
          <w:sz w:val="24"/>
          <w:szCs w:val="24"/>
          <w:highlight w:val="white"/>
        </w:rPr>
      </w:pP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Экспертиза осуществляется  в срок, не превышающий срок приемки оказанных услуг.</w:t>
      </w:r>
      <w:r>
        <w:rPr>
          <w:rFonts w:ascii="Tinos" w:hAnsi="Tinos" w:cs="Tinos"/>
          <w:sz w:val="24"/>
          <w:szCs w:val="24"/>
          <w:highlight w:val="white"/>
        </w:rPr>
      </w:r>
      <w:r>
        <w:rPr>
          <w:rFonts w:ascii="Tinos" w:hAnsi="Tinos" w:cs="Tinos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nos" w:hAnsi="Tinos" w:cs="Tinos"/>
          <w:sz w:val="24"/>
          <w:szCs w:val="24"/>
          <w:highlight w:val="white"/>
        </w:rPr>
      </w:pP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4.2. По факту оказания услуг Исполнитель в течение 5 (пяти) рабочих дней  предоставляет Заказчику документы о приемке  (Акт или УПД) в двух экземплярах.</w:t>
      </w:r>
      <w:r>
        <w:rPr>
          <w:rFonts w:ascii="Tinos" w:hAnsi="Tinos" w:cs="Tinos"/>
          <w:sz w:val="24"/>
          <w:szCs w:val="24"/>
          <w:highlight w:val="white"/>
        </w:rPr>
      </w:r>
      <w:r>
        <w:rPr>
          <w:rFonts w:ascii="Tinos" w:hAnsi="Tinos" w:cs="Tinos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nos" w:hAnsi="Tinos" w:cs="Tinos"/>
          <w:sz w:val="24"/>
          <w:szCs w:val="24"/>
          <w:highlight w:val="white"/>
        </w:rPr>
      </w:pP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4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.3. Заказчик осуществляет приемку оказанных Исполнителем услуг, предусмотренных настоящим Контрактом, в части их соответствия условиям Контракта, включая проведение  экспертизы соответствия оказанных услуг условиям Контракта, в течение 5 (пяти) рабочих дне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й с даты получения документов о приемке (Акт или УПД) от Исполнителя. </w:t>
      </w:r>
      <w:r>
        <w:rPr>
          <w:rFonts w:ascii="Tinos" w:hAnsi="Tinos" w:cs="Tinos"/>
          <w:sz w:val="24"/>
          <w:szCs w:val="24"/>
          <w:highlight w:val="white"/>
        </w:rPr>
      </w:r>
      <w:r>
        <w:rPr>
          <w:rFonts w:ascii="Tinos" w:hAnsi="Tinos" w:cs="Tinos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nos" w:hAnsi="Tinos" w:cs="Tinos"/>
          <w:sz w:val="24"/>
          <w:szCs w:val="24"/>
          <w:highlight w:val="white"/>
        </w:rPr>
      </w:pP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4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.4. В случае соответствия оказанных услуг условиям Контракта Заказчик в срок, указанный в п. 4.3 Контракта, подписывает документы о приемке  (Акт или УПД) и направляет Исполнителю один экземпляр. При выявленных недостатках Заказчик направляет Исполнителю 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мотивированный отказ от приемки услуг и подписания документы о приемке  (Акт или УПД) с перечнем выявленных недостатков.</w:t>
      </w:r>
      <w:r>
        <w:rPr>
          <w:rFonts w:ascii="Tinos" w:hAnsi="Tinos" w:cs="Tinos"/>
          <w:sz w:val="24"/>
          <w:szCs w:val="24"/>
          <w:highlight w:val="white"/>
        </w:rPr>
      </w:r>
      <w:r>
        <w:rPr>
          <w:rFonts w:ascii="Tinos" w:hAnsi="Tinos" w:cs="Tinos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nos" w:hAnsi="Tinos" w:cs="Tinos"/>
          <w:sz w:val="24"/>
          <w:szCs w:val="24"/>
          <w:highlight w:val="white"/>
        </w:rPr>
      </w:pP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4.5. В случае мотивированного отказа Заказчика от приемки оказанных услуг Исполнитель обязан устранить данные недостатки в течение 5 (пяти) рабочих дней с даты направления мотивированного отказа Заказчика.</w:t>
      </w:r>
      <w:r>
        <w:rPr>
          <w:rFonts w:ascii="Tinos" w:hAnsi="Tinos" w:cs="Tinos"/>
          <w:sz w:val="24"/>
          <w:szCs w:val="24"/>
          <w:highlight w:val="white"/>
        </w:rPr>
      </w:r>
      <w:r>
        <w:rPr>
          <w:rFonts w:ascii="Tinos" w:hAnsi="Tinos" w:cs="Tinos"/>
          <w:sz w:val="24"/>
          <w:szCs w:val="24"/>
          <w:highlight w:val="white"/>
        </w:rPr>
      </w:r>
    </w:p>
    <w:p>
      <w:pPr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/>
          <w:bCs/>
          <w:sz w:val="24"/>
          <w:szCs w:val="24"/>
          <w:highlight w:val="white"/>
        </w:rPr>
      </w:pPr>
      <w:r>
        <w:rPr>
          <w:rFonts w:ascii="Tinos" w:hAnsi="Tinos" w:eastAsia="Tinos" w:cs="Tinos"/>
          <w:b/>
          <w:sz w:val="24"/>
          <w:szCs w:val="24"/>
          <w:highlight w:val="white"/>
          <w:lang w:eastAsia="ru-RU"/>
        </w:rPr>
      </w:r>
      <w:r>
        <w:rPr>
          <w:rFonts w:ascii="Tinos" w:hAnsi="Tinos" w:cs="Tinos"/>
          <w:b/>
          <w:bCs/>
          <w:sz w:val="24"/>
          <w:szCs w:val="24"/>
          <w:highlight w:val="white"/>
        </w:rPr>
      </w:r>
      <w:r>
        <w:rPr>
          <w:rFonts w:ascii="Tinos" w:hAnsi="Tinos" w:cs="Tinos"/>
          <w:b/>
          <w:bCs/>
          <w:sz w:val="24"/>
          <w:szCs w:val="24"/>
          <w:highlight w:val="white"/>
        </w:rPr>
      </w:r>
    </w:p>
    <w:p>
      <w:pPr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5</w:t>
      </w: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. Ответственность сторон</w:t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5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.1.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случае неисполнения или ненадлежаще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го исполнения обязательств, установленных настоящим Контрактом, Исполнитель уплачивает Заказчику неустойку (пени, штрафы).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highlight w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5.2. Пеня начисляется за каждый день просрочки исполнения Исполнителем обязательства, предусмотренного Контрактом, н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ачиная со дня, следующего после дня истечения установленного Контрактом срока исполнения обязательства, и устанавливается в размере 1/300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одной трехсотой)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действующей на дату уплаты пени ключевой ставки Центрального банка Российской Федерации от цены Контракта, уменьшенной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на сумму, пропорциональную объему обязательств, предусмотренных Контрактом и фактически исполненных Исполнителем. Штрафы начисляются за неисполнение или ненадлежащее исполнение Исполнителем обязательст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в, предусмотренных Контрактом, в том числе обязательств, не 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меющих стоимостного выражения, за исключением просрочки исполнения Исполнителем обязательств (в том числе гарантийного обязательства), предусмотренных Контрактом. </w:t>
      </w:r>
      <w:r>
        <w:rPr>
          <w:rFonts w:ascii="Tinos" w:hAnsi="Tinos" w:cs="Tinos"/>
          <w:sz w:val="24"/>
          <w:szCs w:val="24"/>
          <w:highlight w:val="white"/>
        </w:rPr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Размер ш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трафа устанавливается Контрактом в виде суммы – 10 (десять) процентов цены Контракта.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Размер штрафа за 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неисполнение или ненадлежащее исполнение Исполнителем обязательств, предусмотренных Контрактом, которое не имеет стоимостного выражения, размер штрафа устанавливается п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остановление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и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ии утратившим силу постановления Правительства Российс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кой Федерации от 25 ноября 2013 г. № 1063».</w:t>
      </w:r>
      <w:r>
        <w:rPr>
          <w:rFonts w:ascii="Tinos" w:hAnsi="Tinos" w:eastAsia="Tinos" w:cs="Tinos"/>
          <w:sz w:val="24"/>
          <w:szCs w:val="24"/>
          <w:lang w:eastAsia="ru-RU"/>
        </w:rPr>
      </w:r>
      <w:r/>
      <w:r>
        <w:rPr>
          <w:rFonts w:ascii="Tinos" w:hAnsi="Tinos" w:eastAsia="Tinos" w:cs="Tinos"/>
          <w:sz w:val="24"/>
          <w:szCs w:val="24"/>
          <w:highlight w:val="white"/>
          <w:lang w:eastAsia="ru-RU"/>
        </w:rPr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5.3.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случае просрочки исполнения Заказчиком обязательств, предусмотренных Контр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5.4. Пеня начисляется за каждый день просрочки 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1/300 (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одной трехсотой) действующей на дату уплаты пеней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ключевой ставки Центрального банка Российской Федерации от не уплаченной в срок суммы.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5.5. Штрафы начисляются за ненадлежащее исполнение За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казчиком обяза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 и составляет 1000 (одна тысяча) рублей.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5.6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 Уплата пеней не освобождает Стороны от исполнения обязательств по настоящему Контракту. 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5.7.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5.8. Исполнитель освобождается от уплаты пени и (или) штрафа,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Заказчика.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/>
          <w:bCs/>
          <w:sz w:val="24"/>
          <w:szCs w:val="24"/>
          <w14:ligatures w14:val="none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6. Обстоятельства непреодолимой силы </w:t>
      </w:r>
      <w:r>
        <w:rPr>
          <w:rFonts w:ascii="Tinos" w:hAnsi="Tinos" w:cs="Tinos"/>
          <w:b/>
          <w:bCs/>
          <w:sz w:val="24"/>
          <w:szCs w:val="24"/>
          <w14:ligatures w14:val="none"/>
        </w:rPr>
      </w:r>
      <w:r>
        <w:rPr>
          <w:rFonts w:ascii="Tinos" w:hAnsi="Tinos" w:cs="Tinos"/>
          <w:b/>
          <w:bCs/>
          <w:sz w:val="24"/>
          <w:szCs w:val="24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  <w:highlight w:val="none"/>
          <w14:ligatures w14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6.1. Стороны освобождаются от ответственности за частичное или полное неисполнение обязательств по настоящему Контракту, если оно явилось следствием природных явлений, военных действий и прочих обстоятельств непреодолим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ой силы и если эти обстоятельства непосредственно повлияли на исполнение настоящего Контракта.</w:t>
      </w:r>
      <w:r>
        <w:rPr>
          <w:rFonts w:ascii="Tinos" w:hAnsi="Tinos" w:cs="Tinos"/>
          <w:sz w:val="24"/>
          <w:szCs w:val="24"/>
          <w:highlight w:val="none"/>
          <w14:ligatures w14:val="none"/>
        </w:rPr>
      </w:r>
      <w:r>
        <w:rPr>
          <w:rFonts w:ascii="Tinos" w:hAnsi="Tinos" w:cs="Tinos"/>
          <w:sz w:val="24"/>
          <w:szCs w:val="24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  <w:highlight w:val="none"/>
          <w14:ligatures w14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6.2. Срок исполнения обязательств по настоящему Контракту отодвигается соразмерно времени, в течение которого действовали обстоятельства непреодолимой силы, а та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кже последствия, вызванные этими обстоятельствами. </w:t>
      </w:r>
      <w:r>
        <w:rPr>
          <w:rFonts w:ascii="Tinos" w:hAnsi="Tinos" w:cs="Tinos"/>
          <w:sz w:val="24"/>
          <w:szCs w:val="24"/>
          <w:highlight w:val="none"/>
          <w14:ligatures w14:val="none"/>
        </w:rPr>
      </w:r>
      <w:r>
        <w:rPr>
          <w:rFonts w:ascii="Tinos" w:hAnsi="Tinos" w:cs="Tinos"/>
          <w:sz w:val="24"/>
          <w:szCs w:val="24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  <w:highlight w:val="none"/>
          <w14:ligatures w14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6.3.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без промедления, но не позднее 10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(десяти) календарных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обстоятельств:</w:t>
      </w:r>
      <w:r>
        <w:rPr>
          <w:rFonts w:ascii="Tinos" w:hAnsi="Tinos" w:cs="Tinos"/>
          <w:sz w:val="24"/>
          <w:szCs w:val="24"/>
          <w:highlight w:val="none"/>
          <w14:ligatures w14:val="none"/>
        </w:rPr>
      </w:r>
      <w:r>
        <w:rPr>
          <w:rFonts w:ascii="Tinos" w:hAnsi="Tinos" w:cs="Tinos"/>
          <w:sz w:val="24"/>
          <w:szCs w:val="24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  <w:highlight w:val="none"/>
          <w14:ligatures w14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6.3.1. Извещение должно содержать данные о наступлении и о характере обстоятель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ств и возможных последствиях. Сторона также без промедления, должна письменно известить другую Сторону о прекращении этих обстоятельств, однако не позднее 10 (десяти) дней с момента прекращения их действия. </w:t>
      </w:r>
      <w:r>
        <w:rPr>
          <w:rFonts w:ascii="Tinos" w:hAnsi="Tinos" w:cs="Tinos"/>
          <w:sz w:val="24"/>
          <w:szCs w:val="24"/>
          <w:highlight w:val="none"/>
          <w14:ligatures w14:val="none"/>
        </w:rPr>
      </w:r>
      <w:r>
        <w:rPr>
          <w:rFonts w:ascii="Tinos" w:hAnsi="Tinos" w:cs="Tinos"/>
          <w:sz w:val="24"/>
          <w:szCs w:val="24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  <w:highlight w:val="none"/>
          <w14:ligatures w14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6.3.2. Не извещение или несвоевременное извещение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другой Стороны Стороной, для которой создалась невозможность исполнения обязательств по Контракту, о наступлении обстоятельств, освобождающих её от ответственности, влечет за собой утрату права для этой Стороны ссылаться на эти обстоятельства.</w:t>
      </w:r>
      <w:r>
        <w:rPr>
          <w:rFonts w:ascii="Tinos" w:hAnsi="Tinos" w:cs="Tinos"/>
          <w:sz w:val="24"/>
          <w:szCs w:val="24"/>
          <w:highlight w:val="none"/>
          <w14:ligatures w14:val="none"/>
        </w:rPr>
      </w:r>
      <w:r>
        <w:rPr>
          <w:rFonts w:ascii="Tinos" w:hAnsi="Tinos" w:cs="Tinos"/>
          <w:sz w:val="24"/>
          <w:szCs w:val="24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  <w:highlight w:val="none"/>
          <w14:ligatures w14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6.4. В сл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 </w:t>
      </w:r>
      <w:r>
        <w:rPr>
          <w:rFonts w:ascii="Tinos" w:hAnsi="Tinos" w:cs="Tinos"/>
          <w:sz w:val="24"/>
          <w:szCs w:val="24"/>
          <w:highlight w:val="none"/>
          <w14:ligatures w14:val="none"/>
        </w:rPr>
      </w:r>
      <w:r>
        <w:rPr>
          <w:rFonts w:ascii="Tinos" w:hAnsi="Tinos" w:cs="Tinos"/>
          <w:sz w:val="24"/>
          <w:szCs w:val="24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  <w:highlight w:val="none"/>
          <w14:ligatures w14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6.5. Подтверждением наличия обстоятельств непреодолимой силы и их продолжительности являетс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я письменное свидетельство уполномоченных органов или уполномоченных организаций.</w:t>
      </w:r>
      <w:r>
        <w:rPr>
          <w:rFonts w:ascii="Tinos" w:hAnsi="Tinos" w:cs="Tinos"/>
          <w:sz w:val="24"/>
          <w:szCs w:val="24"/>
          <w:highlight w:val="none"/>
          <w14:ligatures w14:val="none"/>
        </w:rPr>
      </w:r>
      <w:r>
        <w:rPr>
          <w:rFonts w:ascii="Tinos" w:hAnsi="Tinos" w:cs="Tinos"/>
          <w:sz w:val="24"/>
          <w:szCs w:val="24"/>
          <w:highlight w:val="none"/>
          <w14:ligatures w14:val="none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      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7.</w:t>
      </w: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 Срок действия и порядок изменения и расторжения Контракта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7.1.  Настоящий Контракт вступает в силу с момента его подписания Сторонами и действует д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о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 _______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, 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в части неисполненных обязательств по Контракт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у действует до момента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надлежащего их исполнения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7.2. 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Любые изменения и дополнения к настоящему Контракту возможны только в случаях, прямо предусмотренных законом и имеют силу только при условии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их оформления в письменном виде и подписания Сторонами в случаях, предусмотренных статьями 34 и 95 </w:t>
      </w:r>
      <w:r>
        <w:rPr>
          <w:rFonts w:ascii="Tinos" w:hAnsi="Tinos" w:eastAsia="Tinos" w:cs="Tinos"/>
          <w:color w:val="000000"/>
          <w:spacing w:val="-2"/>
          <w:sz w:val="24"/>
          <w:szCs w:val="24"/>
        </w:rPr>
        <w:t xml:space="preserve">Закона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№ 44-ФЗ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7.3.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в порядке, установленном ст. 95 </w:t>
      </w:r>
      <w:r>
        <w:rPr>
          <w:rFonts w:ascii="Tinos" w:hAnsi="Tinos" w:eastAsia="Tinos" w:cs="Tinos"/>
          <w:color w:val="000000"/>
          <w:spacing w:val="-2"/>
          <w:sz w:val="24"/>
          <w:szCs w:val="24"/>
        </w:rPr>
        <w:t xml:space="preserve">Закона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№ 44-ФЗ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Cs/>
          <w:sz w:val="24"/>
          <w:szCs w:val="24"/>
        </w:rPr>
      </w:pPr>
      <w:r>
        <w:rPr>
          <w:rFonts w:ascii="Tinos" w:hAnsi="Tinos" w:eastAsia="Tinos" w:cs="Tinos"/>
          <w:bCs/>
          <w:sz w:val="24"/>
          <w:szCs w:val="24"/>
          <w:lang w:eastAsia="ru-RU"/>
        </w:rPr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ind w:left="360" w:firstLine="0"/>
        <w:jc w:val="center"/>
        <w:spacing w:after="0" w:line="240" w:lineRule="auto"/>
        <w:tabs>
          <w:tab w:val="left" w:pos="0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8. Порядок разрешения споров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07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8.1. Все споры или разногласия, возникающие между Сторонами при исполнении настоящего Контракта, будут разрешаться путем переговоров, в том числе путем направления претензий.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07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8.2. Претензия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направляется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письменной форме Стороне, допустившей нарушение у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07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8.3. Срок рассмотрения писем, уведомлений ил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 претензий не может превышать 7 (семи)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календарных дней со дня их получения.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07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8.4.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При неурегулировании Сторонами спора в досудебном порядке, спор разрешается в судебном порядке в Арбитражном суде Иркутской области.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cs="Tinos"/>
          <w:b/>
          <w:color w:val="000000"/>
          <w:sz w:val="24"/>
          <w:szCs w:val="24"/>
        </w:rPr>
      </w:pPr>
      <w:r>
        <w:rPr>
          <w:rFonts w:ascii="Tinos" w:hAnsi="Tinos" w:eastAsia="Tinos" w:cs="Tinos"/>
          <w:b/>
          <w:color w:val="000000"/>
          <w:sz w:val="24"/>
          <w:szCs w:val="24"/>
          <w:lang w:eastAsia="ru-RU"/>
        </w:rPr>
        <w:t xml:space="preserve">9.  Конфиденциальность</w:t>
      </w:r>
      <w:r>
        <w:rPr>
          <w:rFonts w:ascii="Tinos" w:hAnsi="Tinos" w:cs="Tinos"/>
          <w:b/>
          <w:color w:val="000000"/>
          <w:sz w:val="24"/>
          <w:szCs w:val="24"/>
        </w:rPr>
      </w:r>
      <w:r>
        <w:rPr>
          <w:rFonts w:ascii="Tinos" w:hAnsi="Tinos" w:cs="Tinos"/>
          <w:b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color w:val="000000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9.1. Каждая</w:t>
      </w: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 Сторона отдает себе отчет в том, что ей может потребоваться, в целях надлежащего выполнения Контракта, передавать другой Стороне свою конфиденциальную информацию. Конфиденциальная информация должна всегда оставаться собственностью передавшей Стороны и без</w:t>
      </w: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 ее предварительного письменного разрешения не может копироваться или иным образом воспроизводиться получившей Стороной. На всех разрешенных копиях конфиденциальной информации всегда должны быть те же указания на их конфиденциальность, что и на оригиналах.</w:t>
      </w:r>
      <w:r>
        <w:rPr>
          <w:rFonts w:ascii="Tinos" w:hAnsi="Tinos" w:cs="Tinos"/>
          <w:color w:val="000000"/>
          <w:sz w:val="24"/>
          <w:szCs w:val="24"/>
        </w:rPr>
      </w:r>
      <w:r>
        <w:rPr>
          <w:rFonts w:ascii="Tinos" w:hAnsi="Tinos" w:cs="Tinos"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color w:val="000000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9.2. Каждая Сторона, если она получит от другой Стороны конфиденциальную информацию, обязуется:</w:t>
      </w:r>
      <w:r>
        <w:rPr>
          <w:rFonts w:ascii="Tinos" w:hAnsi="Tinos" w:cs="Tinos"/>
          <w:color w:val="000000"/>
          <w:sz w:val="24"/>
          <w:szCs w:val="24"/>
        </w:rPr>
      </w:r>
      <w:r>
        <w:rPr>
          <w:rFonts w:ascii="Tinos" w:hAnsi="Tinos" w:cs="Tinos"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color w:val="000000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9.2.1. Сохранять конфиденциальность этой информации и принимать все необходимые меры для ее защиты.</w:t>
      </w:r>
      <w:r>
        <w:rPr>
          <w:rFonts w:ascii="Tinos" w:hAnsi="Tinos" w:cs="Tinos"/>
          <w:color w:val="000000"/>
          <w:sz w:val="24"/>
          <w:szCs w:val="24"/>
        </w:rPr>
      </w:r>
      <w:r>
        <w:rPr>
          <w:rFonts w:ascii="Tinos" w:hAnsi="Tinos" w:cs="Tinos"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color w:val="000000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9.2.2. Использовать эту информацию только в целях должного выполнения своих контрактных обязательств и никогда не использовать ее в каких-либо иных целях без предварительного письменного разрешения передавшей Стороны.</w:t>
      </w:r>
      <w:r>
        <w:rPr>
          <w:rFonts w:ascii="Tinos" w:hAnsi="Tinos" w:cs="Tinos"/>
          <w:color w:val="000000"/>
          <w:sz w:val="24"/>
          <w:szCs w:val="24"/>
        </w:rPr>
      </w:r>
      <w:r>
        <w:rPr>
          <w:rFonts w:ascii="Tinos" w:hAnsi="Tinos" w:cs="Tinos"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color w:val="000000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9.2.3. Не передавать эту информацию третьей стороне без предварительного письменного разрешения передавшей Стороны, за исключением случаев, предусмотренных действующим законодательством РФ.</w:t>
      </w:r>
      <w:r>
        <w:rPr>
          <w:rFonts w:ascii="Tinos" w:hAnsi="Tinos" w:cs="Tinos"/>
          <w:color w:val="000000"/>
          <w:sz w:val="24"/>
          <w:szCs w:val="24"/>
        </w:rPr>
      </w:r>
      <w:r>
        <w:rPr>
          <w:rFonts w:ascii="Tinos" w:hAnsi="Tinos" w:cs="Tinos"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b/>
          <w:color w:val="000000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9.3. Обязате</w:t>
      </w: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льства, оговоренные в разделе 9</w:t>
      </w: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, будут оставаться в силе бессрочно вне зависимости от прекращения действия Контракта.</w:t>
      </w:r>
      <w:r>
        <w:rPr>
          <w:rFonts w:ascii="Tinos" w:hAnsi="Tinos" w:cs="Tinos"/>
          <w:b/>
          <w:color w:val="000000"/>
          <w:sz w:val="24"/>
          <w:szCs w:val="24"/>
        </w:rPr>
      </w:r>
      <w:r>
        <w:rPr>
          <w:rFonts w:ascii="Tinos" w:hAnsi="Tinos" w:cs="Tinos"/>
          <w:b/>
          <w:color w:val="000000"/>
          <w:sz w:val="24"/>
          <w:szCs w:val="24"/>
        </w:rPr>
      </w:r>
    </w:p>
    <w:p>
      <w:pPr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10. Дополнительные условия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567"/>
        <w:jc w:val="both"/>
        <w:spacing w:after="0" w:line="240" w:lineRule="auto"/>
        <w:tabs>
          <w:tab w:val="left" w:pos="907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10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.1.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всем, что не оговоре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но в Контракте, Стороны руководствуются действующим законодательством Российской Федерации</w:t>
      </w:r>
      <w:r>
        <w:rPr>
          <w:rFonts w:ascii="Tinos" w:hAnsi="Tinos" w:eastAsia="Tinos" w:cs="Tinos"/>
          <w:bCs/>
          <w:color w:val="000000"/>
          <w:sz w:val="24"/>
          <w:szCs w:val="24"/>
          <w:highlight w:val="none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widowControl w:val="off"/>
        <w:tabs>
          <w:tab w:val="left" w:pos="709" w:leader="none"/>
        </w:tabs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10.2.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Любая корреспонденция, которую одна Сторона направляет другой Стороне в соответствии с Контрактом, направля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ется в письменной форме почтой или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законом от 6 апреля 2011 г. № 63-ФЗ «Об электронной подписи».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10.3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соответствии с п.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1 ст. 6 Федерального закона от 06.04.2011 № 63-ФЗ «Об электронной подписи» и ст. 160 Гражданского Кодекса Российской Федерации государственный контракт, дополнительные соглашения, соглашения о расторжении и иные документы по контракту, могут быть подписан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ы квалифицированной электронной подписью в форме электронного документа в системе «Контур.Диадок» (при наличии).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10.4.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Заказчик устанавливает к Исполнителю единые требования, установленные частями 1, 1.1. статьи 31 </w:t>
      </w:r>
      <w:r>
        <w:rPr>
          <w:rFonts w:ascii="Tinos" w:hAnsi="Tinos" w:eastAsia="Tinos" w:cs="Tinos"/>
          <w:color w:val="000000"/>
          <w:spacing w:val="-2"/>
          <w:sz w:val="24"/>
          <w:szCs w:val="24"/>
        </w:rPr>
        <w:t xml:space="preserve">Закона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№ 44-ФЗ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а Исполнитель подтверждает свое соответствие указанным требованиям в полном объеме.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tabs>
          <w:tab w:val="left" w:pos="9072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10.5. 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Настоящий Контракт составлен в двух экземплярах, имеющих одинаковую юридическую силу, по одному экземпляру для каждой из Сторон.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i/>
          <w:color w:val="000000" w:themeColor="text1"/>
          <w:sz w:val="24"/>
          <w:szCs w:val="24"/>
          <w:lang w:eastAsia="ru-RU"/>
        </w:rPr>
        <w:t xml:space="preserve">(Либо в форме электронного документа, подписанного усиленными электронными подписями Сторон)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left="0" w:right="0" w:firstLine="709"/>
        <w:jc w:val="both"/>
        <w:spacing w:after="0" w:line="240" w:lineRule="auto"/>
        <w:tabs>
          <w:tab w:val="left" w:pos="1418" w:leader="none"/>
        </w:tabs>
        <w:rPr>
          <w:rFonts w:ascii="Tinos" w:hAnsi="Tinos" w:cs="Tinos"/>
          <w:bCs/>
          <w:color w:val="000000" w:themeColor="text1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10.6. </w:t>
      </w:r>
      <w:r>
        <w:rPr>
          <w:rFonts w:ascii="Tinos" w:hAnsi="Tinos" w:eastAsia="Tinos" w:cs="Tinos"/>
          <w:bCs/>
          <w:color w:val="000000" w:themeColor="text1"/>
          <w:sz w:val="24"/>
          <w:szCs w:val="24"/>
        </w:rPr>
        <w:t xml:space="preserve">При исполнении настоящего Контракта возможность привлечения третьих лиц к исполнению Контракта без уведомления Заказчика не допускается, не допускается перемена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Исполнителя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4"/>
          <w:szCs w:val="24"/>
        </w:rPr>
        <w:t xml:space="preserve">за исключением случая, если новый Исполнитель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4"/>
          <w:szCs w:val="24"/>
        </w:rPr>
        <w:t xml:space="preserve">является правопреемником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Исполнителя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4"/>
          <w:szCs w:val="24"/>
        </w:rPr>
        <w:t xml:space="preserve">по настоящему Контракту вследствие реорганизации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Исполнителя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4"/>
          <w:szCs w:val="24"/>
        </w:rPr>
        <w:t xml:space="preserve">в форме преобразования, слияния или присоединения.</w:t>
      </w:r>
      <w:r>
        <w:rPr>
          <w:rFonts w:ascii="Tinos" w:hAnsi="Tinos" w:cs="Tinos"/>
          <w:bCs/>
          <w:color w:val="000000" w:themeColor="text1"/>
          <w:sz w:val="24"/>
          <w:szCs w:val="24"/>
        </w:rPr>
      </w:r>
      <w:r>
        <w:rPr>
          <w:rFonts w:ascii="Tinos" w:hAnsi="Tinos" w:cs="Tinos"/>
          <w:bCs/>
          <w:color w:val="000000" w:themeColor="text1"/>
          <w:sz w:val="24"/>
          <w:szCs w:val="24"/>
        </w:rPr>
      </w:r>
    </w:p>
    <w:p>
      <w:pPr>
        <w:ind w:left="0" w:right="0" w:firstLine="0"/>
        <w:jc w:val="both"/>
        <w:spacing w:after="0" w:line="240" w:lineRule="auto"/>
        <w:tabs>
          <w:tab w:val="left" w:pos="9072" w:leader="none"/>
        </w:tabs>
        <w:rPr>
          <w:rFonts w:ascii="Tinos" w:hAnsi="Tinos" w:cs="Tinos"/>
          <w:sz w:val="24"/>
          <w:szCs w:val="24"/>
          <w:highlight w:val="white"/>
        </w:rPr>
      </w:pP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          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10.7. 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Все приложения к настоящему Контракту являются его неотъемлемой частью:</w:t>
      </w:r>
      <w:r>
        <w:rPr>
          <w:rFonts w:ascii="Tinos" w:hAnsi="Tinos" w:cs="Tinos"/>
          <w:sz w:val="24"/>
          <w:szCs w:val="24"/>
          <w:highlight w:val="white"/>
        </w:rPr>
      </w:r>
      <w:r>
        <w:rPr>
          <w:rFonts w:ascii="Tinos" w:hAnsi="Tinos" w:cs="Tinos"/>
          <w:sz w:val="24"/>
          <w:szCs w:val="24"/>
          <w:highlight w:val="white"/>
        </w:rPr>
      </w:r>
    </w:p>
    <w:p>
      <w:pPr>
        <w:ind w:firstLine="567"/>
        <w:jc w:val="both"/>
        <w:spacing w:after="0" w:line="240" w:lineRule="auto"/>
        <w:tabs>
          <w:tab w:val="left" w:pos="9072" w:leader="none"/>
        </w:tabs>
        <w:rPr>
          <w:highlight w:val="white"/>
        </w:rPr>
      </w:pP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10.7.1. Приложение № 1 –Спецификация.</w:t>
      </w:r>
      <w:r>
        <w:rPr>
          <w:highlight w:val="white"/>
        </w:rPr>
      </w:r>
      <w:r>
        <w:rPr>
          <w:highlight w:val="white"/>
        </w:rPr>
      </w:r>
    </w:p>
    <w:p>
      <w:pPr>
        <w:ind w:firstLine="567"/>
        <w:jc w:val="both"/>
        <w:spacing w:after="0" w:line="240" w:lineRule="auto"/>
        <w:tabs>
          <w:tab w:val="left" w:pos="9072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10.7.2. Приложение № 2 – Описание объекта закупки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.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 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firstLine="567"/>
        <w:jc w:val="both"/>
        <w:spacing w:after="0" w:line="240" w:lineRule="auto"/>
        <w:tabs>
          <w:tab w:val="left" w:pos="9072" w:leader="none"/>
        </w:tabs>
        <w:rPr>
          <w:rFonts w:ascii="Tinos" w:hAnsi="Tinos" w:cs="Tinos"/>
          <w:sz w:val="24"/>
          <w:szCs w:val="24"/>
          <w:highlight w:val="white"/>
        </w:rPr>
      </w:pP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white"/>
        </w:rPr>
      </w:r>
      <w:r>
        <w:rPr>
          <w:rFonts w:ascii="Tinos" w:hAnsi="Tinos" w:cs="Tinos"/>
          <w:sz w:val="24"/>
          <w:szCs w:val="24"/>
          <w:highlight w:val="white"/>
        </w:rPr>
      </w:r>
    </w:p>
    <w:p>
      <w:pPr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11</w:t>
      </w: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. Реквизиты и подписи сторон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4524"/>
        <w:gridCol w:w="5257"/>
      </w:tblGrid>
      <w:tr>
        <w:tblPrEx/>
        <w:trPr/>
        <w:tc>
          <w:tcPr>
            <w:tcW w:w="452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t xml:space="preserve">Исполнитель: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b w:val="0"/>
                <w:bCs w:val="0"/>
                <w:color w:val="000000"/>
                <w:sz w:val="23"/>
                <w:szCs w:val="23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/>
                <w:sz w:val="23"/>
                <w:szCs w:val="23"/>
              </w:rPr>
            </w:r>
            <w:r>
              <w:rPr>
                <w:rFonts w:ascii="Tinos" w:hAnsi="Tinos" w:cs="Tinos"/>
                <w:b w:val="0"/>
                <w:bCs w:val="0"/>
                <w:color w:val="000000"/>
                <w:sz w:val="23"/>
                <w:szCs w:val="23"/>
              </w:rPr>
            </w:r>
            <w:r>
              <w:rPr>
                <w:rFonts w:ascii="Tinos" w:hAnsi="Tinos" w:cs="Tinos"/>
                <w:b w:val="0"/>
                <w:bCs w:val="0"/>
                <w:color w:val="000000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3"/>
                <w:szCs w:val="23"/>
                <w14:ligatures w14:val="none"/>
              </w:rPr>
            </w:pPr>
            <w:r>
              <w:rPr>
                <w:rFonts w:ascii="Tinos" w:hAnsi="Tinos" w:eastAsia="Tinos" w:cs="Tinos"/>
                <w:sz w:val="23"/>
                <w:szCs w:val="23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  <w14:ligatures w14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sz w:val="22"/>
                <w:szCs w:val="22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3"/>
                <w:szCs w:val="23"/>
                <w14:ligatures w14:val="none"/>
              </w:rPr>
            </w:pPr>
            <w:r>
              <w:rPr>
                <w:rFonts w:ascii="Tinos" w:hAnsi="Tinos" w:eastAsia="Tinos" w:cs="Tinos"/>
                <w:sz w:val="23"/>
                <w:szCs w:val="23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3"/>
                <w:szCs w:val="23"/>
                <w14:ligatures w14:val="none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3"/>
                <w:szCs w:val="23"/>
                <w14:ligatures w14:val="none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3"/>
                <w:szCs w:val="23"/>
                <w14:ligatures w14:val="none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3"/>
                <w:szCs w:val="23"/>
                <w14:ligatures w14:val="none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3"/>
                <w:szCs w:val="23"/>
                <w14:ligatures w14:val="none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3"/>
                <w:szCs w:val="23"/>
                <w14:ligatures w14:val="none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3"/>
                <w:szCs w:val="23"/>
                <w14:ligatures w14:val="none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3"/>
                <w:szCs w:val="23"/>
                <w14:ligatures w14:val="none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3"/>
                <w:szCs w:val="23"/>
                <w14:ligatures w14:val="none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3"/>
                <w:szCs w:val="23"/>
                <w14:ligatures w14:val="none"/>
              </w:rPr>
            </w:pPr>
            <w:r>
              <w:rPr>
                <w:rFonts w:ascii="Tinos" w:hAnsi="Tinos" w:eastAsia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3"/>
                <w:szCs w:val="23"/>
                <w14:ligatures w14:val="none"/>
              </w:rPr>
            </w:pPr>
            <w:r>
              <w:rPr>
                <w:rFonts w:ascii="Tinos" w:hAnsi="Tinos" w:eastAsia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3"/>
                <w:szCs w:val="23"/>
                <w14:ligatures w14:val="none"/>
              </w:rPr>
            </w:pPr>
            <w:r>
              <w:rPr>
                <w:rFonts w:ascii="Tinos" w:hAnsi="Tinos" w:eastAsia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3"/>
                <w:szCs w:val="23"/>
                <w14:ligatures w14:val="none"/>
              </w:rPr>
            </w:pPr>
            <w:r>
              <w:rPr>
                <w:rFonts w:ascii="Tinos" w:hAnsi="Tinos" w:eastAsia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3"/>
                <w:szCs w:val="23"/>
                <w14:ligatures w14:val="none"/>
              </w:rPr>
            </w:pPr>
            <w:r>
              <w:rPr>
                <w:rFonts w:ascii="Tinos" w:hAnsi="Tinos" w:eastAsia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3"/>
                <w:szCs w:val="23"/>
                <w14:ligatures w14:val="none"/>
              </w:rPr>
            </w:pPr>
            <w:r>
              <w:rPr>
                <w:rFonts w:ascii="Tinos" w:hAnsi="Tinos" w:eastAsia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3"/>
                <w:szCs w:val="23"/>
                <w14:ligatures w14:val="none"/>
              </w:rPr>
            </w:pPr>
            <w:r>
              <w:rPr>
                <w:rFonts w:ascii="Tinos" w:hAnsi="Tinos" w:eastAsia="Tinos" w:cs="Tinos"/>
                <w:sz w:val="23"/>
                <w:szCs w:val="23"/>
                <w:lang w:eastAsia="ru-RU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  <w:r>
              <w:rPr>
                <w:rFonts w:ascii="Tinos" w:hAnsi="Tinos" w:cs="Tinos"/>
                <w:sz w:val="23"/>
                <w:szCs w:val="23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3"/>
                <w:szCs w:val="23"/>
              </w:rPr>
            </w:pPr>
            <w:r>
              <w:rPr>
                <w:rFonts w:ascii="Tinos" w:hAnsi="Tinos" w:eastAsia="Tinos" w:cs="Tinos"/>
                <w:sz w:val="23"/>
                <w:szCs w:val="23"/>
              </w:rPr>
            </w:r>
            <w:r>
              <w:rPr>
                <w:rFonts w:ascii="Tinos" w:hAnsi="Tinos" w:cs="Tinos"/>
                <w:sz w:val="23"/>
                <w:szCs w:val="23"/>
              </w:rPr>
            </w:r>
            <w:r>
              <w:rPr>
                <w:rFonts w:ascii="Tinos" w:hAnsi="Tinos" w:cs="Tinos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  <w:lang w:eastAsia="ru-RU"/>
              </w:rPr>
              <w:t xml:space="preserve">_____________________/______________/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М.П.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525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nos" w:hAnsi="Tinos" w:cs="Tinos"/>
                <w:b/>
                <w:bCs/>
                <w:highlight w:val="whit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white"/>
                <w:lang w:eastAsia="ru-RU"/>
              </w:rPr>
              <w:t xml:space="preserve">Управление Федеральной службы государственной регистрации, кадастра и </w:t>
            </w:r>
            <w:r>
              <w:rPr>
                <w:rFonts w:ascii="Tinos" w:hAnsi="Tinos" w:cs="Tinos"/>
                <w:b/>
                <w:bCs/>
                <w:highlight w:val="white"/>
              </w:rPr>
            </w:r>
            <w:r>
              <w:rPr>
                <w:rFonts w:ascii="Tinos" w:hAnsi="Tinos" w:cs="Tinos"/>
                <w:b/>
                <w:bCs/>
                <w:highlight w:val="white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nos" w:hAnsi="Tinos" w:cs="Tinos"/>
                <w:b/>
                <w:bCs/>
                <w:highlight w:val="whit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white"/>
                <w:lang w:eastAsia="ru-RU"/>
              </w:rPr>
              <w:t xml:space="preserve">картографии по Иркутской области (Управление Росреестра по Иркутской области)</w:t>
            </w:r>
            <w:r>
              <w:rPr>
                <w:rFonts w:ascii="Tinos" w:hAnsi="Tinos" w:cs="Tinos"/>
                <w:b/>
                <w:bCs/>
                <w:highlight w:val="white"/>
              </w:rPr>
            </w:r>
            <w:r>
              <w:rPr>
                <w:rFonts w:ascii="Tinos" w:hAnsi="Tinos" w:cs="Tinos"/>
                <w:b/>
                <w:bCs/>
                <w:highlight w:val="white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nos" w:hAnsi="Tinos" w:cs="Tinos"/>
                <w:sz w:val="23"/>
                <w:szCs w:val="23"/>
                <w:highlight w:val="white"/>
              </w:rPr>
            </w:pP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664056, Иркутская область, г. Иркутск,</w:t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nos" w:hAnsi="Tinos" w:cs="Tinos"/>
                <w:sz w:val="23"/>
                <w:szCs w:val="23"/>
                <w:highlight w:val="white"/>
              </w:rPr>
            </w:pP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ул. Академическая, 70</w:t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nos" w:hAnsi="Tinos" w:cs="Tinos"/>
                <w:sz w:val="23"/>
                <w:szCs w:val="23"/>
                <w:highlight w:val="white"/>
              </w:rPr>
            </w:pP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Тел. 8 (3952) 450-100, 450-200,</w:t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nos" w:hAnsi="Tinos" w:cs="Tinos"/>
                <w:sz w:val="23"/>
                <w:szCs w:val="23"/>
                <w:highlight w:val="white"/>
              </w:rPr>
            </w:pP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эл. почта: 38_upr@rosreestr.ru,</w:t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nos" w:hAnsi="Tinos" w:cs="Tinos"/>
                <w:sz w:val="23"/>
                <w:szCs w:val="23"/>
                <w:highlight w:val="white"/>
              </w:rPr>
            </w:pP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ИНН 3808114653, КПП 381201001,</w:t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nos" w:hAnsi="Tinos" w:cs="Tinos"/>
                <w:sz w:val="23"/>
                <w:szCs w:val="23"/>
                <w:highlight w:val="white"/>
              </w:rPr>
            </w:pP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ОГРН 1043801066760, ОКТМО 25701000</w:t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nos" w:hAnsi="Tinos" w:cs="Tinos"/>
                <w:sz w:val="23"/>
                <w:szCs w:val="23"/>
                <w:highlight w:val="white"/>
              </w:rPr>
            </w:pP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Получатель - </w:t>
            </w: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УФК по Приморскому краю (УПРАВЛЕНИЕ</w:t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nos" w:hAnsi="Tinos" w:cs="Tinos"/>
                <w:sz w:val="23"/>
                <w:szCs w:val="23"/>
                <w:highlight w:val="white"/>
              </w:rPr>
            </w:pP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РОСРЕЕСТРА ПО ИРКУТСКОЙ ОБЛАСТИ, </w:t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nos" w:hAnsi="Tinos" w:cs="Tinos"/>
                <w:sz w:val="23"/>
                <w:szCs w:val="23"/>
                <w:highlight w:val="white"/>
              </w:rPr>
            </w:pP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л/с 03341А39050) </w:t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nos" w:hAnsi="Tinos" w:cs="Tinos"/>
                <w:sz w:val="23"/>
                <w:szCs w:val="23"/>
                <w:highlight w:val="white"/>
              </w:rPr>
            </w:pP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Казначейский счет 03211643000000012010</w:t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nos" w:hAnsi="Tinos" w:cs="Tinos"/>
                <w:sz w:val="23"/>
                <w:szCs w:val="23"/>
                <w:highlight w:val="white"/>
              </w:rPr>
            </w:pP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Единый казначейский счет 40102810545370000012</w:t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nos" w:hAnsi="Tinos" w:cs="Tinos"/>
                <w:sz w:val="23"/>
                <w:szCs w:val="23"/>
                <w:highlight w:val="white"/>
              </w:rPr>
            </w:pP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ОКЦ № 1 ДАЛЬНЕВОСТОЧНОГО ГУ БАНКА РОССИИ// УФК по Приморскому краю, г. Владивосток </w:t>
            </w: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БИК ТОФК 010507002</w:t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nos" w:hAnsi="Tinos" w:cs="Tinos"/>
                <w:sz w:val="23"/>
                <w:szCs w:val="23"/>
                <w:highlight w:val="white"/>
              </w:rPr>
            </w:pP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Казначейский счет (доходный) </w:t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nos" w:hAnsi="Tinos" w:cs="Tinos"/>
                <w:sz w:val="23"/>
                <w:szCs w:val="23"/>
                <w:highlight w:val="white"/>
              </w:rPr>
            </w:pP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03100643000000013400</w:t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nos" w:hAnsi="Tinos" w:cs="Tinos"/>
                <w:sz w:val="23"/>
                <w:szCs w:val="23"/>
                <w:highlight w:val="white"/>
              </w:rPr>
            </w:pP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Единый казначейский счет 40102810145370000026</w:t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nos" w:hAnsi="Tinos" w:cs="Tinos"/>
                <w:sz w:val="23"/>
                <w:szCs w:val="23"/>
                <w:highlight w:val="white"/>
              </w:rPr>
            </w:pP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Лицевой счет (доходный) 04341А39050</w:t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nos" w:hAnsi="Tinos" w:cs="Tinos"/>
                <w:sz w:val="23"/>
                <w:szCs w:val="23"/>
                <w:highlight w:val="white"/>
              </w:rPr>
            </w:pP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Получатель – УФК по Иркутской области УПРАВЛЕНИЕ ФЕДЕРАЛЬНОЙ СЛУЖБЫ ГОСУДАРСТВЕННОЙ РЕГИСТРАЦИИ, КАДАСТРА И КАРТОГРАФИИ ПО ИРКУТСКОЙ ОБЛАСТИ</w:t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nos" w:hAnsi="Tinos" w:cs="Tinos"/>
                <w:sz w:val="23"/>
                <w:szCs w:val="23"/>
                <w:highlight w:val="white"/>
              </w:rPr>
            </w:pP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Код по Сводному реестру 001А3905</w:t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nos" w:hAnsi="Tinos" w:cs="Tinos"/>
                <w:sz w:val="23"/>
                <w:szCs w:val="23"/>
                <w:highlight w:val="white"/>
              </w:rPr>
            </w:pP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</w: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ОКЦ № 4 Сибирского ГУ Банка России</w:t>
            </w: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//УФ</w:t>
            </w: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К по Иркутской области г. Иркутск</w:t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</w:p>
          <w:p>
            <w:pPr>
              <w:ind w:left="0" w:right="0" w:firstLine="0"/>
              <w:jc w:val="left"/>
              <w:spacing w:after="0" w:afterAutospacing="0" w:line="240" w:lineRule="auto"/>
              <w:rPr>
                <w:rFonts w:ascii="Tinos" w:hAnsi="Tinos" w:cs="Tinos"/>
                <w:sz w:val="23"/>
                <w:szCs w:val="23"/>
                <w:highlight w:val="white"/>
              </w:rPr>
            </w:pPr>
            <w:r>
              <w:rPr>
                <w:rFonts w:ascii="Tinos" w:hAnsi="Tinos" w:eastAsia="Tinos" w:cs="Tinos"/>
                <w:sz w:val="23"/>
                <w:szCs w:val="23"/>
                <w:highlight w:val="white"/>
                <w:lang w:eastAsia="ru-RU"/>
              </w:rPr>
              <w:t xml:space="preserve">БИК ТОФК 012520101</w:t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  <w:r>
              <w:rPr>
                <w:rFonts w:ascii="Tinos" w:hAnsi="Tinos" w:cs="Tinos"/>
                <w:sz w:val="23"/>
                <w:szCs w:val="23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БК 321 116 07010 01 9000 140 - штрафы, неустойки, пени, уплаченные в случае просрочки исполнения исполнителем (подрядчиком, поставщиком) обязательств, предусмотренных государственным контрактом, заключенным федеральным государственным органом, федеральным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казенным учреждением, государственной корпорацией (иные штрафы).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БК 321 116 07090 01 9000 140 - иные штрафы, неустойки, пени,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органом, федеральным казенным учреждением, Цент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ральным банком Российской Федерации, государственной корпорацией (иные штрафы).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ind w:left="12"/>
              <w:jc w:val="both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none"/>
                <w:lang w:eastAsia="ru-RU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lang w:eastAsia="ru-RU"/>
              </w:rPr>
              <w:t xml:space="preserve">_________________________ /____________/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                     М.П</w:t>
            </w: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</w:tbl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</w:pPr>
      <w:r>
        <w:rPr>
          <w:rFonts w:ascii="Tinos" w:hAnsi="Tinos" w:eastAsia="Tinos" w:cs="Tinos"/>
          <w:highlight w:val="none"/>
        </w:rPr>
        <w:t xml:space="preserve">Приложение № 1 к государственному контракту </w:t>
      </w:r>
      <w:r>
        <w:rPr>
          <w:rFonts w:ascii="Tinos" w:hAnsi="Tinos" w:eastAsia="Tinos" w:cs="Tinos"/>
          <w:highlight w:val="none"/>
        </w:rPr>
      </w:r>
      <w:r/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  <w:t xml:space="preserve">№_________________от «__» _________2026 г.</w:t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left"/>
        <w:spacing w:after="0"/>
        <w:rPr>
          <w:rFonts w:ascii="Tinos" w:hAnsi="Tinos" w:eastAsia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</w:rPr>
      </w:r>
    </w:p>
    <w:p>
      <w:pPr>
        <w:ind w:left="0"/>
        <w:jc w:val="center"/>
        <w:spacing w:after="0"/>
        <w:rPr>
          <w:rFonts w:ascii="Tinos" w:hAnsi="Tinos" w:eastAsia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sz w:val="24"/>
          <w:szCs w:val="24"/>
          <w:highlight w:val="none"/>
        </w:rPr>
        <w:t xml:space="preserve">СПЕЦИФИКАЦИЯ</w:t>
      </w:r>
      <w:r>
        <w:rPr>
          <w:rFonts w:ascii="Tinos" w:hAnsi="Tinos" w:eastAsia="Tinos" w:cs="Tinos"/>
          <w:b/>
          <w:bCs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</w:rPr>
      </w:r>
    </w:p>
    <w:p>
      <w:pPr>
        <w:ind w:left="0"/>
        <w:jc w:val="lef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tbl>
      <w:tblPr>
        <w:tblW w:w="10137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603"/>
        <w:gridCol w:w="4287"/>
        <w:gridCol w:w="903"/>
        <w:gridCol w:w="965"/>
        <w:gridCol w:w="1930"/>
        <w:gridCol w:w="1448"/>
      </w:tblGrid>
      <w:tr>
        <w:tblPrEx/>
        <w:trPr>
          <w:trHeight w:val="1183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861"/>
              <w:jc w:val="center"/>
              <w:widowControl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№ п/п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4287" w:type="dxa"/>
            <w:vAlign w:val="center"/>
            <w:textDirection w:val="lrTb"/>
            <w:noWrap w:val="false"/>
          </w:tcPr>
          <w:p>
            <w:pPr>
              <w:pStyle w:val="861"/>
              <w:jc w:val="center"/>
              <w:widowControl/>
              <w:rPr>
                <w:rFonts w:ascii="Tinos" w:hAnsi="Tinos" w:cs="Tinos"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sz w:val="20"/>
                <w:szCs w:val="20"/>
              </w:rPr>
              <w:t xml:space="preserve">Наименование услуги</w:t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0"/>
                <w:szCs w:val="20"/>
              </w:rPr>
              <w:t xml:space="preserve">Ед. изм.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W w:w="965" w:type="dxa"/>
            <w:vAlign w:val="center"/>
            <w:textDirection w:val="lrTb"/>
            <w:noWrap w:val="false"/>
          </w:tcPr>
          <w:p>
            <w:pPr>
              <w:pStyle w:val="861"/>
              <w:jc w:val="center"/>
              <w:widowControl/>
              <w:rPr>
                <w:rFonts w:ascii="Tinos" w:hAnsi="Tinos" w:cs="Tinos"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color w:val="000000"/>
                <w:sz w:val="20"/>
                <w:szCs w:val="20"/>
              </w:rPr>
              <w:t xml:space="preserve">Кол-во.</w:t>
            </w:r>
            <w:r>
              <w:rPr>
                <w:rFonts w:ascii="Tinos" w:hAnsi="Tinos" w:cs="Tinos"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Cs/>
                <w:color w:val="000000"/>
                <w:sz w:val="22"/>
                <w:szCs w:val="22"/>
              </w:rPr>
            </w:r>
          </w:p>
        </w:tc>
        <w:tc>
          <w:tcPr>
            <w:tcW w:w="193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nos" w:hAnsi="Tinos" w:eastAsia="Tinos" w:cs="Tinos"/>
                <w:bCs/>
                <w:sz w:val="22"/>
                <w:szCs w:val="22"/>
                <w14:ligatures w14:val="none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Цена за единицу, </w:t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руб. </w:t>
            </w:r>
            <w:r>
              <w:rPr>
                <w:rFonts w:ascii="Tinos" w:hAnsi="Tinos" w:eastAsia="Tinos" w:cs="Tinos"/>
                <w:bCs/>
                <w:sz w:val="22"/>
                <w:szCs w:val="22"/>
                <w14:ligatures w14:val="none"/>
              </w:rPr>
            </w:r>
            <w:r>
              <w:rPr>
                <w:rFonts w:ascii="Tinos" w:hAnsi="Tinos" w:eastAsia="Tinos" w:cs="Tinos"/>
                <w:bCs/>
                <w:sz w:val="22"/>
                <w:szCs w:val="22"/>
                <w14:ligatures w14:val="none"/>
              </w:rPr>
            </w:r>
          </w:p>
          <w:p>
            <w:pPr>
              <w:jc w:val="center"/>
              <w:widowControl/>
              <w:rPr>
                <w:rFonts w:ascii="Tinos" w:hAnsi="Tinos" w:eastAsia="Tinos" w:cs="Tinos"/>
                <w:bCs/>
                <w:sz w:val="22"/>
                <w:szCs w:val="22"/>
                <w14:ligatures w14:val="none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(с НДС/ без НДС)</w:t>
            </w:r>
            <w:r>
              <w:rPr>
                <w:rFonts w:ascii="Tinos" w:hAnsi="Tinos" w:eastAsia="Tinos" w:cs="Tinos"/>
                <w:bCs/>
                <w:sz w:val="22"/>
                <w:szCs w:val="22"/>
                <w14:ligatures w14:val="none"/>
              </w:rPr>
            </w:r>
            <w:r>
              <w:rPr>
                <w:rFonts w:ascii="Tinos" w:hAnsi="Tinos" w:eastAsia="Tinos" w:cs="Tinos"/>
                <w:bCs/>
                <w:sz w:val="22"/>
                <w:szCs w:val="22"/>
                <w14:ligatures w14:val="none"/>
              </w:rPr>
            </w:r>
          </w:p>
        </w:tc>
        <w:tc>
          <w:tcPr>
            <w:tcW w:w="1448" w:type="dxa"/>
            <w:vAlign w:val="center"/>
            <w:textDirection w:val="lrTb"/>
            <w:noWrap w:val="false"/>
          </w:tcPr>
          <w:p>
            <w:pPr>
              <w:pStyle w:val="861"/>
              <w:jc w:val="center"/>
              <w:widowControl/>
              <w:rPr>
                <w:rFonts w:ascii="Tinos" w:hAnsi="Tinos" w:cs="Tinos"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Cs/>
                <w:sz w:val="20"/>
                <w:szCs w:val="20"/>
              </w:rPr>
              <w:t xml:space="preserve">Цена итого, руб.</w:t>
            </w:r>
            <w:r>
              <w:rPr>
                <w:rFonts w:ascii="Tinos" w:hAnsi="Tinos" w:eastAsia="Tinos" w:cs="Tinos"/>
                <w:bCs/>
                <w:sz w:val="20"/>
                <w:szCs w:val="20"/>
              </w:rPr>
              <w:t xml:space="preserve"> (с НДС / без НДС)</w:t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  <w:r>
              <w:rPr>
                <w:rFonts w:ascii="Tinos" w:hAnsi="Tinos" w:cs="Tinos"/>
                <w:bCs/>
                <w:sz w:val="22"/>
                <w:szCs w:val="22"/>
              </w:rPr>
            </w:r>
          </w:p>
        </w:tc>
      </w:tr>
      <w:tr>
        <w:tblPrEx/>
        <w:trPr>
          <w:cantSplit/>
          <w:trHeight w:val="1211"/>
        </w:trPr>
        <w:tc>
          <w:tcPr>
            <w:tcW w:w="603" w:type="dxa"/>
            <w:vAlign w:val="center"/>
            <w:textDirection w:val="lrTb"/>
            <w:noWrap/>
          </w:tcPr>
          <w:p>
            <w:pPr>
              <w:pStyle w:val="861"/>
              <w:jc w:val="center"/>
              <w:widowControl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1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4287" w:type="dxa"/>
            <w:vAlign w:val="top"/>
            <w:textDirection w:val="lrTb"/>
            <w:noWrap w:val="false"/>
          </w:tcPr>
          <w:p>
            <w:pPr>
              <w:pStyle w:val="861"/>
              <w:jc w:val="center"/>
              <w:widowControl/>
              <w:rPr>
                <w:rFonts w:ascii="Tinos" w:hAnsi="Tinos" w:eastAsia="Tinos" w:cs="Tinos"/>
                <w:sz w:val="20"/>
                <w:szCs w:val="20"/>
                <w:highlight w:val="none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</w:r>
            <w:r>
              <w:rPr>
                <w:rFonts w:ascii="Tinos" w:hAnsi="Tinos" w:eastAsia="Tinos" w:cs="Tinos"/>
                <w:sz w:val="20"/>
                <w:szCs w:val="20"/>
              </w:rPr>
              <w:t xml:space="preserve">Оказание услуг по обучению должностных лиц, входящих в составы эвакуационных и эвакоприемных комиссий, сборных и приемных эвакуационных пунктов, промежуточных пунктов эвакуации (эвакуационные органы)</w:t>
            </w:r>
            <w:r>
              <w:rPr>
                <w:rFonts w:ascii="Tinos" w:hAnsi="Tinos" w:eastAsia="Tinos" w:cs="Tinos"/>
                <w:sz w:val="20"/>
                <w:szCs w:val="20"/>
                <w:highlight w:val="none"/>
              </w:rPr>
            </w:r>
            <w:r>
              <w:rPr>
                <w:rFonts w:ascii="Tinos" w:hAnsi="Tinos" w:eastAsia="Tinos" w:cs="Tinos"/>
                <w:sz w:val="20"/>
                <w:szCs w:val="20"/>
                <w:highlight w:val="none"/>
              </w:rPr>
            </w:r>
          </w:p>
        </w:tc>
        <w:tc>
          <w:tcPr>
            <w:tcW w:w="9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  <w:t xml:space="preserve">Чел.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965" w:type="dxa"/>
            <w:vAlign w:val="center"/>
            <w:textDirection w:val="lrTb"/>
            <w:noWrap w:val="false"/>
          </w:tcPr>
          <w:p>
            <w:pPr>
              <w:pStyle w:val="861"/>
              <w:jc w:val="center"/>
              <w:widowControl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1930" w:type="dxa"/>
            <w:vAlign w:val="center"/>
            <w:textDirection w:val="lrTb"/>
            <w:noWrap/>
          </w:tcPr>
          <w:p>
            <w:pPr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  <w:tc>
          <w:tcPr>
            <w:tcW w:w="1448" w:type="dxa"/>
            <w:vAlign w:val="center"/>
            <w:textDirection w:val="lrTb"/>
            <w:noWrap w:val="false"/>
          </w:tcPr>
          <w:p>
            <w:pPr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hAnsi="Tinos" w:eastAsia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  <w:r>
              <w:rPr>
                <w:rFonts w:ascii="Tinos" w:hAnsi="Tinos" w:cs="Tinos"/>
                <w:sz w:val="20"/>
                <w:szCs w:val="20"/>
              </w:rPr>
            </w:r>
          </w:p>
        </w:tc>
      </w:tr>
    </w:tbl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lef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tbl>
      <w:tblPr>
        <w:tblpPr w:horzAnchor="margin" w:tblpXSpec="left" w:vertAnchor="text" w:tblpY="155" w:leftFromText="180" w:topFromText="0" w:rightFromText="180" w:bottomFromText="0"/>
        <w:tblW w:w="101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172"/>
      </w:tblGrid>
      <w:tr>
        <w:tblPrEx/>
        <w:trPr>
          <w:trHeight w:val="591"/>
        </w:trPr>
        <w:tc>
          <w:tcPr>
            <w:tcW w:w="496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color w:val="000000"/>
                <w:sz w:val="24"/>
                <w:szCs w:val="24"/>
                <w:lang w:eastAsia="ru-RU"/>
              </w:rPr>
              <w:t xml:space="preserve">ИСПОЛНИТЕЛЬ:</w:t>
            </w:r>
            <w:r>
              <w:rPr>
                <w:rFonts w:ascii="Tinos" w:hAnsi="Tinos" w:cs="Tinos"/>
                <w:b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/>
                <w:color w:val="000000"/>
                <w:sz w:val="24"/>
                <w:szCs w:val="24"/>
              </w:rPr>
            </w:r>
          </w:p>
        </w:tc>
        <w:tc>
          <w:tcPr>
            <w:tcW w:w="5172" w:type="dxa"/>
            <w:textDirection w:val="lrTb"/>
            <w:noWrap w:val="false"/>
          </w:tcPr>
          <w:p>
            <w:pPr>
              <w:ind w:left="0" w:firstLine="0"/>
              <w:spacing w:after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color w:val="000000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ind w:left="35" w:hanging="35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color w:val="000000"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nos" w:hAnsi="Tinos" w:cs="Tinos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591"/>
        </w:trPr>
        <w:tc>
          <w:tcPr>
            <w:tcW w:w="4962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eastAsia="Tinos" w:cs="Tinos"/>
                <w:color w:val="00000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  <w:t xml:space="preserve">______________________/_______________/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  <w:highlight w:val="none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</w:tc>
        <w:tc>
          <w:tcPr>
            <w:tcW w:w="5172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eastAsia="Tinos" w:cs="Tinos"/>
                <w:color w:val="00000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  <w:t xml:space="preserve">_________________________ /______________/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  <w:highlight w:val="none"/>
                <w:lang w:eastAsia="ru-RU"/>
              </w:rPr>
            </w:r>
          </w:p>
        </w:tc>
      </w:tr>
    </w:tbl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0"/>
        <w:jc w:val="right"/>
        <w:spacing w:after="0"/>
        <w:rPr>
          <w:rFonts w:ascii="Tinos" w:hAnsi="Tinos" w:eastAsia="Tinos" w:cs="Tinos"/>
          <w:highlight w:val="none"/>
        </w:rPr>
      </w:pPr>
      <w:r>
        <w:rPr>
          <w:rFonts w:ascii="Tinos" w:hAnsi="Tinos" w:eastAsia="Tinos" w:cs="Tinos"/>
        </w:rPr>
        <w:t xml:space="preserve">Приложение № 2 к государственному контракту </w:t>
      </w:r>
      <w:r>
        <w:rPr>
          <w:rFonts w:ascii="Tinos" w:hAnsi="Tinos" w:eastAsia="Tinos" w:cs="Tinos"/>
          <w:highlight w:val="none"/>
        </w:rPr>
      </w:r>
      <w:r>
        <w:rPr>
          <w:rFonts w:ascii="Tinos" w:hAnsi="Tinos" w:eastAsia="Tinos" w:cs="Tinos"/>
          <w:highlight w:val="none"/>
        </w:rPr>
      </w:r>
    </w:p>
    <w:p>
      <w:pPr>
        <w:ind w:left="4820"/>
        <w:jc w:val="right"/>
        <w:spacing w:after="0"/>
        <w:rPr>
          <w:rFonts w:ascii="Tinos" w:hAnsi="Tinos" w:cs="Tinos"/>
        </w:rPr>
      </w:pPr>
      <w:r>
        <w:rPr>
          <w:rFonts w:ascii="Tinos" w:hAnsi="Tinos" w:eastAsia="Tinos" w:cs="Tinos"/>
        </w:rPr>
        <w:t xml:space="preserve">№_________________</w:t>
      </w:r>
      <w:r>
        <w:rPr>
          <w:rFonts w:ascii="Tinos" w:hAnsi="Tinos" w:eastAsia="Tinos" w:cs="Tinos"/>
        </w:rPr>
        <w:t xml:space="preserve">от «__» </w:t>
      </w:r>
      <w:r>
        <w:rPr>
          <w:rFonts w:ascii="Tinos" w:hAnsi="Tinos" w:eastAsia="Tinos" w:cs="Tinos"/>
        </w:rPr>
        <w:t xml:space="preserve">_________2026</w:t>
      </w:r>
      <w:r>
        <w:rPr>
          <w:rFonts w:ascii="Tinos" w:hAnsi="Tinos" w:eastAsia="Tinos" w:cs="Tinos"/>
        </w:rPr>
        <w:t xml:space="preserve"> г.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4820"/>
        <w:jc w:val="right"/>
        <w:spacing w:after="0"/>
        <w:rPr>
          <w:rFonts w:ascii="Tinos" w:hAnsi="Tinos" w:cs="Tinos"/>
        </w:rPr>
      </w:pPr>
      <w:r>
        <w:rPr>
          <w:rFonts w:ascii="Tinos" w:hAnsi="Tinos" w:eastAsia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tabs>
          <w:tab w:val="left" w:pos="24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center"/>
        <w:tabs>
          <w:tab w:val="left" w:pos="2460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cs="Tinos"/>
          <w:b/>
          <w:bCs/>
          <w:sz w:val="24"/>
          <w:szCs w:val="24"/>
        </w:rPr>
        <w:t xml:space="preserve">Описание объекта закупки 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highlight w:val="white"/>
        </w:rPr>
      </w:pP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  <w:t xml:space="preserve">1. Наименование и описание Услуг: </w:t>
      </w: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1.1. Обучение сотрудников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Управления Федеральной службы государственной регистрации, кадастра и картографии по Иркутской области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по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дополнительной профессиональной программ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е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в области гражданской обороны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«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Подготовка должностных лиц, входящих в состав эвакуационных комиссий организаций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»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(далее - Программа), форма обучения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с применением дистанционных образовательных технологий.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В программе должны быть отражены и в процессе обучения освещены такие вопросы как: 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highlight w:val="white"/>
        </w:rPr>
        <w:t xml:space="preserve">Основы защиты населения и территорий в области ГО и защиты от ЧС.</w:t>
      </w:r>
      <w:r>
        <w:rPr>
          <w:rFonts w:ascii="Times New Roman" w:hAnsi="Times New Roman" w:cs="Times New Roman"/>
          <w:bCs/>
          <w:color w:val="000000"/>
          <w:sz w:val="26"/>
          <w:szCs w:val="26"/>
          <w:highlight w:val="white"/>
        </w:rPr>
      </w:r>
      <w:r>
        <w:rPr>
          <w:rFonts w:ascii="Times New Roman" w:hAnsi="Times New Roman" w:cs="Times New Roman"/>
          <w:bCs/>
          <w:color w:val="000000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Требования нормативных правовых актов в области ГО, ЗНТЧС.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Опасности, возникающие при военных конфликтах или вследствие этих конфликтов, а также при ЧС.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Основные принципы и способы защиты населения, материальных и культурных ценностей от опасностей, возникающих при ЧС, а также при военных конфликтах или вследствие этих конфликтов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.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Организационные основы ГО и ЗНТЧС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.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Полномочия органов государственной власти, органов местного самоуправления, обязанности организаций и граждан в области ГО и ЗНТЧС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.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Режимы функционирования органов управления и сил РСЧС и их введение. Выполняемые мероприятия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.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Действия должностных лиц и органов управления ГО и РСЧС при введении различных режимов функционирования органов управления и сил, а также при получении сигналов о начале выполнения мероприятий по ГО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.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Требования нормативных правовых актов по вопросам ГО и ЗНТЧС. Организация и выполнение мероприятий по ГО и защиты от ЧС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.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Деятельность органов управления ГО и РСЧС по организации создания, использования и пополнения запасов (резервов) материально-технических, продовольственных, медицинских, финансовых и иных средств в интересах ГО (предупреждения и ликвидации ЧС)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.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Потенциально опасные объекты, расположенные на территории Российской Федерации (субъекта Российской Федерации, муниципального образования, организации) и возможные опасности при нарушении их функционирования. 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Требования пожарной безопасности и задачи должностных лиц и работников ГО и РСЧС по их выполнению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.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Общие понятия об устойчивости функционир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ования организаций, необходимых для выживания населения. Факторы, влияющие на устойчивость функционирования организаций при ЧС и в военное время. Мероприятия и способы повышения устойчивости функционирования организаций, необходимых для выживания населения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.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highlight w:val="white"/>
        </w:rPr>
        <w:t xml:space="preserve">Способы и методы защиты населения, материальных, культурных ценностей и организация их выполнения</w:t>
      </w:r>
      <w:r>
        <w:rPr>
          <w:rFonts w:ascii="Times New Roman" w:hAnsi="Times New Roman" w:cs="Times New Roman"/>
          <w:bCs/>
          <w:color w:val="000000"/>
          <w:sz w:val="26"/>
          <w:szCs w:val="26"/>
          <w:highlight w:val="white"/>
        </w:rPr>
        <w:t xml:space="preserve">.</w:t>
      </w:r>
      <w:r>
        <w:rPr>
          <w:rFonts w:ascii="Times New Roman" w:hAnsi="Times New Roman" w:cs="Times New Roman"/>
          <w:bCs/>
          <w:color w:val="000000"/>
          <w:sz w:val="26"/>
          <w:szCs w:val="26"/>
          <w:highlight w:val="white"/>
        </w:rPr>
      </w:r>
      <w:r>
        <w:rPr>
          <w:rFonts w:ascii="Times New Roman" w:hAnsi="Times New Roman" w:cs="Times New Roman"/>
          <w:bCs/>
          <w:color w:val="000000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Организация радиационной, химической и медико-биологической защиты населения и работников организаций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.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Организация инженерной защиты населения и работников организаций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.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Общие понятия об эвакуации населения. Факторы, влияющие на способы эвакуации при ЧС и в военное время. Мероприятия и способы повышения эффективности проведения эвакуации населения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.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Организация защиты населения, материальных и культурных ценностей путем эвакуации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.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</w:r>
    </w:p>
    <w:p>
      <w:pPr>
        <w:ind w:left="709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highlight w:val="white"/>
        </w:rPr>
      </w:pP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  <w:t xml:space="preserve">2. Характеристики и объем (содержание) оказываемых Услуг:</w:t>
      </w: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В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ид образования: дополнительн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ое профессиональное образование.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Ц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ель оказания услуг: программа направлена на совершенствование и (или) получение новых компетенций, необходимых для профессиональной деятельности, и (или) повышение профессионального уровня в рамках имеющейся квалификации. 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Количество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должностных лиц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, подлежащих обучению по Программе -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6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(Шесть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) человек.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Общий срок оказания Услуг: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с 03.08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.2026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до 26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.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08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.2026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.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highlight w:val="white"/>
        </w:rPr>
      </w:pP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  <w:t xml:space="preserve">3. Условия оказания Услуг:</w:t>
      </w: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услуги должны оказываться на основе Программы продолж</w:t>
      </w:r>
      <w:bookmarkStart w:id="0" w:name="undefined"/>
      <w:r>
        <w:rPr>
          <w:sz w:val="26"/>
          <w:szCs w:val="26"/>
          <w:highlight w:val="white"/>
        </w:rPr>
      </w:r>
      <w:bookmarkEnd w:id="0"/>
      <w:r>
        <w:rPr>
          <w:rFonts w:ascii="Times New Roman" w:hAnsi="Times New Roman" w:cs="Times New Roman"/>
          <w:sz w:val="26"/>
          <w:szCs w:val="26"/>
          <w:highlight w:val="white"/>
        </w:rPr>
        <w:t xml:space="preserve">ительностью не менее 36 учебных часов;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исполнитель должен обеспечить слушателей доступом к образовательной платформе посредством создания личного кабинета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или направления учебно-методических материалов на адреса электронной почты Обучающихся, указанных в заявке)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,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 учебно-методическими материалами, необходимыми для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учебного процесса;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условия организации и проведения обучения должны соответствовать требованиям нормативных правовых актов;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качество оказанных услуг должно в полном объёме соответствовать требованиям действующих норм и правил, установленных законодательством Российской Федерации для данн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ого вида услуг. При выявлении недостатков в оказанных услугах Исполнитель обязан устранить все недостатки и дефекты, выявленные в ходе предоставления услуг своими силами и за свой счет в течение 3 (трех) рабочих дней с момента выявления таких недостатков. 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highlight w:val="white"/>
        </w:rPr>
      </w:pP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  <w:t xml:space="preserve">4. Общие требования к Программе обучения:</w:t>
      </w: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Программа обучения должны соответствовать требованиям нормативных правовых актов Российской Федерации, трудового законодательства Российской Федерации с изменениями на момент проведения обучения.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Дополнительное профессиональное образование должно осуществляться образовательной организацией (исполнителем государственного контракта)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посредством реализации дополнительной профессиональной программы повышения квалификации в соответствии Федеральным законом от 29.12.2012 № 273-ФЗ «Об образовании в Российской Федерации», Указом Президента Российской Федерации от 21.02.2019 № 68 «О професси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ональном развитии государственных гражданских служащих Российской Федерации»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,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приказам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М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инистерства науки и высшего образования РФ от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24.03.2025 № 266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«Об утверждении порядка организации и осуществления образовательной деятельности по дополнител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ьным образовательным программам»,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п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о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с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т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а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н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о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в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л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е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н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и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е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м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П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р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а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в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и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т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е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л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ь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с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т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в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а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о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т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1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1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.10.2023 № 1678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  <w:r>
        <w:rPr>
          <w:highlight w:val="white"/>
        </w:rPr>
      </w:r>
      <w:r>
        <w:rPr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Наименование дополнительной профессиональной образовательной программы повышения квалификации должно быть сопоставимо с наименованием программ повышения квалификации: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«Подготовка должностных лиц, входящих в состав эвакуационных комиссий организаций»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Содержание реализуемой программы повышения квалификации должно учитывать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федеральными законами и иными нормативными правовыми актами Российской Федерации о государственной службе.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Курсовое обучение должно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стных лиц, входящих в состав эвакуационных комиссий организации проводится на основании требований постановления Правительства РФ от 02.11.2000 № 841 «Об утверждении Положения о подготовке населения в области гражданской обороны», постановления Правительст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в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а РФ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характера», примерной программы курсового обучения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руководителей и работников гражданской обороны, руководителей формирований и служб, а также отдельных категорий лиц, осуществляющих подготовку в области гражданской обороны и защиты от чрезвычайных ситуаций 20.11.2020 № 2-4-71-29-11, приказа МЧС России от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24.04.2020 № 262 «Об утверждении перечня должностных лиц,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последствий стихийных бедствий, других федеральных о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обороны».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  <w:t xml:space="preserve">5</w:t>
      </w: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  <w:t xml:space="preserve">. Способ оказания услуг: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образовательная платформа для проведения дистанционного обучения.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highlight w:val="white"/>
        </w:rPr>
      </w:pP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  <w:t xml:space="preserve">6</w:t>
      </w: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  <w:t xml:space="preserve">. Требования к образовательной платформе для проведения дистанционного этапа обучения.</w:t>
      </w: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Под дистанционными образовательными технологиями понимаются образовательные технологии, реализуемые в основном с применением сети Интернет.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доступ Обучающихся к образовательной платформе посредством создания личного кабинета с возможностью просмотра и изменения своих персональных данных 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или направления учебно-методических материалов на адреса электронной почты Обучающихся, указанных в заявке)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доступ через личный кабинет к информационным материалам, необходимым для освоения Программы;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доступ к учебно-ме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тодическим материалам, размещенным в сети Интернет, обеспечивается в круглосуточном режиме для изучения служащими в течение всего периода обучения по программе повышения квалификации. Образовательной организации, реализующей программу повышения квалификаци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и, в процессе обучения и в течение не менее трёх месяцев после завершения обучения рекомендуется обеспечить консультационную поддержку слушателей по вопросам, связанным с практическим применением полученных знаний в процессе решения профессиональных задач;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возможность проведения экзаменационного тестирования (итогового контроля).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highlight w:val="white"/>
        </w:rPr>
      </w:pP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  <w:t xml:space="preserve">8. Отчетная документация. По результатам оказания услуг Исполнитель обязан передать Заказчику надлежащим образом оформленные документы:</w:t>
      </w: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 xml:space="preserve">По окончании обучения Исполнитель помимо документов о приемке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также  оформляет и направляет в Управление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счет на оплату, список (либо выписку из приказа образовательной организации) о количестве сотрудников, прошедших обучение, с указанием номеров выданных удостоверений о повышении квалификации, документы о дополнительном профессиональ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ном образовании, предусмотренные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законодательством Российской Федерации – удостоверение о пов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ышении квалификации. Удостоверения должны быть изготовлены на бланках, являющихся защищенной от подделок полиграфической продукцией, с подписью руководителя (уполномоченного лица) образовательной организации, заверенных печатью образовательной организации.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Данные выдаваемых документов вносятся в единый реестр ФИС ФРДО.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  <w:t xml:space="preserve">9</w:t>
      </w: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  <w:t xml:space="preserve">. Порядок оказания Услуг.</w:t>
      </w:r>
      <w:r>
        <w:rPr>
          <w:rFonts w:ascii="Times New Roman" w:hAnsi="Times New Roman" w:cs="Times New Roman"/>
          <w:sz w:val="26"/>
          <w:szCs w:val="26"/>
          <w:highlight w:val="white"/>
        </w:rPr>
        <w:t xml:space="preserve"> Оказание услуг по обучению проводится в форме самостоятельного изучения необходимого материала работниками Заказчика. 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tabs>
          <w:tab w:val="left" w:pos="24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tabs>
          <w:tab w:val="left" w:pos="24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tbl>
      <w:tblPr>
        <w:tblpPr w:horzAnchor="margin" w:tblpXSpec="left" w:vertAnchor="text" w:tblpY="155" w:leftFromText="180" w:topFromText="0" w:rightFromText="180" w:bottomFromText="0"/>
        <w:tblW w:w="101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172"/>
      </w:tblGrid>
      <w:tr>
        <w:tblPrEx/>
        <w:trPr>
          <w:trHeight w:val="591"/>
        </w:trPr>
        <w:tc>
          <w:tcPr>
            <w:tcW w:w="496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b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color w:val="000000"/>
                <w:sz w:val="24"/>
                <w:szCs w:val="24"/>
                <w:lang w:eastAsia="ru-RU"/>
              </w:rPr>
              <w:t xml:space="preserve">ИСПОЛНИТЕЛЬ:</w:t>
            </w:r>
            <w:r>
              <w:rPr>
                <w:rFonts w:ascii="Tinos" w:hAnsi="Tinos" w:cs="Tinos"/>
                <w:b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/>
                <w:color w:val="000000"/>
                <w:sz w:val="24"/>
                <w:szCs w:val="24"/>
              </w:rPr>
            </w:r>
          </w:p>
        </w:tc>
        <w:tc>
          <w:tcPr>
            <w:tcW w:w="5172" w:type="dxa"/>
            <w:textDirection w:val="lrTb"/>
            <w:noWrap w:val="false"/>
          </w:tcPr>
          <w:p>
            <w:pPr>
              <w:ind w:left="0" w:firstLine="0"/>
              <w:spacing w:after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color w:val="000000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ind w:left="35" w:hanging="35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color w:val="000000"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nos" w:hAnsi="Tinos" w:cs="Tinos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591"/>
        </w:trPr>
        <w:tc>
          <w:tcPr>
            <w:tcW w:w="4962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eastAsia="Tinos" w:cs="Tinos"/>
                <w:color w:val="00000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  <w:t xml:space="preserve">______________________/_______________/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  <w:highlight w:val="none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</w:tc>
        <w:tc>
          <w:tcPr>
            <w:tcW w:w="5172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nos" w:hAnsi="Tinos" w:cs="Tinos"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eastAsia="Tinos" w:cs="Tinos"/>
                <w:color w:val="00000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lang w:eastAsia="ru-RU"/>
              </w:rPr>
              <w:t xml:space="preserve">_________________________ /______________/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  <w:highlight w:val="none"/>
                <w:lang w:eastAsia="ru-RU"/>
              </w:rPr>
            </w:r>
          </w:p>
        </w:tc>
      </w:tr>
    </w:tbl>
    <w:p>
      <w:pPr>
        <w:tabs>
          <w:tab w:val="left" w:pos="24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tabs>
          <w:tab w:val="left" w:pos="24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sectPr>
      <w:headerReference w:type="default" r:id="rId9"/>
      <w:footnotePr/>
      <w:endnotePr/>
      <w:type w:val="nextPage"/>
      <w:pgSz w:w="11906" w:h="16838" w:orient="portrait"/>
      <w:pgMar w:top="567" w:right="851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>
    <w:name w:val="Heading 1"/>
    <w:basedOn w:val="861"/>
    <w:next w:val="861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5">
    <w:name w:val="Heading 1 Char"/>
    <w:basedOn w:val="862"/>
    <w:link w:val="684"/>
    <w:uiPriority w:val="9"/>
    <w:rPr>
      <w:rFonts w:ascii="Arial" w:hAnsi="Arial" w:eastAsia="Arial" w:cs="Arial"/>
      <w:sz w:val="40"/>
      <w:szCs w:val="40"/>
    </w:rPr>
  </w:style>
  <w:style w:type="paragraph" w:styleId="686">
    <w:name w:val="Heading 2"/>
    <w:basedOn w:val="861"/>
    <w:next w:val="861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7">
    <w:name w:val="Heading 2 Char"/>
    <w:basedOn w:val="862"/>
    <w:link w:val="686"/>
    <w:uiPriority w:val="9"/>
    <w:rPr>
      <w:rFonts w:ascii="Arial" w:hAnsi="Arial" w:eastAsia="Arial" w:cs="Arial"/>
      <w:sz w:val="34"/>
    </w:rPr>
  </w:style>
  <w:style w:type="paragraph" w:styleId="688">
    <w:name w:val="Heading 3"/>
    <w:basedOn w:val="861"/>
    <w:next w:val="861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9">
    <w:name w:val="Heading 3 Char"/>
    <w:basedOn w:val="862"/>
    <w:link w:val="688"/>
    <w:uiPriority w:val="9"/>
    <w:rPr>
      <w:rFonts w:ascii="Arial" w:hAnsi="Arial" w:eastAsia="Arial" w:cs="Arial"/>
      <w:sz w:val="30"/>
      <w:szCs w:val="30"/>
    </w:rPr>
  </w:style>
  <w:style w:type="paragraph" w:styleId="690">
    <w:name w:val="Heading 4"/>
    <w:basedOn w:val="861"/>
    <w:next w:val="861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1">
    <w:name w:val="Heading 4 Char"/>
    <w:basedOn w:val="862"/>
    <w:link w:val="690"/>
    <w:uiPriority w:val="9"/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861"/>
    <w:next w:val="861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3">
    <w:name w:val="Heading 5 Char"/>
    <w:basedOn w:val="862"/>
    <w:link w:val="692"/>
    <w:uiPriority w:val="9"/>
    <w:rPr>
      <w:rFonts w:ascii="Arial" w:hAnsi="Arial" w:eastAsia="Arial" w:cs="Arial"/>
      <w:b/>
      <w:bCs/>
      <w:sz w:val="24"/>
      <w:szCs w:val="24"/>
    </w:rPr>
  </w:style>
  <w:style w:type="paragraph" w:styleId="694">
    <w:name w:val="Heading 6"/>
    <w:basedOn w:val="861"/>
    <w:next w:val="861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5">
    <w:name w:val="Heading 6 Char"/>
    <w:basedOn w:val="862"/>
    <w:link w:val="694"/>
    <w:uiPriority w:val="9"/>
    <w:rPr>
      <w:rFonts w:ascii="Arial" w:hAnsi="Arial" w:eastAsia="Arial" w:cs="Arial"/>
      <w:b/>
      <w:bCs/>
      <w:sz w:val="22"/>
      <w:szCs w:val="22"/>
    </w:rPr>
  </w:style>
  <w:style w:type="paragraph" w:styleId="696">
    <w:name w:val="Heading 7"/>
    <w:basedOn w:val="861"/>
    <w:next w:val="861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7">
    <w:name w:val="Heading 7 Char"/>
    <w:basedOn w:val="862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861"/>
    <w:next w:val="861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9">
    <w:name w:val="Heading 8 Char"/>
    <w:basedOn w:val="862"/>
    <w:link w:val="698"/>
    <w:uiPriority w:val="9"/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861"/>
    <w:next w:val="861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>
    <w:name w:val="Heading 9 Char"/>
    <w:basedOn w:val="862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No Spacing"/>
    <w:uiPriority w:val="1"/>
    <w:qFormat/>
    <w:pPr>
      <w:spacing w:before="0" w:after="0" w:line="240" w:lineRule="auto"/>
    </w:pPr>
  </w:style>
  <w:style w:type="paragraph" w:styleId="703">
    <w:name w:val="Title"/>
    <w:basedOn w:val="861"/>
    <w:next w:val="861"/>
    <w:link w:val="70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4">
    <w:name w:val="Title Char"/>
    <w:basedOn w:val="862"/>
    <w:link w:val="703"/>
    <w:uiPriority w:val="10"/>
    <w:rPr>
      <w:sz w:val="48"/>
      <w:szCs w:val="48"/>
    </w:rPr>
  </w:style>
  <w:style w:type="paragraph" w:styleId="705">
    <w:name w:val="Subtitle"/>
    <w:basedOn w:val="861"/>
    <w:next w:val="861"/>
    <w:link w:val="706"/>
    <w:uiPriority w:val="11"/>
    <w:qFormat/>
    <w:pPr>
      <w:spacing w:before="200" w:after="200"/>
    </w:pPr>
    <w:rPr>
      <w:sz w:val="24"/>
      <w:szCs w:val="24"/>
    </w:rPr>
  </w:style>
  <w:style w:type="character" w:styleId="706">
    <w:name w:val="Subtitle Char"/>
    <w:basedOn w:val="862"/>
    <w:link w:val="705"/>
    <w:uiPriority w:val="11"/>
    <w:rPr>
      <w:sz w:val="24"/>
      <w:szCs w:val="24"/>
    </w:rPr>
  </w:style>
  <w:style w:type="paragraph" w:styleId="707">
    <w:name w:val="Quote"/>
    <w:basedOn w:val="861"/>
    <w:next w:val="861"/>
    <w:link w:val="708"/>
    <w:uiPriority w:val="29"/>
    <w:qFormat/>
    <w:pPr>
      <w:ind w:left="720" w:right="720"/>
    </w:pPr>
    <w:rPr>
      <w:i/>
    </w:rPr>
  </w:style>
  <w:style w:type="character" w:styleId="708">
    <w:name w:val="Quote Char"/>
    <w:link w:val="707"/>
    <w:uiPriority w:val="29"/>
    <w:rPr>
      <w:i/>
    </w:rPr>
  </w:style>
  <w:style w:type="paragraph" w:styleId="709">
    <w:name w:val="Intense Quote"/>
    <w:basedOn w:val="861"/>
    <w:next w:val="861"/>
    <w:link w:val="71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0">
    <w:name w:val="Intense Quote Char"/>
    <w:link w:val="709"/>
    <w:uiPriority w:val="30"/>
    <w:rPr>
      <w:i/>
    </w:rPr>
  </w:style>
  <w:style w:type="paragraph" w:styleId="711">
    <w:name w:val="Header"/>
    <w:basedOn w:val="861"/>
    <w:link w:val="7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2">
    <w:name w:val="Header Char"/>
    <w:basedOn w:val="862"/>
    <w:link w:val="711"/>
    <w:uiPriority w:val="99"/>
  </w:style>
  <w:style w:type="paragraph" w:styleId="713">
    <w:name w:val="Footer"/>
    <w:basedOn w:val="861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4">
    <w:name w:val="Footer Char"/>
    <w:basedOn w:val="862"/>
    <w:link w:val="713"/>
    <w:uiPriority w:val="99"/>
  </w:style>
  <w:style w:type="paragraph" w:styleId="715">
    <w:name w:val="Caption"/>
    <w:basedOn w:val="861"/>
    <w:next w:val="861"/>
    <w:link w:val="7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6">
    <w:name w:val="Caption Char"/>
    <w:basedOn w:val="715"/>
    <w:link w:val="713"/>
    <w:uiPriority w:val="99"/>
  </w:style>
  <w:style w:type="table" w:styleId="717">
    <w:name w:val="Table Grid"/>
    <w:basedOn w:val="86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Table Grid Light"/>
    <w:basedOn w:val="8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86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7">
    <w:name w:val="List Table 7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8">
    <w:name w:val="List Table 7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9">
    <w:name w:val="List Table 7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0">
    <w:name w:val="List Table 7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1">
    <w:name w:val="List Table 7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2">
    <w:name w:val="Lined - Accent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Lined - Accent 2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Lined - Accent 3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Lined - Accent 4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Lined - Accent 5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Lined - Accent 6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 &amp; Lined - Accent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1">
    <w:name w:val="Bordered &amp; Lined - Accent 2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2">
    <w:name w:val="Bordered &amp; Lined - Accent 3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3">
    <w:name w:val="Bordered &amp; Lined - Accent 4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4">
    <w:name w:val="Bordered &amp; Lined - Accent 5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5">
    <w:name w:val="Bordered &amp; Lined - Accent 6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6">
    <w:name w:val="Bordered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3">
    <w:name w:val="Hyperlink"/>
    <w:uiPriority w:val="99"/>
    <w:unhideWhenUsed/>
    <w:rPr>
      <w:color w:val="0000ff" w:themeColor="hyperlink"/>
      <w:u w:val="single"/>
    </w:rPr>
  </w:style>
  <w:style w:type="paragraph" w:styleId="844">
    <w:name w:val="footnote text"/>
    <w:basedOn w:val="86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character" w:styleId="846">
    <w:name w:val="footnote reference"/>
    <w:basedOn w:val="862"/>
    <w:uiPriority w:val="99"/>
    <w:unhideWhenUsed/>
    <w:rPr>
      <w:vertAlign w:val="superscript"/>
    </w:rPr>
  </w:style>
  <w:style w:type="paragraph" w:styleId="847">
    <w:name w:val="endnote text"/>
    <w:basedOn w:val="861"/>
    <w:link w:val="848"/>
    <w:uiPriority w:val="99"/>
    <w:semiHidden/>
    <w:unhideWhenUsed/>
    <w:pPr>
      <w:spacing w:after="0" w:line="240" w:lineRule="auto"/>
    </w:pPr>
    <w:rPr>
      <w:sz w:val="20"/>
    </w:rPr>
  </w:style>
  <w:style w:type="character" w:styleId="848">
    <w:name w:val="Endnote Text Char"/>
    <w:link w:val="847"/>
    <w:uiPriority w:val="99"/>
    <w:rPr>
      <w:sz w:val="20"/>
    </w:rPr>
  </w:style>
  <w:style w:type="character" w:styleId="849">
    <w:name w:val="endnote reference"/>
    <w:basedOn w:val="862"/>
    <w:uiPriority w:val="99"/>
    <w:semiHidden/>
    <w:unhideWhenUsed/>
    <w:rPr>
      <w:vertAlign w:val="superscript"/>
    </w:rPr>
  </w:style>
  <w:style w:type="paragraph" w:styleId="850">
    <w:name w:val="toc 1"/>
    <w:basedOn w:val="861"/>
    <w:next w:val="861"/>
    <w:uiPriority w:val="39"/>
    <w:unhideWhenUsed/>
    <w:pPr>
      <w:ind w:left="0" w:right="0" w:firstLine="0"/>
      <w:spacing w:after="57"/>
    </w:pPr>
  </w:style>
  <w:style w:type="paragraph" w:styleId="851">
    <w:name w:val="toc 2"/>
    <w:basedOn w:val="861"/>
    <w:next w:val="861"/>
    <w:uiPriority w:val="39"/>
    <w:unhideWhenUsed/>
    <w:pPr>
      <w:ind w:left="283" w:right="0" w:firstLine="0"/>
      <w:spacing w:after="57"/>
    </w:pPr>
  </w:style>
  <w:style w:type="paragraph" w:styleId="852">
    <w:name w:val="toc 3"/>
    <w:basedOn w:val="861"/>
    <w:next w:val="861"/>
    <w:uiPriority w:val="39"/>
    <w:unhideWhenUsed/>
    <w:pPr>
      <w:ind w:left="567" w:right="0" w:firstLine="0"/>
      <w:spacing w:after="57"/>
    </w:pPr>
  </w:style>
  <w:style w:type="paragraph" w:styleId="853">
    <w:name w:val="toc 4"/>
    <w:basedOn w:val="861"/>
    <w:next w:val="861"/>
    <w:uiPriority w:val="39"/>
    <w:unhideWhenUsed/>
    <w:pPr>
      <w:ind w:left="850" w:right="0" w:firstLine="0"/>
      <w:spacing w:after="57"/>
    </w:pPr>
  </w:style>
  <w:style w:type="paragraph" w:styleId="854">
    <w:name w:val="toc 5"/>
    <w:basedOn w:val="861"/>
    <w:next w:val="861"/>
    <w:uiPriority w:val="39"/>
    <w:unhideWhenUsed/>
    <w:pPr>
      <w:ind w:left="1134" w:right="0" w:firstLine="0"/>
      <w:spacing w:after="57"/>
    </w:pPr>
  </w:style>
  <w:style w:type="paragraph" w:styleId="855">
    <w:name w:val="toc 6"/>
    <w:basedOn w:val="861"/>
    <w:next w:val="861"/>
    <w:uiPriority w:val="39"/>
    <w:unhideWhenUsed/>
    <w:pPr>
      <w:ind w:left="1417" w:right="0" w:firstLine="0"/>
      <w:spacing w:after="57"/>
    </w:pPr>
  </w:style>
  <w:style w:type="paragraph" w:styleId="856">
    <w:name w:val="toc 7"/>
    <w:basedOn w:val="861"/>
    <w:next w:val="861"/>
    <w:uiPriority w:val="39"/>
    <w:unhideWhenUsed/>
    <w:pPr>
      <w:ind w:left="1701" w:right="0" w:firstLine="0"/>
      <w:spacing w:after="57"/>
    </w:pPr>
  </w:style>
  <w:style w:type="paragraph" w:styleId="857">
    <w:name w:val="toc 8"/>
    <w:basedOn w:val="861"/>
    <w:next w:val="861"/>
    <w:uiPriority w:val="39"/>
    <w:unhideWhenUsed/>
    <w:pPr>
      <w:ind w:left="1984" w:right="0" w:firstLine="0"/>
      <w:spacing w:after="57"/>
    </w:pPr>
  </w:style>
  <w:style w:type="paragraph" w:styleId="858">
    <w:name w:val="toc 9"/>
    <w:basedOn w:val="861"/>
    <w:next w:val="861"/>
    <w:uiPriority w:val="39"/>
    <w:unhideWhenUsed/>
    <w:pPr>
      <w:ind w:left="2268" w:right="0" w:firstLine="0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861"/>
    <w:next w:val="861"/>
    <w:uiPriority w:val="99"/>
    <w:unhideWhenUsed/>
    <w:pPr>
      <w:spacing w:after="0" w:afterAutospacing="0"/>
    </w:pPr>
  </w:style>
  <w:style w:type="paragraph" w:styleId="861" w:default="1">
    <w:name w:val="Normal"/>
    <w:qFormat/>
  </w:style>
  <w:style w:type="character" w:styleId="862" w:default="1">
    <w:name w:val="Default Paragraph Font"/>
    <w:uiPriority w:val="1"/>
    <w:semiHidden/>
    <w:unhideWhenUsed/>
  </w:style>
  <w:style w:type="table" w:styleId="86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4" w:default="1">
    <w:name w:val="No List"/>
    <w:uiPriority w:val="99"/>
    <w:semiHidden/>
    <w:unhideWhenUsed/>
  </w:style>
  <w:style w:type="paragraph" w:styleId="865">
    <w:name w:val="List Paragraph"/>
    <w:basedOn w:val="861"/>
    <w:uiPriority w:val="34"/>
    <w:qFormat/>
    <w:pPr>
      <w:contextualSpacing/>
      <w:ind w:left="720"/>
    </w:pPr>
  </w:style>
  <w:style w:type="paragraph" w:styleId="866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Алексеевна</dc:creator>
  <cp:keywords/>
  <dc:description/>
  <cp:lastModifiedBy>chaikovskaia_ka</cp:lastModifiedBy>
  <cp:revision>40</cp:revision>
  <dcterms:created xsi:type="dcterms:W3CDTF">2023-04-12T07:08:00Z</dcterms:created>
  <dcterms:modified xsi:type="dcterms:W3CDTF">2026-07-23T06:47:46Z</dcterms:modified>
</cp:coreProperties>
</file>