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ТЕХНИЧЕСКОЕ ЗАДАНИЕ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center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ind w:left="0" w:firstLine="709"/>
        <w:jc w:val="both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объекта закупки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Офисная мебель</w:t>
      </w:r>
      <w:r>
        <w:rPr>
          <w:sz w:val="24"/>
          <w:szCs w:val="24"/>
        </w:rPr>
        <w:t xml:space="preserve"> для нужд Управления Федеральной службы государственной регистрации, кадастра и картографии по Нижегородской области (Управление Росреестра по Нижегородской области)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Цель закупки: </w:t>
      </w:r>
      <w:r>
        <w:rPr>
          <w:sz w:val="24"/>
          <w:szCs w:val="24"/>
        </w:rPr>
        <w:t xml:space="preserve">обеспечение </w:t>
      </w:r>
      <w:r>
        <w:rPr>
          <w:bCs/>
          <w:sz w:val="24"/>
          <w:szCs w:val="24"/>
        </w:rPr>
        <w:t xml:space="preserve">работников учреждения </w:t>
      </w:r>
      <w:r>
        <w:rPr>
          <w:bCs/>
          <w:sz w:val="24"/>
          <w:szCs w:val="24"/>
        </w:rPr>
        <w:t xml:space="preserve">офисной мебелью.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Источник финансирования закупки: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Средства федерального бюджета Российской Федерации на 2026 год.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b/>
          <w:sz w:val="24"/>
          <w:szCs w:val="24"/>
        </w:rPr>
        <w:t xml:space="preserve">4. Требования к Участникам закупки: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 соответствие единым требованиям, установленным п.1 ст. 31 Федерального закона </w:t>
      </w: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от 5 апреля 2013 г. № 44-ФЗ «О контрактной системе в сфере закупок товаров, работ, услуг </w:t>
      </w:r>
      <w:r>
        <w:rPr>
          <w:sz w:val="24"/>
          <w:szCs w:val="24"/>
        </w:rPr>
        <w:br/>
        <w:t xml:space="preserve">для обеспечения государственных и муниципальных нужд»;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отсутствие информации в реестре недобросовестных поставщиков подрядчиков, исполнителей), в том числе о лицах, информация о которых содержится в заявке на участие </w:t>
      </w: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в закупке (информация об учредителях, о членах коллегиального исполнительного органа, лице, исполняющем функции единоличног</w:t>
      </w:r>
      <w:r>
        <w:rPr>
          <w:sz w:val="24"/>
          <w:szCs w:val="24"/>
        </w:rPr>
        <w:t xml:space="preserve">о исполнительного органа участника закупки - юридического лица) в соответствии с п.1.1 ст.31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5. Место поставки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Товара: 603022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Нижегородской область,</w:t>
      </w:r>
      <w:r>
        <w:rPr>
          <w:sz w:val="24"/>
          <w:szCs w:val="24"/>
        </w:rPr>
        <w:t xml:space="preserve">603950, Нижний Новгород, ул. Малая Ямская, д. 78 А, помещение П5, 4 этаж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Лифт имеется.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tabs>
          <w:tab w:val="left" w:pos="851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  Сроки поставки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Товара: </w:t>
      </w:r>
      <w:r>
        <w:rPr>
          <w:sz w:val="24"/>
          <w:szCs w:val="24"/>
        </w:rPr>
        <w:t xml:space="preserve">в течение</w:t>
      </w:r>
      <w:r>
        <w:rPr>
          <w:sz w:val="24"/>
          <w:szCs w:val="24"/>
        </w:rPr>
        <w:t xml:space="preserve"> 5(пять</w:t>
      </w:r>
      <w:bookmarkStart w:id="0" w:name="_GoBack"/>
      <w:r/>
      <w:bookmarkEnd w:id="0"/>
      <w:r>
        <w:rPr>
          <w:sz w:val="24"/>
          <w:szCs w:val="24"/>
        </w:rPr>
        <w:t xml:space="preserve">) рабочих дней с даты заключения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Условия поставки </w:t>
      </w:r>
      <w:r>
        <w:rPr>
          <w:b/>
          <w:bCs/>
          <w:sz w:val="24"/>
          <w:szCs w:val="24"/>
        </w:rPr>
        <w:t xml:space="preserve">Товара: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7.1.</w:t>
      </w:r>
      <w:r>
        <w:rPr>
          <w:sz w:val="24"/>
          <w:szCs w:val="24"/>
        </w:rPr>
        <w:t xml:space="preserve"> Поставщик должен поставить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Товар Заказчику в количестве и ассортименте в соответствии со Спецификацией Товара, указан</w:t>
      </w:r>
      <w:r>
        <w:rPr>
          <w:sz w:val="24"/>
          <w:szCs w:val="24"/>
        </w:rPr>
        <w:t xml:space="preserve">ной в Таблице № 1 (приложении №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Техническому заданию (далее - ТЗ).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7.1.1.</w:t>
      </w:r>
      <w:r>
        <w:rPr>
          <w:sz w:val="24"/>
          <w:szCs w:val="24"/>
        </w:rPr>
        <w:t xml:space="preserve"> Поставка Товара Поставщиком должна включать в себя доставку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разгрузку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Товара Заказчику.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7.2. </w:t>
      </w:r>
      <w:r>
        <w:rPr>
          <w:sz w:val="24"/>
          <w:szCs w:val="24"/>
        </w:rPr>
        <w:t xml:space="preserve">В соответствии с </w:t>
      </w:r>
      <w:hyperlink r:id="rId10" w:tooltip="consultantplus://offline/ref=D8A801EBA501539AACB7D11CA2F045E629449F617C1D5335ED749FAA39463D77B057D72A659E44AF780DM" w:history="1">
        <w:r>
          <w:rPr>
            <w:rStyle w:val="849"/>
            <w:color w:val="auto"/>
            <w:sz w:val="24"/>
            <w:szCs w:val="24"/>
          </w:rPr>
          <w:t xml:space="preserve">п. 7 ч. 1 ст. 33</w:t>
        </w:r>
      </w:hyperlink>
      <w:r>
        <w:rPr>
          <w:sz w:val="24"/>
          <w:szCs w:val="24"/>
        </w:rPr>
        <w:t xml:space="preserve"> Федерального закона от 5 апреля 2013 г. № 44-ФЗ </w:t>
      </w:r>
      <w:r>
        <w:rPr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4"/>
          <w:szCs w:val="24"/>
        </w:rPr>
        <w:t xml:space="preserve">и муниципальных нужд», поставляемый Товар должен быть новым (Товар, который не был </w:t>
      </w:r>
      <w:r>
        <w:rPr>
          <w:sz w:val="24"/>
          <w:szCs w:val="24"/>
        </w:rPr>
        <w:t xml:space="preserve"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7.3.</w:t>
      </w:r>
      <w:r>
        <w:rPr>
          <w:sz w:val="24"/>
          <w:szCs w:val="24"/>
        </w:rPr>
        <w:t xml:space="preserve"> Качество Товара должно быть подтверждено паспортом качества от производителя (при наличии) и/или сертификатом соответствия.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7.4. </w:t>
      </w:r>
      <w:r>
        <w:rPr>
          <w:sz w:val="24"/>
          <w:szCs w:val="24"/>
        </w:rPr>
        <w:t xml:space="preserve">Упаковка Товара должна обеспечивать сохранность при транспортировке и хранении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7.5.</w:t>
      </w:r>
      <w:r>
        <w:rPr>
          <w:sz w:val="24"/>
          <w:szCs w:val="24"/>
        </w:rPr>
        <w:t xml:space="preserve"> Доставка и </w:t>
      </w:r>
      <w:r>
        <w:rPr>
          <w:sz w:val="24"/>
          <w:szCs w:val="24"/>
        </w:rPr>
        <w:t xml:space="preserve">разгрузка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Товара должна осуществлять</w:t>
      </w:r>
      <w:r>
        <w:rPr>
          <w:sz w:val="24"/>
          <w:szCs w:val="24"/>
        </w:rPr>
        <w:t xml:space="preserve">ся транспортом, а также силами </w:t>
      </w:r>
      <w:r>
        <w:rPr>
          <w:sz w:val="24"/>
          <w:szCs w:val="24"/>
        </w:rPr>
        <w:t xml:space="preserve">и средствами Поставщика в рабочие дни Заказчика с 09:00 до 17:00 (с понедельника по пятницу).</w:t>
      </w:r>
      <w:r>
        <w:rPr>
          <w:sz w:val="24"/>
          <w:szCs w:val="24"/>
        </w:rPr>
        <w:t xml:space="preserve"> Поставщик заранее уведомляет Заказчика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дне поставки Товара (по телефону 8 (831)434-36-69 и на адрес электронной почты: Rosreestr52mto@mail.ru).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8. Требования к поставляемому Товару </w:t>
      </w:r>
      <w:r>
        <w:rPr>
          <w:sz w:val="24"/>
          <w:szCs w:val="24"/>
        </w:rPr>
        <w:t xml:space="preserve">Подробное описание и количество поставляемого Товара указаны в Спецификации Товара согласно Таблице № 1 (Приложение № 1 к ТЗ).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9. Требование о предоставлении гарантии производителя на Товар и к сроку действия такой гарантии (при необходимости): </w:t>
      </w:r>
      <w:r>
        <w:rPr>
          <w:sz w:val="24"/>
          <w:szCs w:val="24"/>
        </w:rPr>
        <w:t xml:space="preserve">На Товар должен быть установлен гарантийный срок, не менее 12 (двенадцати) месяцев, который исчисляется с даты подписания соответствующих отчетных документов. Товар должен быть новый, не бывшим в </w:t>
      </w:r>
      <w:r>
        <w:rPr>
          <w:sz w:val="24"/>
          <w:szCs w:val="24"/>
        </w:rPr>
        <w:t xml:space="preserve">употреблении (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эксплуатации, </w:t>
      </w:r>
      <w:r>
        <w:rPr>
          <w:sz w:val="24"/>
          <w:szCs w:val="24"/>
        </w:rPr>
        <w:t xml:space="preserve">в консервации). По своему качеству Товар должен соответствовать ГОСТ, ТУ, Техническому регламенту Таможенного союза «О безопасности средств индивидуальной защиты». Поставщик должен гарантировать качество поставляемого Товара, включая все составляющие его </w:t>
      </w:r>
      <w:r>
        <w:rPr>
          <w:sz w:val="24"/>
          <w:szCs w:val="24"/>
        </w:rPr>
        <w:t xml:space="preserve">части,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а также устранен</w:t>
      </w:r>
      <w:r>
        <w:rPr>
          <w:sz w:val="24"/>
          <w:szCs w:val="24"/>
        </w:rPr>
        <w:t xml:space="preserve">ие всех недостатков и дефектов Т</w:t>
      </w:r>
      <w:r>
        <w:rPr>
          <w:sz w:val="24"/>
          <w:szCs w:val="24"/>
        </w:rPr>
        <w:t xml:space="preserve">овара в течение гарантийного срока, начиная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с момента передачи Товара Заказчику.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>
        <w:rPr>
          <w:b/>
          <w:sz w:val="24"/>
          <w:szCs w:val="24"/>
        </w:rPr>
        <w:t xml:space="preserve">Срок предоставления </w:t>
      </w:r>
      <w:r>
        <w:rPr>
          <w:b/>
          <w:sz w:val="24"/>
          <w:szCs w:val="24"/>
        </w:rPr>
        <w:t xml:space="preserve">Поставщиком </w:t>
      </w:r>
      <w:r>
        <w:rPr>
          <w:b/>
          <w:sz w:val="24"/>
          <w:szCs w:val="24"/>
        </w:rPr>
        <w:t xml:space="preserve">документов, подтверждающих выполнение обязательств по Контракту: </w:t>
      </w:r>
      <w:r>
        <w:rPr>
          <w:bCs/>
          <w:sz w:val="24"/>
          <w:szCs w:val="24"/>
        </w:rPr>
        <w:t xml:space="preserve">Поставщик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одновременно с поставкой Товара предоставляет Заказчику </w:t>
      </w:r>
      <w:r>
        <w:rPr>
          <w:sz w:val="24"/>
          <w:szCs w:val="24"/>
        </w:rPr>
        <w:t xml:space="preserve">УПД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чет для оплаты за </w:t>
      </w:r>
      <w:r>
        <w:rPr>
          <w:sz w:val="24"/>
          <w:szCs w:val="24"/>
        </w:rPr>
        <w:t xml:space="preserve">Товар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/>
        <w:tabs>
          <w:tab w:val="left" w:pos="1843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Срок приемки Заказчиком </w:t>
      </w:r>
      <w:r>
        <w:rPr>
          <w:b/>
          <w:bCs/>
          <w:sz w:val="24"/>
          <w:szCs w:val="24"/>
        </w:rPr>
        <w:t xml:space="preserve">Товара</w:t>
      </w:r>
      <w:r>
        <w:rPr>
          <w:b/>
          <w:bCs/>
          <w:sz w:val="24"/>
          <w:szCs w:val="24"/>
        </w:rPr>
        <w:t xml:space="preserve">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в течение 5 (пяти) рабочих дней с даты предоставления отчетных документов Заказчику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12.</w:t>
      </w:r>
      <w:r>
        <w:rPr>
          <w:sz w:val="24"/>
          <w:szCs w:val="24"/>
        </w:rPr>
        <w:t xml:space="preserve">  </w:t>
      </w:r>
      <w:r>
        <w:rPr>
          <w:b/>
          <w:sz w:val="24"/>
          <w:szCs w:val="24"/>
        </w:rPr>
        <w:t xml:space="preserve">Перечень отчетных документов: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ab/>
        <w:t xml:space="preserve">УПД (в 2-х экз.) </w:t>
      </w:r>
      <w:r>
        <w:rPr>
          <w:i/>
          <w:iCs/>
          <w:sz w:val="24"/>
          <w:szCs w:val="24"/>
        </w:rPr>
        <w:t xml:space="preserve">(должен содержать «Предмет контракта (наименование), дату от «__» ______(месяц) 20_ г. № _______ (контракта)</w:t>
      </w:r>
      <w:r>
        <w:rPr>
          <w:sz w:val="24"/>
          <w:szCs w:val="24"/>
        </w:rPr>
        <w:t xml:space="preserve">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ab/>
        <w:t xml:space="preserve">Счет </w:t>
      </w:r>
      <w:r>
        <w:rPr>
          <w:i/>
          <w:iCs/>
          <w:sz w:val="24"/>
          <w:szCs w:val="24"/>
        </w:rPr>
        <w:t xml:space="preserve">(должен содержать «Предмет контракта (наименование), дату от «__» ______(месяц) 20_ г. № _______ (контракта)</w:t>
      </w:r>
      <w:r>
        <w:rPr>
          <w:sz w:val="24"/>
          <w:szCs w:val="24"/>
        </w:rPr>
        <w:t xml:space="preserve">»;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- Акт приемки (</w:t>
      </w:r>
      <w:r>
        <w:rPr>
          <w:b/>
          <w:bCs/>
          <w:sz w:val="24"/>
          <w:szCs w:val="24"/>
        </w:rPr>
        <w:t xml:space="preserve">форма 0510452) </w:t>
      </w:r>
      <w:r>
        <w:rPr>
          <w:bCs/>
          <w:sz w:val="24"/>
          <w:szCs w:val="24"/>
        </w:rPr>
        <w:t xml:space="preserve">(в 2-х экз.)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(формируется в системе Заказчика и подписывается Сторонами).</w:t>
      </w:r>
      <w:r>
        <w:rPr>
          <w:i/>
          <w:iCs/>
          <w:sz w:val="24"/>
          <w:szCs w:val="24"/>
        </w:rPr>
      </w:r>
      <w:r>
        <w:rPr>
          <w:i/>
          <w:iCs/>
          <w:sz w:val="24"/>
          <w:szCs w:val="24"/>
        </w:rPr>
      </w:r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shd w:val="nil" w:color="auto"/>
      </w:pPr>
      <w:r>
        <w:br w:type="page" w:clear="all"/>
      </w:r>
      <w:r/>
    </w:p>
    <w:p>
      <w:pPr>
        <w:jc w:val="both"/>
        <w:spacing w:after="0"/>
      </w:pPr>
      <w:r/>
      <w:r/>
    </w:p>
    <w:p>
      <w:pPr>
        <w:ind w:left="6372" w:firstLine="708"/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Приложение № 1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к Техническому заданию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от «___» </w:t>
      </w:r>
      <w:r>
        <w:rPr>
          <w:rFonts w:cs="Times New Roman"/>
          <w:sz w:val="20"/>
          <w:szCs w:val="20"/>
        </w:rPr>
        <w:t xml:space="preserve">_____</w:t>
      </w:r>
      <w:r>
        <w:rPr>
          <w:rFonts w:cs="Times New Roman"/>
          <w:sz w:val="20"/>
          <w:szCs w:val="20"/>
        </w:rPr>
        <w:t xml:space="preserve">__2026 г.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2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№ ____________________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</w:r>
      <w:r>
        <w:rPr>
          <w:rFonts w:cs="Times New Roman"/>
          <w:sz w:val="22"/>
        </w:rPr>
      </w:r>
    </w:p>
    <w:p>
      <w:pPr>
        <w:jc w:val="center"/>
        <w:spacing w:line="259" w:lineRule="auto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jc w:val="center"/>
        <w:spacing w:line="259" w:lineRule="auto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Спецификация Товара</w:t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spacing w:after="0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Таблица № 1</w:t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spacing w:after="0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tbl>
      <w:tblPr>
        <w:tblW w:w="1049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82"/>
        <w:gridCol w:w="3402"/>
        <w:gridCol w:w="850"/>
        <w:gridCol w:w="992"/>
        <w:gridCol w:w="992"/>
        <w:gridCol w:w="708"/>
      </w:tblGrid>
      <w:tr>
        <w:tblPrEx/>
        <w:trPr/>
        <w:tc>
          <w:tcPr>
            <w:tcW w:w="567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tabs>
                <w:tab w:val="left" w:pos="191" w:leader="none"/>
              </w:tabs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№ п/п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2982" w:type="dxa"/>
            <w:vAlign w:val="center"/>
            <w:textDirection w:val="lrTb"/>
            <w:noWrap/>
          </w:tcPr>
          <w:p>
            <w:pPr>
              <w:jc w:val="both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Наименование товара/ ОКПД:2/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jc w:val="both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Требуемые Технические характеристики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Кол-во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Ед. изм.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Цена за ед. товара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в руб.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с НДС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Стоимость,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в руб.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с НДС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vAlign w:val="center"/>
            <w:textDirection w:val="lrTb"/>
            <w:noWrap/>
          </w:tcPr>
          <w:p>
            <w:pPr>
              <w:contextualSpacing/>
              <w:ind w:right="34"/>
              <w:spacing w:after="0"/>
              <w:tabs>
                <w:tab w:val="left" w:pos="191" w:leader="none"/>
                <w:tab w:val="left" w:pos="360" w:leader="none"/>
              </w:tabs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  <w:t xml:space="preserve">  1.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</w:p>
        </w:tc>
        <w:tc>
          <w:tcPr>
            <w:tcW w:w="298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Стол на опорной тумбе правый</w:t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 (стол для руководителя)</w:t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ОКПД2: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31.01.12.110</w:t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происхождения: Российская Федерация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09709" cy="1055097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117858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009708" cy="10550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58.24pt;height:83.08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 (Ш*Г*В), мм: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2200×1800×750 мм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Тип установки: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 угловой.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Столешница: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 МДФ, облицованная натуральным шпоном («американский орех» или «орех авиньон»). Толщина — 25 мм.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Каркас: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 стальные опоры с порошковым покрытием цвета «графит». Толщина металла — 10 мм.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Кромка столешницы: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 имеет геометрию с разнонаправленными радиусными линиями — без чётких граней между рабочей поверхностью и краями,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Покрытие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: Лакокрасочное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Гара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нтия: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12 мес.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Тумба: состоит из 2 частей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Большая часть: выдвижные ящики - 4 шт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Вторая функциональная часть тумбы представляет собой нишу с распашной дверью. Механизм открывания двери - «push to open» - устройство для открывания и закрывания дверей одним нажатием.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шт.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right="-108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/>
          </w:tcPr>
          <w:p>
            <w:pPr>
              <w:contextualSpacing/>
              <w:ind w:right="34"/>
              <w:spacing w:after="0"/>
              <w:tabs>
                <w:tab w:val="left" w:pos="191" w:leader="none"/>
                <w:tab w:val="left" w:pos="360" w:leader="none"/>
              </w:tabs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  <w:t xml:space="preserve">2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</w:p>
        </w:tc>
        <w:tc>
          <w:tcPr>
            <w:tcW w:w="2982" w:type="dxa"/>
            <w:vAlign w:val="center"/>
            <w:vMerge w:val="restart"/>
            <w:textDirection w:val="lrTb"/>
            <w:noWrap w:val="false"/>
          </w:tcPr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Шкаф 3-секционный со стеклом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ОКПД2: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31.01.12.139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ascii="Roboto" w:hAnsi="Roboto" w:eastAsia="Roboto" w:cs="Roboto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происхождения: Российская Федерация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spacing w:after="0"/>
              <w:rPr>
                <w:rFonts w:ascii="Roboto" w:hAnsi="Roboto" w:eastAsia="Roboto" w:cs="Roboto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46478" cy="1297652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429728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1946477" cy="129765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53.27pt;height:102.18pt;mso-wrap-distance-left:0.00pt;mso-wrap-distance-top:0.00pt;mso-wrap-distance-right:0.00pt;mso-wrap-distance-bottom:0.00pt;rotation:0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/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/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  <w:t xml:space="preserve">Размер: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2120×450×2060 мм.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Цвет: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основной — «орех авиньон», отделка стеклянных дверей — «графит».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ab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Каркас: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выполнен из ЛДСП.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Боковые стенки, крышка и дно: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МДФ толщиной 25 мм, облицованы шпоном «американский орех». Углы стыкуются под 45 градусов. </w:t>
              <w:br/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Перегородки и полки в открытой секции: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МДФ толщиной 18 мм, облицованы шпоном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Полки в закрытых секциях и задние стенки: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ЛДСП толщиной 18 мм тёмно-серого цвета с кромкой ПВХ 0,45 мм.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Дно: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ЛДСП толщиной 25 мм.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Передние торцы: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со скосом 12×12 мм.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Декоративные элементы: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съёмные, из МДФ толщиной 16 мм, облицованы шпоном «американский орех» и повторяют профиль боковых стенок и топа.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Опоры: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металлические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Особенности секций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highlight w:val="white"/>
              </w:rPr>
              <w:t xml:space="preserve">Две боковые секци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и: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 закрыты распашными дверями. Каждая имеет 5 уровней хранения.</w:t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highlight w:val="white"/>
              </w:rPr>
              <w:t xml:space="preserve">Центральная секция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 открытая, выполнена в виде 4 ниш. Ниши цвета «графит» дополнены съёмными декоративными элементами из МДФ, облицованными шпоном «американский орех».</w:t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highlight w:val="white"/>
              </w:rPr>
              <w:t xml:space="preserve">В одной из закрытых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 секций: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 вместо полок можно установить выдвижное вешало (входит в комплектацию).</w:t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highlight w:val="white"/>
              </w:rPr>
              <w:t xml:space="preserve">Механизм открывания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 дверей: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 система push-to-open (открывается от лёгкого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нажатия).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Стекло: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 тонированное, в алюминиевой рамке.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b/>
                <w:bCs/>
                <w:color w:val="333333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Механизм замка: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 отсутствует.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Гара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нтия: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12 мес.</w:t>
              <w:tab/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/>
        <w:tc>
          <w:tcPr>
            <w:gridSpan w:val="5"/>
            <w:tcW w:w="8793" w:type="dxa"/>
            <w:vAlign w:val="center"/>
            <w:textDirection w:val="lrTb"/>
            <w:noWrap/>
          </w:tcPr>
          <w:p>
            <w:pPr>
              <w:ind w:right="-108"/>
              <w:jc w:val="right"/>
              <w:spacing w:line="259" w:lineRule="auto"/>
              <w:tabs>
                <w:tab w:val="left" w:pos="3578" w:leader="none"/>
              </w:tabs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ИТОГО: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2"/>
            <w:tcW w:w="170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firstLine="709"/>
        <w:jc w:val="both"/>
        <w:spacing w:after="0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2"/>
    <w:next w:val="842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3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2"/>
    <w:next w:val="842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3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2"/>
    <w:next w:val="842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3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2"/>
    <w:next w:val="842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3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3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3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3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2"/>
    <w:next w:val="842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3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List Paragraph"/>
    <w:basedOn w:val="842"/>
    <w:uiPriority w:val="34"/>
    <w:qFormat/>
    <w:pPr>
      <w:contextualSpacing/>
      <w:ind w:left="720"/>
    </w:p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842"/>
    <w:next w:val="842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>
    <w:name w:val="Title Char"/>
    <w:basedOn w:val="843"/>
    <w:link w:val="687"/>
    <w:uiPriority w:val="10"/>
    <w:rPr>
      <w:sz w:val="48"/>
      <w:szCs w:val="48"/>
    </w:rPr>
  </w:style>
  <w:style w:type="paragraph" w:styleId="689">
    <w:name w:val="Subtitle"/>
    <w:basedOn w:val="842"/>
    <w:next w:val="842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>
    <w:name w:val="Subtitle Char"/>
    <w:basedOn w:val="843"/>
    <w:link w:val="689"/>
    <w:uiPriority w:val="11"/>
    <w:rPr>
      <w:sz w:val="24"/>
      <w:szCs w:val="24"/>
    </w:rPr>
  </w:style>
  <w:style w:type="paragraph" w:styleId="691">
    <w:name w:val="Quote"/>
    <w:basedOn w:val="842"/>
    <w:next w:val="842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42"/>
    <w:next w:val="842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paragraph" w:styleId="695">
    <w:name w:val="Header"/>
    <w:basedOn w:val="842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Header Char"/>
    <w:basedOn w:val="843"/>
    <w:link w:val="695"/>
    <w:uiPriority w:val="99"/>
  </w:style>
  <w:style w:type="paragraph" w:styleId="697">
    <w:name w:val="Footer"/>
    <w:basedOn w:val="842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basedOn w:val="843"/>
    <w:link w:val="697"/>
    <w:uiPriority w:val="99"/>
  </w:style>
  <w:style w:type="paragraph" w:styleId="699">
    <w:name w:val="Caption"/>
    <w:basedOn w:val="842"/>
    <w:next w:val="842"/>
    <w:link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0">
    <w:name w:val="Caption Char"/>
    <w:basedOn w:val="843"/>
    <w:link w:val="699"/>
    <w:uiPriority w:val="35"/>
    <w:rPr>
      <w:b/>
      <w:bCs/>
      <w:color w:val="4f81bd" w:themeColor="accent1"/>
      <w:sz w:val="18"/>
      <w:szCs w:val="18"/>
    </w:rPr>
  </w:style>
  <w:style w:type="table" w:styleId="701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4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5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9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0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01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2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3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4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05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06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7">
    <w:name w:val="Footnote Text Char"/>
    <w:link w:val="846"/>
    <w:uiPriority w:val="99"/>
    <w:rPr>
      <w:sz w:val="18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footnote text"/>
    <w:basedOn w:val="842"/>
    <w:link w:val="847"/>
    <w:uiPriority w:val="99"/>
    <w:pPr>
      <w:spacing w:after="0"/>
    </w:pPr>
    <w:rPr>
      <w:rFonts w:eastAsia="Times New Roman" w:cs="Times New Roman"/>
      <w:sz w:val="20"/>
      <w:szCs w:val="20"/>
      <w:lang w:eastAsia="ru-RU"/>
    </w:rPr>
  </w:style>
  <w:style w:type="character" w:styleId="847" w:customStyle="1">
    <w:name w:val="Текст сноски Знак"/>
    <w:basedOn w:val="843"/>
    <w:link w:val="84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48">
    <w:name w:val="footnote reference"/>
    <w:uiPriority w:val="99"/>
    <w:rPr>
      <w:vertAlign w:val="superscript"/>
    </w:rPr>
  </w:style>
  <w:style w:type="character" w:styleId="849">
    <w:name w:val="Hyperlink"/>
    <w:basedOn w:val="843"/>
    <w:uiPriority w:val="99"/>
    <w:unhideWhenUsed/>
    <w:rPr>
      <w:color w:val="0563c1" w:themeColor="hyperlink"/>
      <w:u w:val="single"/>
    </w:rPr>
  </w:style>
  <w:style w:type="paragraph" w:styleId="850">
    <w:name w:val="Balloon Text"/>
    <w:basedOn w:val="842"/>
    <w:link w:val="851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styleId="851" w:customStyle="1">
    <w:name w:val="Текст выноски Знак"/>
    <w:basedOn w:val="843"/>
    <w:link w:val="85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D8A801EBA501539AACB7D11CA2F045E629449F617C1D5335ED749FAA39463D77B057D72A659E44AF780DM" TargetMode="External"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48149-0E75-41A9-93D3-44EA441F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Толстенко Людмила Григорьевна</dc:creator>
  <cp:keywords/>
  <dc:description/>
  <cp:lastModifiedBy>prokurovaum</cp:lastModifiedBy>
  <cp:revision>21</cp:revision>
  <dcterms:created xsi:type="dcterms:W3CDTF">2026-07-14T08:16:00Z</dcterms:created>
  <dcterms:modified xsi:type="dcterms:W3CDTF">2026-09-01T11:32:44Z</dcterms:modified>
</cp:coreProperties>
</file>