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F8C2E">
      <w:pPr>
        <w:pStyle w:val="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514E8B3D">
      <w:pPr>
        <w:pStyle w:val="13"/>
        <w:jc w:val="center"/>
        <w:rPr>
          <w:rFonts w:ascii="Times New Roman" w:hAnsi="Times New Roman" w:cs="Times New Roman"/>
          <w:sz w:val="24"/>
          <w:szCs w:val="24"/>
        </w:rPr>
      </w:pPr>
    </w:p>
    <w:p w14:paraId="2F7025CF">
      <w:pPr>
        <w:pStyle w:val="15"/>
        <w:widowControl w:val="0"/>
        <w:numPr>
          <w:ilvl w:val="0"/>
          <w:numId w:val="2"/>
        </w:numPr>
        <w:spacing w:before="240"/>
        <w:ind w:hanging="294"/>
        <w:rPr>
          <w:rFonts w:eastAsia="Courier New"/>
          <w:b/>
          <w:sz w:val="22"/>
          <w:szCs w:val="22"/>
          <w:lang w:bidi="ru-RU"/>
        </w:rPr>
      </w:pPr>
      <w:r>
        <w:rPr>
          <w:rFonts w:eastAsia="Courier New"/>
          <w:b/>
          <w:sz w:val="22"/>
          <w:szCs w:val="22"/>
          <w:lang w:bidi="ru-RU"/>
        </w:rPr>
        <w:t>Информация об объекте закупки</w:t>
      </w:r>
    </w:p>
    <w:p w14:paraId="36391395">
      <w:pPr>
        <w:widowControl w:val="0"/>
        <w:spacing w:before="240"/>
        <w:jc w:val="both"/>
        <w:rPr>
          <w:rFonts w:eastAsia="Courier New"/>
          <w:b/>
          <w:sz w:val="22"/>
          <w:szCs w:val="22"/>
          <w:lang w:bidi="ru-RU"/>
        </w:rPr>
      </w:pPr>
      <w:r>
        <w:rPr>
          <w:rFonts w:eastAsia="Times New Roman"/>
          <w:sz w:val="22"/>
          <w:szCs w:val="22"/>
          <w:lang w:bidi="ru-RU"/>
        </w:rPr>
        <w:t xml:space="preserve">Объект закупки -   </w:t>
      </w:r>
      <w:r>
        <w:rPr>
          <w:rFonts w:eastAsia="Times New Roman"/>
          <w:b/>
          <w:sz w:val="22"/>
          <w:szCs w:val="22"/>
          <w:lang w:bidi="ru-RU"/>
        </w:rPr>
        <w:t xml:space="preserve">картриджи для принтеров </w:t>
      </w:r>
    </w:p>
    <w:p w14:paraId="757D250A">
      <w:pPr>
        <w:pStyle w:val="13"/>
        <w:rPr>
          <w:rFonts w:ascii="Times New Roman" w:hAnsi="Times New Roman" w:cs="Times New Roman"/>
          <w:sz w:val="22"/>
          <w:szCs w:val="22"/>
        </w:rPr>
      </w:pPr>
    </w:p>
    <w:p w14:paraId="737D4BDF">
      <w:pPr>
        <w:pStyle w:val="15"/>
        <w:widowControl w:val="0"/>
        <w:numPr>
          <w:ilvl w:val="0"/>
          <w:numId w:val="2"/>
        </w:numPr>
        <w:spacing w:before="240"/>
        <w:ind w:left="0" w:firstLine="426"/>
        <w:jc w:val="both"/>
        <w:rPr>
          <w:rFonts w:eastAsia="Courier New"/>
          <w:b/>
          <w:sz w:val="22"/>
          <w:szCs w:val="22"/>
          <w:lang w:bidi="ru-RU"/>
        </w:rPr>
      </w:pPr>
      <w:r>
        <w:rPr>
          <w:rFonts w:eastAsia="Courier New"/>
          <w:b/>
          <w:sz w:val="22"/>
          <w:szCs w:val="22"/>
          <w:lang w:bidi="ru-RU"/>
        </w:rPr>
        <w:t xml:space="preserve">Наименование и описание объекта закупки </w:t>
      </w:r>
    </w:p>
    <w:p w14:paraId="191C551F">
      <w:pPr>
        <w:tabs>
          <w:tab w:val="left" w:pos="426"/>
          <w:tab w:val="left" w:pos="851"/>
          <w:tab w:val="left" w:pos="993"/>
        </w:tabs>
        <w:spacing w:after="120"/>
        <w:ind w:firstLine="426"/>
        <w:jc w:val="both"/>
        <w:rPr>
          <w:sz w:val="22"/>
          <w:szCs w:val="22"/>
        </w:rPr>
      </w:pPr>
    </w:p>
    <w:p w14:paraId="3B20A4AB">
      <w:pPr>
        <w:tabs>
          <w:tab w:val="left" w:pos="426"/>
          <w:tab w:val="left" w:pos="851"/>
          <w:tab w:val="left" w:pos="993"/>
        </w:tabs>
        <w:spacing w:after="120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2.1. Требования к количеству, качеству товара, к его техническим и функциональным и эксплуатационным характеристикам.</w:t>
      </w:r>
    </w:p>
    <w:p w14:paraId="60A5191E">
      <w:pPr>
        <w:tabs>
          <w:tab w:val="left" w:pos="426"/>
          <w:tab w:val="left" w:pos="851"/>
          <w:tab w:val="left" w:pos="993"/>
        </w:tabs>
        <w:spacing w:after="12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 Картриджи, поставляемые для </w:t>
      </w:r>
      <w:r>
        <w:rPr>
          <w:rFonts w:hint="default"/>
          <w:sz w:val="22"/>
          <w:szCs w:val="22"/>
          <w:lang w:val="ru-RU"/>
        </w:rPr>
        <w:t xml:space="preserve"> принтера </w:t>
      </w:r>
      <w:r>
        <w:rPr>
          <w:sz w:val="22"/>
          <w:szCs w:val="22"/>
        </w:rPr>
        <w:t xml:space="preserve">«Катюша» должны быть новыми, </w:t>
      </w:r>
      <w:r>
        <w:rPr>
          <w:sz w:val="22"/>
          <w:szCs w:val="22"/>
          <w:u w:val="single"/>
        </w:rPr>
        <w:t>оригинальными,</w:t>
      </w:r>
      <w:r>
        <w:rPr>
          <w:sz w:val="22"/>
          <w:szCs w:val="22"/>
        </w:rPr>
        <w:t xml:space="preserve"> не бывшими в употреблении. </w:t>
      </w:r>
      <w:r>
        <w:rPr>
          <w:sz w:val="22"/>
          <w:szCs w:val="22"/>
          <w:lang w:val="ru-RU"/>
        </w:rPr>
        <w:t>Принтеры</w:t>
      </w:r>
      <w:r>
        <w:rPr>
          <w:sz w:val="22"/>
          <w:szCs w:val="22"/>
        </w:rPr>
        <w:t xml:space="preserve"> «Катюша» находятся на гарантии.</w:t>
      </w:r>
    </w:p>
    <w:p w14:paraId="72CB8CC7">
      <w:pPr>
        <w:tabs>
          <w:tab w:val="left" w:pos="426"/>
          <w:tab w:val="left" w:pos="851"/>
          <w:tab w:val="left" w:pos="993"/>
        </w:tabs>
        <w:spacing w:after="12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2.1.2.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Поставляемые картриджи, далее – Товар, не должны иметь дефектов, связанных с конструкцией, материалами или работами по его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эксплуатации.</w:t>
      </w:r>
    </w:p>
    <w:p w14:paraId="7E2E2B92">
      <w:pPr>
        <w:tabs>
          <w:tab w:val="left" w:pos="426"/>
          <w:tab w:val="left" w:pos="851"/>
          <w:tab w:val="left" w:pos="993"/>
        </w:tabs>
        <w:spacing w:after="12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2.1.4. Поставляемый Товар должен быть новым, не бывшим в употреблении, соответствовать стандартам и нормам, действующим на территории РФ.</w:t>
      </w:r>
    </w:p>
    <w:p w14:paraId="20728A90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sz w:val="22"/>
          <w:szCs w:val="22"/>
        </w:rPr>
        <w:t>2.1.5. Заказчик оставляет за собой право проводить проверку Товара в авторизированных сервисных центрах производителей оборудования или в организациях, официально уполномоченных для</w:t>
      </w: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проведения независимой экспертизы, на предмет выявления несоответствия качества поставленных расходных материалов. Если в результате экспертизы обнаружится наличие  восстановленных или перезаправленных картриджей, а также товара ненадлежащего качества, то вся партия товара подлежит возврату Поставщику и замене на качественный товар. </w:t>
      </w:r>
    </w:p>
    <w:p w14:paraId="3E372C2A">
      <w:pPr>
        <w:tabs>
          <w:tab w:val="left" w:pos="426"/>
          <w:tab w:val="left" w:pos="851"/>
          <w:tab w:val="left" w:pos="993"/>
        </w:tabs>
        <w:spacing w:after="12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2.1.6. Заказчик вправе проводить пробную печать поставляемых картриджей.</w:t>
      </w:r>
    </w:p>
    <w:p w14:paraId="05CCEF6A">
      <w:pPr>
        <w:tabs>
          <w:tab w:val="left" w:pos="426"/>
          <w:tab w:val="left" w:pos="851"/>
          <w:tab w:val="left" w:pos="993"/>
        </w:tabs>
        <w:spacing w:after="12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2.1.7. Электронные чипы в картриджах (если такие предусмотрены конструкцией) не должны быть перепрограммированы и должны обеспечивать функциональную совместимость с оборудованием, для которого они предназначены, при этом поддерживать следующие возможности:</w:t>
      </w:r>
    </w:p>
    <w:p w14:paraId="3DCBA01F">
      <w:pPr>
        <w:tabs>
          <w:tab w:val="left" w:pos="426"/>
          <w:tab w:val="left" w:pos="851"/>
          <w:tab w:val="left" w:pos="993"/>
        </w:tabs>
        <w:spacing w:after="12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выдавать информацию о состоянии расходных материалов: процент оставшегося тонера, состояние близкого окончания тонера, количество напечатанных страниц, установки, установленные опции, количество общей и доступной памяти, серийный номер аппарата и картриджа;</w:t>
      </w:r>
    </w:p>
    <w:p w14:paraId="59022F02">
      <w:pPr>
        <w:tabs>
          <w:tab w:val="left" w:pos="426"/>
          <w:tab w:val="left" w:pos="851"/>
          <w:tab w:val="left" w:pos="993"/>
        </w:tabs>
        <w:spacing w:after="12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выдавать предупреждающее сообщение (о малом остатке и необходимости замены расходных материалов).</w:t>
      </w:r>
    </w:p>
    <w:p w14:paraId="39B866C7">
      <w:pPr>
        <w:tabs>
          <w:tab w:val="left" w:pos="426"/>
          <w:tab w:val="left" w:pos="851"/>
          <w:tab w:val="left" w:pos="993"/>
        </w:tabs>
        <w:spacing w:after="12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2.1.8. Товар должен обеспечивать непрерывную работу технических средств в соответствии с рекомендациями производителей </w:t>
      </w:r>
      <w:bookmarkStart w:id="0" w:name="_GoBack"/>
      <w:bookmarkEnd w:id="0"/>
      <w:r>
        <w:rPr>
          <w:rFonts w:hint="default"/>
          <w:sz w:val="22"/>
          <w:szCs w:val="22"/>
          <w:lang w:val="ru-RU"/>
        </w:rPr>
        <w:t xml:space="preserve"> принтеров</w:t>
      </w:r>
      <w:r>
        <w:rPr>
          <w:sz w:val="22"/>
          <w:szCs w:val="22"/>
        </w:rPr>
        <w:t>.</w:t>
      </w:r>
    </w:p>
    <w:p w14:paraId="3F0B7044">
      <w:pPr>
        <w:tabs>
          <w:tab w:val="left" w:pos="426"/>
          <w:tab w:val="left" w:pos="851"/>
          <w:tab w:val="left" w:pos="993"/>
        </w:tabs>
        <w:spacing w:after="12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2.1.9. Корпус картриджа не должен иметь потертостей, царапин, сколов и следов вскрытия. Фотовал должен иметь ровное глянцевое покрытие, не допускается наличие полос, царапин на валу. При повороте фотовала, на нем не должно быть следов тонера. Чека с запорной лентой должны составлять одно целое с боковиной картриджа и иметь одну консистенцию пластика с общим корпусом картриджа. Из картриджа не должен высыпаться тонер (порошок).</w:t>
      </w:r>
    </w:p>
    <w:p w14:paraId="041F4C38">
      <w:pPr>
        <w:tabs>
          <w:tab w:val="left" w:pos="426"/>
          <w:tab w:val="left" w:pos="851"/>
          <w:tab w:val="left" w:pos="993"/>
        </w:tabs>
        <w:spacing w:after="12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2.1.10. При печати не допускается появление точек, полос, линий и других дефектов, не связанных с текстом напечатанного документа.</w:t>
      </w:r>
    </w:p>
    <w:p w14:paraId="598EA04C">
      <w:pPr>
        <w:tabs>
          <w:tab w:val="left" w:pos="426"/>
          <w:tab w:val="left" w:pos="851"/>
          <w:tab w:val="left" w:pos="993"/>
        </w:tabs>
        <w:spacing w:after="12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2.1.11. Некачественными считаются расходные материалы, имеющие при печати фоновые ореолы вокруг изображений, бледную печать, серый фон, белые или черные полосы на изображении, вызванные расходными материалами.</w:t>
      </w:r>
    </w:p>
    <w:p w14:paraId="46FE86FC">
      <w:pPr>
        <w:ind w:firstLine="426"/>
        <w:contextualSpacing/>
        <w:jc w:val="both"/>
        <w:rPr>
          <w:rFonts w:eastAsia="Times New Roman"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2.1.12. При использовании товаров по назначению не должна создаваться угроза для </w:t>
      </w:r>
      <w:r>
        <w:rPr>
          <w:rFonts w:eastAsia="Times New Roman"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жизни и здоровья потребителя, окружающей среды, а также использование товаров не должно причинять вред имуществу потребителя.</w:t>
      </w:r>
    </w:p>
    <w:p w14:paraId="468DE1C5">
      <w:pPr>
        <w:ind w:firstLine="426"/>
        <w:contextualSpacing/>
        <w:jc w:val="both"/>
        <w:rPr>
          <w:rFonts w:eastAsia="Times New Roman"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2.1.13. Вместе с товаром поставщик должен передать</w:t>
      </w:r>
      <w:r>
        <w:rPr>
          <w:rFonts w:eastAsia="Times New Roman"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Заказчику необходимые документы </w:t>
      </w: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(гарантийный талон, техническую и эксплуатационную документацию на русском языке, иные документы, требующиеся в соответствии с законодательством).</w:t>
      </w:r>
    </w:p>
    <w:p w14:paraId="0F5FA2E6">
      <w:pPr>
        <w:tabs>
          <w:tab w:val="left" w:pos="1134"/>
        </w:tabs>
        <w:contextualSpacing/>
        <w:jc w:val="both"/>
        <w:outlineLvl w:val="1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CA8392D">
      <w:pPr>
        <w:pStyle w:val="15"/>
        <w:widowControl w:val="0"/>
        <w:numPr>
          <w:ilvl w:val="0"/>
          <w:numId w:val="2"/>
        </w:numPr>
        <w:spacing w:before="240"/>
        <w:ind w:left="0" w:firstLine="426"/>
        <w:jc w:val="both"/>
        <w:rPr>
          <w:rFonts w:eastAsia="Courier New"/>
          <w:b/>
          <w:sz w:val="22"/>
          <w:szCs w:val="22"/>
          <w:lang w:bidi="ru-RU"/>
        </w:rPr>
      </w:pPr>
      <w:r>
        <w:rPr>
          <w:rFonts w:eastAsia="Courier New"/>
          <w:b/>
          <w:sz w:val="22"/>
          <w:szCs w:val="22"/>
          <w:lang w:bidi="ru-RU"/>
        </w:rPr>
        <w:t>Требования к упаковке и маркировке:</w:t>
      </w:r>
    </w:p>
    <w:p w14:paraId="3DE3FF6E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33A4A18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3.1. Каждая единица поставляемого Товара должна быть упакована в стандартную упаковку производителя и опечатана его голограммой с указанием даты производства.  Упаковка должна обеспечивать сохранность Товара при транспортировке и хранении. Геометрия коробки должна быть выдержана (отсутствие деформации). Картриджи должны быть упакованы в герметичные пакеты.</w:t>
      </w:r>
    </w:p>
    <w:p w14:paraId="7018F661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3.2 На упаковку каждого картриджа предприятием-изготовителем должна быть нанесена информация, содержащая следующие данные: товарный знак и наименование предприятия-изготовителя; наименование печатающей техники в которой может быть использован картридж; код картриджа; дата изготовления (или срок годности/использования/дата окончания гарантии).</w:t>
      </w:r>
    </w:p>
    <w:p w14:paraId="689B5754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3.3. Внутри упаковки должны быть приложены инструкции по использованию, а также информация о правилах эксплуатации, безопасности, условиях предоставления потребителю гарантии.</w:t>
      </w:r>
    </w:p>
    <w:p w14:paraId="68373110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3.4. Поставщик несет ответственность за все потери и или повреждения, вызванные неправильной упаковкой либо маркировкой расходных материалов.</w:t>
      </w:r>
    </w:p>
    <w:p w14:paraId="7E99A9AE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3.5. Упаковка и маркировка расходных материалов должна содержать все признаки оригинальности, в том числе иметь: голограммы компании производителя печатающих устройств, защитные пломбы, марки, содержащие все элементы защиты от подделок.</w:t>
      </w:r>
    </w:p>
    <w:p w14:paraId="643776A3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8C5DDEF">
      <w:pPr>
        <w:pStyle w:val="15"/>
        <w:widowControl w:val="0"/>
        <w:numPr>
          <w:ilvl w:val="0"/>
          <w:numId w:val="2"/>
        </w:numPr>
        <w:spacing w:before="240"/>
        <w:ind w:left="0" w:firstLine="426"/>
        <w:jc w:val="both"/>
        <w:rPr>
          <w:rFonts w:eastAsia="Courier New"/>
          <w:b/>
          <w:sz w:val="22"/>
          <w:szCs w:val="22"/>
          <w:lang w:bidi="ru-RU"/>
        </w:rPr>
      </w:pPr>
      <w:r>
        <w:rPr>
          <w:rFonts w:eastAsia="Courier New"/>
          <w:b/>
          <w:sz w:val="22"/>
          <w:szCs w:val="22"/>
          <w:lang w:bidi="ru-RU"/>
        </w:rPr>
        <w:t>Технические характеристики:</w:t>
      </w:r>
    </w:p>
    <w:p w14:paraId="740499AD">
      <w:pPr>
        <w:spacing w:after="120"/>
        <w:jc w:val="both"/>
        <w:rPr>
          <w:rFonts w:eastAsia="Times New Roman"/>
          <w:sz w:val="22"/>
          <w:szCs w:val="22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842"/>
        <w:gridCol w:w="851"/>
        <w:gridCol w:w="6616"/>
      </w:tblGrid>
      <w:tr w14:paraId="1E6B2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29F9F231">
            <w:pPr>
              <w:spacing w:after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1842" w:type="dxa"/>
            <w:vAlign w:val="center"/>
          </w:tcPr>
          <w:p w14:paraId="137578FF">
            <w:pPr>
              <w:spacing w:after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картриджа</w:t>
            </w:r>
          </w:p>
        </w:tc>
        <w:tc>
          <w:tcPr>
            <w:tcW w:w="851" w:type="dxa"/>
            <w:vAlign w:val="center"/>
          </w:tcPr>
          <w:p w14:paraId="22452AE4">
            <w:pPr>
              <w:spacing w:after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Кол-во</w:t>
            </w:r>
          </w:p>
        </w:tc>
        <w:tc>
          <w:tcPr>
            <w:tcW w:w="6616" w:type="dxa"/>
          </w:tcPr>
          <w:p w14:paraId="05978441">
            <w:pPr>
              <w:spacing w:after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Примечание</w:t>
            </w:r>
          </w:p>
        </w:tc>
      </w:tr>
      <w:tr w14:paraId="79F42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0C8882D9">
            <w:pPr>
              <w:spacing w:after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2" w:type="dxa"/>
            <w:vAlign w:val="center"/>
          </w:tcPr>
          <w:p w14:paraId="453FE5BF">
            <w:pPr>
              <w:spacing w:after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Катюша ТКВ133</w:t>
            </w:r>
          </w:p>
        </w:tc>
        <w:tc>
          <w:tcPr>
            <w:tcW w:w="851" w:type="dxa"/>
            <w:vAlign w:val="center"/>
          </w:tcPr>
          <w:p w14:paraId="04E9548F">
            <w:pPr>
              <w:spacing w:after="120"/>
              <w:jc w:val="center"/>
              <w:rPr>
                <w:rFonts w:hint="default" w:eastAsia="Times New Roman"/>
                <w:lang w:val="ru-RU"/>
              </w:rPr>
            </w:pPr>
            <w:r>
              <w:rPr>
                <w:rFonts w:hint="default" w:eastAsia="Times New Roman"/>
                <w:lang w:val="ru-RU"/>
              </w:rPr>
              <w:t>2</w:t>
            </w:r>
          </w:p>
        </w:tc>
        <w:tc>
          <w:tcPr>
            <w:tcW w:w="6616" w:type="dxa"/>
          </w:tcPr>
          <w:p w14:paraId="4B5933ED">
            <w:r>
              <w:t>Тип: оригинальный;</w:t>
            </w:r>
          </w:p>
          <w:p w14:paraId="76A74EA5">
            <w:r>
              <w:t>Цвет: черный;</w:t>
            </w:r>
          </w:p>
          <w:p w14:paraId="5DBEA167">
            <w:pPr>
              <w:spacing w:after="120"/>
              <w:jc w:val="both"/>
              <w:rPr>
                <w:rFonts w:eastAsia="Times New Roman"/>
              </w:rPr>
            </w:pPr>
            <w:r>
              <w:t>Ресурс: не менее 3 000 отпечатков формата А4.</w:t>
            </w:r>
          </w:p>
        </w:tc>
      </w:tr>
    </w:tbl>
    <w:p w14:paraId="207F7E75">
      <w:pPr>
        <w:spacing w:after="120"/>
        <w:jc w:val="both"/>
        <w:rPr>
          <w:rFonts w:eastAsia="Times New Roman"/>
          <w:sz w:val="22"/>
          <w:szCs w:val="22"/>
        </w:rPr>
      </w:pPr>
    </w:p>
    <w:p w14:paraId="04FBA14D">
      <w:pPr>
        <w:spacing w:after="120"/>
        <w:jc w:val="both"/>
        <w:rPr>
          <w:rFonts w:eastAsia="Times New Roman"/>
          <w:sz w:val="22"/>
          <w:szCs w:val="22"/>
        </w:rPr>
      </w:pPr>
    </w:p>
    <w:p w14:paraId="7A701BDF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*4.1. Поставляемый Товар должен быть совместим с оборудованием, имеющимся у Заказчика, не должны приводить к нарушению условий и правил эксплуатации данного оборудования, установленных в технической документации, и не должны изменять установленные заводом-производителем функциональные и эксплуатационные характеристики оборудования.</w:t>
      </w:r>
    </w:p>
    <w:p w14:paraId="5A5A0FE1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659D4F0">
      <w:pPr>
        <w:pStyle w:val="15"/>
        <w:widowControl w:val="0"/>
        <w:numPr>
          <w:ilvl w:val="0"/>
          <w:numId w:val="2"/>
        </w:numPr>
        <w:spacing w:before="240"/>
        <w:ind w:left="0" w:firstLine="426"/>
        <w:jc w:val="both"/>
        <w:rPr>
          <w:rFonts w:eastAsia="Courier New"/>
          <w:b/>
          <w:sz w:val="22"/>
          <w:szCs w:val="22"/>
          <w:lang w:bidi="ru-RU"/>
        </w:rPr>
      </w:pPr>
      <w:r>
        <w:rPr>
          <w:rFonts w:eastAsia="Courier New"/>
          <w:b/>
          <w:sz w:val="22"/>
          <w:szCs w:val="22"/>
          <w:lang w:bidi="ru-RU"/>
        </w:rPr>
        <w:t>Условия поставки Товара</w:t>
      </w:r>
    </w:p>
    <w:p w14:paraId="66800968">
      <w:pPr>
        <w:pStyle w:val="15"/>
        <w:widowControl w:val="0"/>
        <w:spacing w:before="240"/>
        <w:ind w:left="426"/>
        <w:jc w:val="both"/>
        <w:rPr>
          <w:rFonts w:eastAsia="Courier New"/>
          <w:b/>
          <w:sz w:val="22"/>
          <w:szCs w:val="22"/>
          <w:lang w:bidi="ru-RU"/>
        </w:rPr>
      </w:pPr>
    </w:p>
    <w:p w14:paraId="658F8E32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5.1. Количество товара указано в технических характеристиках.</w:t>
      </w:r>
    </w:p>
    <w:p w14:paraId="1389081D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5.2. Сроки поставки товара: в течение </w:t>
      </w:r>
      <w:r>
        <w:rPr>
          <w:rFonts w:hint="default" w:eastAsia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eastAsia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пять</w:t>
      </w: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) рабочих дней с даты заключения контракта.</w:t>
      </w:r>
    </w:p>
    <w:p w14:paraId="575275F0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5.3. Место поставки товара: г. </w:t>
      </w:r>
      <w:r>
        <w:rPr>
          <w:rFonts w:eastAsia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Казан</w:t>
      </w: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улица </w:t>
      </w:r>
      <w:r>
        <w:rPr>
          <w:rFonts w:eastAsia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Х</w:t>
      </w:r>
      <w:r>
        <w:rPr>
          <w:rFonts w:hint="default" w:eastAsia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. Такташа,д.124</w:t>
      </w: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</w:p>
    <w:p w14:paraId="7D24AB28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5.4. Поставка товара производится одной партией.</w:t>
      </w:r>
    </w:p>
    <w:p w14:paraId="2C75F406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5.5. Поставка товара осуществляется в рабочие дни с 10 до 18 часов, перерыв на обед с 13 до </w:t>
      </w:r>
      <w:r>
        <w:rPr>
          <w:rFonts w:hint="default" w:eastAsia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13.45</w:t>
      </w: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часов по предварительному согласованию с Заказчиком любым, оговоренным между сторонами способом (телефонная, электронная связь), не менее чем за 1 (один) день до поставки товара.</w:t>
      </w:r>
    </w:p>
    <w:p w14:paraId="50719526">
      <w:pPr>
        <w:pStyle w:val="15"/>
        <w:widowControl w:val="0"/>
        <w:numPr>
          <w:ilvl w:val="0"/>
          <w:numId w:val="2"/>
        </w:numPr>
        <w:spacing w:before="240"/>
        <w:ind w:left="0" w:firstLine="426"/>
        <w:jc w:val="both"/>
        <w:rPr>
          <w:rFonts w:eastAsia="Courier New"/>
          <w:b/>
          <w:sz w:val="22"/>
          <w:szCs w:val="22"/>
          <w:lang w:bidi="ru-RU"/>
        </w:rPr>
      </w:pPr>
      <w:r>
        <w:rPr>
          <w:rFonts w:eastAsia="Courier New"/>
          <w:b/>
          <w:sz w:val="22"/>
          <w:szCs w:val="22"/>
          <w:lang w:bidi="ru-RU"/>
        </w:rPr>
        <w:t>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</w:t>
      </w:r>
    </w:p>
    <w:p w14:paraId="3D81A257">
      <w:pPr>
        <w:ind w:firstLine="709"/>
        <w:jc w:val="both"/>
        <w:rPr>
          <w:rFonts w:eastAsia="Calibri"/>
          <w:sz w:val="22"/>
          <w:szCs w:val="22"/>
        </w:rPr>
      </w:pPr>
    </w:p>
    <w:p w14:paraId="6A1C8381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6.1. Гарантийный срок хранения картриджей в неповрежденной и невскрытой заводской упаковке должен составлять не менее 12 (двенадцати) месяцев с даты подписания Заказчиком документа о приемке Товара, но не менее чем гарантийные сроки, производителем Товаров. </w:t>
      </w:r>
    </w:p>
    <w:p w14:paraId="152B0A05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6.2. Гарантия распространяется на весь объем поставленного Товара, и на все составляющие его части (комплектующие изделия).</w:t>
      </w:r>
    </w:p>
    <w:p w14:paraId="667CFE70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6.3 Срок действия гарантии поставщика должен быть не менее чем срок действия гарантии Производителя данного товара. Предоставление гарантии осуществляется вместе с товаром и действует с даты подписания Заказчиком и Поставщиком документа о приемке Товара.</w:t>
      </w:r>
    </w:p>
    <w:p w14:paraId="7E51BE24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6.4. В течение гарантийного срока поставщик обязан безвозмездно заменить некачественный или вышедший из строя товар, а также устранить скрытые дефекты и недостатки, произошедшие по вине поставщика или производителя, в течение 15-ти (пятнадцати) календарных дней с момента получения от Заказчика такого требования. Гарантийное обслуживание товаров должно производиться поставщиком методом замены товаров, вышедших из строя в течение гарантийного срока, на новые товары. Замена должна осуществляться в течение 15-ти (пятнадцати) календарных дней с момента извещения Заказчиком поставщика о выходе из строя товаров. Все расходы по транспортировке вышедших из строя товаров, замененных товаров, в период гарантийного срока, несет Поставщик.</w:t>
      </w:r>
    </w:p>
    <w:p w14:paraId="34B9D965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6.5 В случае замены некачественного Товара гарантийный срок Товара продлевается на количество времени, соразмерно которого Товар не мог быть использован.</w:t>
      </w:r>
    </w:p>
    <w:p w14:paraId="077C85F6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6.6 При причинении вреда имуществу Получателя вследствие конструктивных, производственных или иных недостатков поставленного Товара, в течение гарантийного срока на Товар, Поставщик возмещает убытки, понесенные Заказчиком.</w:t>
      </w:r>
    </w:p>
    <w:p w14:paraId="02875B17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7C1D5FB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3B66AC8">
      <w:pPr>
        <w:ind w:firstLine="426"/>
        <w:contextualSpacing/>
        <w:jc w:val="both"/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</w:t>
      </w:r>
    </w:p>
    <w:sectPr>
      <w:pgSz w:w="11906" w:h="16838"/>
      <w:pgMar w:top="1440" w:right="1077" w:bottom="1440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75223D"/>
    <w:multiLevelType w:val="multilevel"/>
    <w:tmpl w:val="2675223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90B97"/>
    <w:multiLevelType w:val="multilevel"/>
    <w:tmpl w:val="55090B97"/>
    <w:lvl w:ilvl="0" w:tentative="0">
      <w:start w:val="1"/>
      <w:numFmt w:val="decimal"/>
      <w:pStyle w:val="2"/>
      <w:lvlText w:val="%1."/>
      <w:lvlJc w:val="left"/>
      <w:pPr>
        <w:ind w:left="928" w:hanging="360"/>
      </w:pPr>
      <w:rPr>
        <w:rFonts w:hint="default" w:cs="Times New Roman"/>
      </w:rPr>
    </w:lvl>
    <w:lvl w:ilvl="1" w:tentative="0">
      <w:start w:val="1"/>
      <w:numFmt w:val="lowerLetter"/>
      <w:pStyle w:val="3"/>
      <w:lvlText w:val="%2."/>
      <w:lvlJc w:val="left"/>
      <w:pPr>
        <w:ind w:left="162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entative="0">
      <w:start w:val="1"/>
      <w:numFmt w:val="decimal"/>
      <w:pStyle w:val="4"/>
      <w:lvlText w:val="%4."/>
      <w:lvlJc w:val="left"/>
      <w:pPr>
        <w:ind w:left="306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entative="0">
      <w:start w:val="1"/>
      <w:numFmt w:val="lowerRoman"/>
      <w:pStyle w:val="5"/>
      <w:lvlText w:val="%6."/>
      <w:lvlJc w:val="right"/>
      <w:pPr>
        <w:ind w:left="4500" w:hanging="180"/>
      </w:pPr>
      <w:rPr>
        <w:rFonts w:cs="Times New Roman"/>
      </w:rPr>
    </w:lvl>
    <w:lvl w:ilvl="6" w:tentative="0">
      <w:start w:val="1"/>
      <w:numFmt w:val="decimal"/>
      <w:pStyle w:val="6"/>
      <w:lvlText w:val="%7."/>
      <w:lvlJc w:val="left"/>
      <w:pPr>
        <w:ind w:left="522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entative="0">
      <w:start w:val="1"/>
      <w:numFmt w:val="lowerRoman"/>
      <w:pStyle w:val="7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65"/>
    <w:rsid w:val="00000C32"/>
    <w:rsid w:val="000116B0"/>
    <w:rsid w:val="00027252"/>
    <w:rsid w:val="00031CB7"/>
    <w:rsid w:val="00036511"/>
    <w:rsid w:val="00044E6F"/>
    <w:rsid w:val="000523DC"/>
    <w:rsid w:val="00061979"/>
    <w:rsid w:val="00066DDD"/>
    <w:rsid w:val="000754B3"/>
    <w:rsid w:val="00077910"/>
    <w:rsid w:val="000821F6"/>
    <w:rsid w:val="000967C5"/>
    <w:rsid w:val="000C1B1F"/>
    <w:rsid w:val="000D48F8"/>
    <w:rsid w:val="00106BD2"/>
    <w:rsid w:val="00113BB6"/>
    <w:rsid w:val="00114484"/>
    <w:rsid w:val="00174A94"/>
    <w:rsid w:val="002136E9"/>
    <w:rsid w:val="00215B13"/>
    <w:rsid w:val="0025787B"/>
    <w:rsid w:val="00282D9F"/>
    <w:rsid w:val="002854E1"/>
    <w:rsid w:val="00291343"/>
    <w:rsid w:val="002B07E7"/>
    <w:rsid w:val="002C5224"/>
    <w:rsid w:val="003011F5"/>
    <w:rsid w:val="0030141A"/>
    <w:rsid w:val="0030776A"/>
    <w:rsid w:val="00332563"/>
    <w:rsid w:val="003343DC"/>
    <w:rsid w:val="00355EC6"/>
    <w:rsid w:val="0036154D"/>
    <w:rsid w:val="003921B1"/>
    <w:rsid w:val="00393AF4"/>
    <w:rsid w:val="0039423F"/>
    <w:rsid w:val="003A5FA7"/>
    <w:rsid w:val="003C05ED"/>
    <w:rsid w:val="003C4A83"/>
    <w:rsid w:val="004012A2"/>
    <w:rsid w:val="00402399"/>
    <w:rsid w:val="00402F5E"/>
    <w:rsid w:val="00442443"/>
    <w:rsid w:val="004544F2"/>
    <w:rsid w:val="004A6294"/>
    <w:rsid w:val="004B1CB1"/>
    <w:rsid w:val="004B2F2D"/>
    <w:rsid w:val="004D4527"/>
    <w:rsid w:val="004E0A74"/>
    <w:rsid w:val="00500056"/>
    <w:rsid w:val="005021AA"/>
    <w:rsid w:val="005023D5"/>
    <w:rsid w:val="005041EE"/>
    <w:rsid w:val="00513358"/>
    <w:rsid w:val="00524DFB"/>
    <w:rsid w:val="00531D95"/>
    <w:rsid w:val="005868F8"/>
    <w:rsid w:val="00596D09"/>
    <w:rsid w:val="005A084D"/>
    <w:rsid w:val="005C73CC"/>
    <w:rsid w:val="005D7547"/>
    <w:rsid w:val="005E1313"/>
    <w:rsid w:val="005F07D3"/>
    <w:rsid w:val="006018DD"/>
    <w:rsid w:val="00646526"/>
    <w:rsid w:val="006640C0"/>
    <w:rsid w:val="00676BCF"/>
    <w:rsid w:val="00687DF3"/>
    <w:rsid w:val="00694704"/>
    <w:rsid w:val="006B1DBA"/>
    <w:rsid w:val="006B5F29"/>
    <w:rsid w:val="006C621D"/>
    <w:rsid w:val="006D041D"/>
    <w:rsid w:val="006F6E9C"/>
    <w:rsid w:val="007066B8"/>
    <w:rsid w:val="00707EB0"/>
    <w:rsid w:val="00746661"/>
    <w:rsid w:val="00763EC5"/>
    <w:rsid w:val="007760D9"/>
    <w:rsid w:val="007807A5"/>
    <w:rsid w:val="007A09F0"/>
    <w:rsid w:val="007D7819"/>
    <w:rsid w:val="007E5669"/>
    <w:rsid w:val="007E704B"/>
    <w:rsid w:val="00816B9E"/>
    <w:rsid w:val="008225DA"/>
    <w:rsid w:val="008318C0"/>
    <w:rsid w:val="00834D0D"/>
    <w:rsid w:val="00842CF5"/>
    <w:rsid w:val="00876A32"/>
    <w:rsid w:val="00881139"/>
    <w:rsid w:val="00885B44"/>
    <w:rsid w:val="00895662"/>
    <w:rsid w:val="0089590E"/>
    <w:rsid w:val="00896DF1"/>
    <w:rsid w:val="008A0467"/>
    <w:rsid w:val="008B2D9E"/>
    <w:rsid w:val="008E5A07"/>
    <w:rsid w:val="008F110C"/>
    <w:rsid w:val="00900A9E"/>
    <w:rsid w:val="0090268F"/>
    <w:rsid w:val="00947800"/>
    <w:rsid w:val="00980873"/>
    <w:rsid w:val="009932E1"/>
    <w:rsid w:val="009B5F71"/>
    <w:rsid w:val="009C74F2"/>
    <w:rsid w:val="009D03D0"/>
    <w:rsid w:val="009D3090"/>
    <w:rsid w:val="009E21C4"/>
    <w:rsid w:val="00A030EE"/>
    <w:rsid w:val="00A304D8"/>
    <w:rsid w:val="00A41238"/>
    <w:rsid w:val="00A4334C"/>
    <w:rsid w:val="00A4446A"/>
    <w:rsid w:val="00A57A43"/>
    <w:rsid w:val="00A60530"/>
    <w:rsid w:val="00A7291D"/>
    <w:rsid w:val="00A85317"/>
    <w:rsid w:val="00B03514"/>
    <w:rsid w:val="00B303BC"/>
    <w:rsid w:val="00B32EEA"/>
    <w:rsid w:val="00B518F1"/>
    <w:rsid w:val="00BA78F7"/>
    <w:rsid w:val="00BB0151"/>
    <w:rsid w:val="00BB4147"/>
    <w:rsid w:val="00BB708C"/>
    <w:rsid w:val="00BC2FB7"/>
    <w:rsid w:val="00BC4F69"/>
    <w:rsid w:val="00C135CC"/>
    <w:rsid w:val="00C34B18"/>
    <w:rsid w:val="00C5107D"/>
    <w:rsid w:val="00C640A4"/>
    <w:rsid w:val="00C82753"/>
    <w:rsid w:val="00C8467A"/>
    <w:rsid w:val="00C901EC"/>
    <w:rsid w:val="00C93770"/>
    <w:rsid w:val="00C94FFB"/>
    <w:rsid w:val="00CA50DB"/>
    <w:rsid w:val="00CC15C8"/>
    <w:rsid w:val="00CC2A05"/>
    <w:rsid w:val="00CD7C6B"/>
    <w:rsid w:val="00D23587"/>
    <w:rsid w:val="00D278F1"/>
    <w:rsid w:val="00D54358"/>
    <w:rsid w:val="00D7214C"/>
    <w:rsid w:val="00DF117A"/>
    <w:rsid w:val="00DF25CF"/>
    <w:rsid w:val="00DF40EF"/>
    <w:rsid w:val="00E02E45"/>
    <w:rsid w:val="00E118A9"/>
    <w:rsid w:val="00E15BC1"/>
    <w:rsid w:val="00E31D8F"/>
    <w:rsid w:val="00E7352E"/>
    <w:rsid w:val="00E76566"/>
    <w:rsid w:val="00E83235"/>
    <w:rsid w:val="00EB7C2F"/>
    <w:rsid w:val="00EC227B"/>
    <w:rsid w:val="00ED4A69"/>
    <w:rsid w:val="00ED764A"/>
    <w:rsid w:val="00EF6965"/>
    <w:rsid w:val="00EF7F5D"/>
    <w:rsid w:val="00F16457"/>
    <w:rsid w:val="00F22EDC"/>
    <w:rsid w:val="00F41752"/>
    <w:rsid w:val="00F76BED"/>
    <w:rsid w:val="00F81FCF"/>
    <w:rsid w:val="00F84AFE"/>
    <w:rsid w:val="00F90E0B"/>
    <w:rsid w:val="00F951BA"/>
    <w:rsid w:val="00FE0709"/>
    <w:rsid w:val="07A73EF9"/>
    <w:rsid w:val="340715A7"/>
    <w:rsid w:val="52DC4659"/>
    <w:rsid w:val="551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autoSpaceDE w:val="0"/>
      <w:autoSpaceDN w:val="0"/>
      <w:spacing w:after="0" w:line="240" w:lineRule="auto"/>
    </w:pPr>
    <w:rPr>
      <w:rFonts w:ascii="Times New Roman" w:hAnsi="Times New Roman" w:cs="Times New Roman" w:eastAsiaTheme="minorEastAsia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numPr>
        <w:ilvl w:val="0"/>
        <w:numId w:val="1"/>
      </w:numPr>
      <w:suppressAutoHyphens/>
      <w:autoSpaceDE/>
      <w:autoSpaceDN/>
      <w:spacing w:before="240"/>
      <w:jc w:val="center"/>
      <w:outlineLvl w:val="0"/>
    </w:pPr>
    <w:rPr>
      <w:rFonts w:eastAsia="Times New Roman"/>
      <w:color w:val="000000"/>
      <w:sz w:val="24"/>
      <w:szCs w:val="24"/>
      <w:lang w:eastAsia="zh-CN"/>
    </w:rPr>
  </w:style>
  <w:style w:type="paragraph" w:styleId="3">
    <w:name w:val="heading 2"/>
    <w:basedOn w:val="1"/>
    <w:next w:val="1"/>
    <w:link w:val="18"/>
    <w:qFormat/>
    <w:uiPriority w:val="0"/>
    <w:pPr>
      <w:keepNext/>
      <w:numPr>
        <w:ilvl w:val="1"/>
        <w:numId w:val="1"/>
      </w:numPr>
      <w:suppressAutoHyphens/>
      <w:autoSpaceDE/>
      <w:autoSpaceDN/>
      <w:spacing w:before="20" w:line="252" w:lineRule="auto"/>
      <w:ind w:left="0" w:firstLine="709"/>
      <w:jc w:val="both"/>
      <w:outlineLvl w:val="1"/>
    </w:pPr>
    <w:rPr>
      <w:rFonts w:eastAsia="Times New Roman"/>
      <w:sz w:val="24"/>
      <w:szCs w:val="24"/>
      <w:u w:val="single"/>
      <w:lang w:eastAsia="zh-CN"/>
    </w:rPr>
  </w:style>
  <w:style w:type="paragraph" w:styleId="4">
    <w:name w:val="heading 4"/>
    <w:basedOn w:val="1"/>
    <w:next w:val="1"/>
    <w:link w:val="19"/>
    <w:qFormat/>
    <w:uiPriority w:val="0"/>
    <w:pPr>
      <w:keepNext/>
      <w:numPr>
        <w:ilvl w:val="3"/>
        <w:numId w:val="1"/>
      </w:numPr>
      <w:tabs>
        <w:tab w:val="left" w:pos="4395"/>
        <w:tab w:val="left" w:pos="4962"/>
        <w:tab w:val="left" w:pos="6237"/>
      </w:tabs>
      <w:suppressAutoHyphens/>
      <w:autoSpaceDE/>
      <w:autoSpaceDN/>
      <w:jc w:val="center"/>
      <w:outlineLvl w:val="3"/>
    </w:pPr>
    <w:rPr>
      <w:rFonts w:eastAsia="Times New Roman"/>
      <w:sz w:val="24"/>
      <w:lang w:eastAsia="zh-CN"/>
    </w:rPr>
  </w:style>
  <w:style w:type="paragraph" w:styleId="5">
    <w:name w:val="heading 6"/>
    <w:basedOn w:val="1"/>
    <w:next w:val="1"/>
    <w:link w:val="20"/>
    <w:qFormat/>
    <w:uiPriority w:val="0"/>
    <w:pPr>
      <w:numPr>
        <w:ilvl w:val="5"/>
        <w:numId w:val="1"/>
      </w:numPr>
      <w:suppressAutoHyphens/>
      <w:autoSpaceDE/>
      <w:autoSpaceDN/>
      <w:spacing w:before="240" w:after="60"/>
      <w:outlineLvl w:val="5"/>
    </w:pPr>
    <w:rPr>
      <w:rFonts w:eastAsia="Times New Roman"/>
      <w:b/>
      <w:bCs/>
      <w:sz w:val="22"/>
      <w:szCs w:val="22"/>
      <w:lang w:eastAsia="zh-CN"/>
    </w:rPr>
  </w:style>
  <w:style w:type="paragraph" w:styleId="6">
    <w:name w:val="heading 7"/>
    <w:basedOn w:val="1"/>
    <w:next w:val="1"/>
    <w:link w:val="21"/>
    <w:qFormat/>
    <w:uiPriority w:val="0"/>
    <w:pPr>
      <w:numPr>
        <w:ilvl w:val="6"/>
        <w:numId w:val="1"/>
      </w:numPr>
      <w:suppressAutoHyphens/>
      <w:autoSpaceDE/>
      <w:autoSpaceDN/>
      <w:spacing w:before="240" w:after="60"/>
      <w:outlineLvl w:val="6"/>
    </w:pPr>
    <w:rPr>
      <w:rFonts w:eastAsia="Times New Roman"/>
      <w:sz w:val="24"/>
      <w:szCs w:val="24"/>
      <w:lang w:eastAsia="zh-CN"/>
    </w:rPr>
  </w:style>
  <w:style w:type="paragraph" w:styleId="7">
    <w:name w:val="heading 9"/>
    <w:basedOn w:val="1"/>
    <w:next w:val="1"/>
    <w:link w:val="22"/>
    <w:qFormat/>
    <w:uiPriority w:val="0"/>
    <w:pPr>
      <w:keepNext/>
      <w:numPr>
        <w:ilvl w:val="8"/>
        <w:numId w:val="1"/>
      </w:numPr>
      <w:tabs>
        <w:tab w:val="left" w:pos="4395"/>
        <w:tab w:val="left" w:pos="4962"/>
        <w:tab w:val="left" w:pos="6237"/>
      </w:tabs>
      <w:suppressAutoHyphens/>
      <w:autoSpaceDE/>
      <w:autoSpaceDN/>
      <w:ind w:left="0" w:firstLine="567"/>
      <w:jc w:val="right"/>
      <w:outlineLvl w:val="8"/>
    </w:pPr>
    <w:rPr>
      <w:rFonts w:eastAsia="Times New Roman"/>
      <w:b/>
      <w:sz w:val="24"/>
      <w:szCs w:val="24"/>
      <w:lang w:eastAsia="zh-CN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semiHidden/>
    <w:unhideWhenUsed/>
    <w:qFormat/>
    <w:uiPriority w:val="99"/>
    <w:rPr>
      <w:rFonts w:hint="default" w:ascii="Times New Roman" w:hAnsi="Times New Roman" w:cs="Times New Roman"/>
      <w:color w:val="0000FF"/>
      <w:u w:val="single"/>
    </w:rPr>
  </w:style>
  <w:style w:type="paragraph" w:styleId="11">
    <w:name w:val="Balloon Text"/>
    <w:basedOn w:val="1"/>
    <w:link w:val="26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12">
    <w:name w:val="Table Grid"/>
    <w:basedOn w:val="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ConsNormal"/>
    <w:qFormat/>
    <w:uiPriority w:val="9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4">
    <w:name w:val="ConsPlusNormal"/>
    <w:link w:val="23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styleId="15">
    <w:name w:val="List Paragraph"/>
    <w:basedOn w:val="1"/>
    <w:link w:val="16"/>
    <w:qFormat/>
    <w:uiPriority w:val="34"/>
    <w:pPr>
      <w:autoSpaceDE/>
      <w:autoSpaceDN/>
      <w:ind w:left="720"/>
      <w:contextualSpacing/>
    </w:pPr>
    <w:rPr>
      <w:rFonts w:eastAsia="Times New Roman"/>
      <w:sz w:val="24"/>
      <w:szCs w:val="24"/>
    </w:rPr>
  </w:style>
  <w:style w:type="character" w:customStyle="1" w:styleId="16">
    <w:name w:val="Абзац списка Знак"/>
    <w:link w:val="15"/>
    <w:qFormat/>
    <w:locked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7">
    <w:name w:val="Заголовок 1 Знак"/>
    <w:basedOn w:val="8"/>
    <w:link w:val="2"/>
    <w:qFormat/>
    <w:uiPriority w:val="0"/>
    <w:rPr>
      <w:rFonts w:ascii="Times New Roman" w:hAnsi="Times New Roman" w:eastAsia="Times New Roman" w:cs="Times New Roman"/>
      <w:color w:val="000000"/>
      <w:sz w:val="24"/>
      <w:szCs w:val="24"/>
      <w:lang w:eastAsia="zh-CN"/>
    </w:rPr>
  </w:style>
  <w:style w:type="character" w:customStyle="1" w:styleId="18">
    <w:name w:val="Заголовок 2 Знак"/>
    <w:basedOn w:val="8"/>
    <w:link w:val="3"/>
    <w:qFormat/>
    <w:uiPriority w:val="0"/>
    <w:rPr>
      <w:rFonts w:ascii="Times New Roman" w:hAnsi="Times New Roman" w:eastAsia="Times New Roman" w:cs="Times New Roman"/>
      <w:sz w:val="24"/>
      <w:szCs w:val="24"/>
      <w:u w:val="single"/>
      <w:lang w:eastAsia="zh-CN"/>
    </w:rPr>
  </w:style>
  <w:style w:type="character" w:customStyle="1" w:styleId="19">
    <w:name w:val="Заголовок 4 Знак"/>
    <w:basedOn w:val="8"/>
    <w:link w:val="4"/>
    <w:qFormat/>
    <w:uiPriority w:val="0"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customStyle="1" w:styleId="20">
    <w:name w:val="Заголовок 6 Знак"/>
    <w:basedOn w:val="8"/>
    <w:link w:val="5"/>
    <w:qFormat/>
    <w:uiPriority w:val="0"/>
    <w:rPr>
      <w:rFonts w:ascii="Times New Roman" w:hAnsi="Times New Roman" w:eastAsia="Times New Roman" w:cs="Times New Roman"/>
      <w:b/>
      <w:bCs/>
      <w:lang w:eastAsia="zh-CN"/>
    </w:rPr>
  </w:style>
  <w:style w:type="character" w:customStyle="1" w:styleId="21">
    <w:name w:val="Заголовок 7 Знак"/>
    <w:basedOn w:val="8"/>
    <w:link w:val="6"/>
    <w:qFormat/>
    <w:uiPriority w:val="0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customStyle="1" w:styleId="22">
    <w:name w:val="Заголовок 9 Знак"/>
    <w:basedOn w:val="8"/>
    <w:link w:val="7"/>
    <w:qFormat/>
    <w:uiPriority w:val="0"/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character" w:customStyle="1" w:styleId="23">
    <w:name w:val="ConsPlusNormal Знак"/>
    <w:basedOn w:val="8"/>
    <w:link w:val="14"/>
    <w:qFormat/>
    <w:locked/>
    <w:uiPriority w:val="0"/>
    <w:rPr>
      <w:rFonts w:ascii="Calibri" w:hAnsi="Calibri" w:eastAsia="Times New Roman" w:cs="Calibri"/>
      <w:szCs w:val="20"/>
      <w:lang w:eastAsia="ru-RU"/>
    </w:rPr>
  </w:style>
  <w:style w:type="paragraph" w:customStyle="1" w:styleId="24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paragraph" w:customStyle="1" w:styleId="2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26">
    <w:name w:val="Текст выноски Знак"/>
    <w:basedOn w:val="8"/>
    <w:link w:val="11"/>
    <w:semiHidden/>
    <w:qFormat/>
    <w:uiPriority w:val="99"/>
    <w:rPr>
      <w:rFonts w:ascii="Segoe UI" w:hAnsi="Segoe UI" w:cs="Segoe UI" w:eastAsiaTheme="minorEastAsia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424</Words>
  <Characters>3000</Characters>
  <Lines>66</Lines>
  <Paragraphs>18</Paragraphs>
  <TotalTime>514</TotalTime>
  <ScaleCrop>false</ScaleCrop>
  <LinksUpToDate>false</LinksUpToDate>
  <CharactersWithSpaces>3410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2022-04-11T07:57:00Z</dcterms:created>
  <dc:creator>1</dc:creator>
  <cp:lastModifiedBy>Petrova_GV</cp:lastModifiedBy>
  <cp:lastPrinted>2026-07-10T13:31:00Z</cp:lastPrinted>
  <dcterms:modified xsi:type="dcterms:W3CDTF">2026-07-22T13:30:15Z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eyJoZGlkIjoiODY0ZDdlOTZiYWFlNTRmODk5YWU3YWNjMDI2OTcyODcifQ==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8ADB22CD338B4F11ACD82BD1EF5D9E4C_13</vt:lpwstr>
  </property>
</Properties>
</file>