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color w:val="000000"/>
          <w:kern w:val="0"/>
        </w:rPr>
        <w:t>СУБЛИЦЕНЗИОННЫЙ ДОГОВОР № Elp-s 60-2026</w:t>
      </w:r>
      <w:r>
        <w:rPr>
          <w:rFonts w:cs="Times New Roman" w:ascii="Times New Roman" w:hAnsi="Times New Roman"/>
          <w:color w:val="000000"/>
          <w:kern w:val="0"/>
        </w:rPr>
        <w:br/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 xml:space="preserve">г. Москва </w:t>
        <w:tab/>
        <w:tab/>
        <w:tab/>
        <w:tab/>
        <w:tab/>
        <w:tab/>
        <w:tab/>
        <w:t xml:space="preserve">          «___» ____________ 2026 г.</w:t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</w:r>
    </w:p>
    <w:p>
      <w:pPr>
        <w:pStyle w:val="Normal"/>
        <w:widowControl w:val="false"/>
        <w:spacing w:lineRule="auto" w:line="276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-2"/>
          <w:kern w:val="0"/>
        </w:rPr>
        <w:t xml:space="preserve">Общество с ограниченной ответственностью «НЭИКОН ИСП» (ООО «НЭИКОН ИСП»), именуемое в дальнейшем Лицензиат, в лице Генерального директора Кутявиной Марии Андреевны, действующей на основании Устава, с одной стороны, и Федеральное бюджетное учреждение Российский федеральный центр судебной экспертизы имени профессора А.Р. Шляхова при Министерстве юстиции Российской Федерации (ФБУ РФЦСЭ имени профессора А.Р. Шляхова при Минюсте России), именуемое в дальнейшем Сублицензиат, в лице директора Мамонтова Алексея Владимировича, действующего на основании Устава, с другой стороны, вместе именуемые «Стороны», а индивидуально – «Сторона», </w:t>
      </w:r>
      <w:bookmarkStart w:id="0" w:name="_Hlk231813614"/>
      <w:r>
        <w:rPr>
          <w:rFonts w:cs="Times New Roman" w:ascii="Times New Roman" w:hAnsi="Times New Roman"/>
          <w:spacing w:val="-2"/>
          <w:kern w:val="0"/>
        </w:rPr>
        <w:t>в соответствии</w:t>
      </w:r>
      <w:r>
        <w:rPr>
          <w:rFonts w:cs="Times New Roman" w:ascii="Times New Roman" w:hAnsi="Times New Roman"/>
        </w:rPr>
        <w:t xml:space="preserve"> с частью 4 пункта 1 статьи 93 Федерального закона от 05.04.2013 № 44 «О контрактной системе в сфере закупок товаров, работ, услуг для обеспечения государственных и муниципальных нужд»</w:t>
      </w:r>
      <w:bookmarkEnd w:id="0"/>
      <w:r>
        <w:rPr>
          <w:rFonts w:cs="Times New Roman" w:ascii="Times New Roman" w:hAnsi="Times New Roman"/>
        </w:rPr>
        <w:t>,</w:t>
      </w:r>
      <w:r>
        <w:rPr>
          <w:rFonts w:cs="Times New Roman" w:ascii="Times New Roman" w:hAnsi="Times New Roman"/>
          <w:spacing w:val="-2"/>
          <w:kern w:val="0"/>
        </w:rPr>
        <w:t xml:space="preserve"> заключили настоящий Договор о нижеследующем: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20"/>
          <w:tab w:val="left" w:pos="284" w:leader="none"/>
        </w:tabs>
        <w:spacing w:lineRule="auto" w:line="276" w:before="0" w:after="60"/>
        <w:ind w:hanging="0" w:left="0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Термины и определения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b/>
          <w:bCs/>
          <w:spacing w:val="-2"/>
          <w:kern w:val="0"/>
        </w:rPr>
      </w:pPr>
      <w:r>
        <w:rPr>
          <w:rFonts w:cs="Times New Roman" w:ascii="Times New Roman" w:hAnsi="Times New Roman"/>
          <w:b/>
          <w:bCs/>
          <w:spacing w:val="-2"/>
          <w:kern w:val="0"/>
        </w:rPr>
        <w:t>Программа</w:t>
      </w:r>
      <w:r>
        <w:rPr>
          <w:rFonts w:cs="Times New Roman" w:ascii="Times New Roman" w:hAnsi="Times New Roman"/>
          <w:spacing w:val="-2"/>
          <w:kern w:val="0"/>
        </w:rPr>
        <w:t xml:space="preserve"> – Программное обеспечение для ЭВМ информационного сервиса «</w:t>
      </w:r>
      <w:r>
        <w:rPr>
          <w:rFonts w:cs="Times New Roman" w:ascii="Times New Roman" w:hAnsi="Times New Roman"/>
          <w:spacing w:val="-2"/>
          <w:kern w:val="0"/>
          <w:lang w:val="en-US"/>
        </w:rPr>
        <w:t>ELPUB</w:t>
      </w:r>
      <w:r>
        <w:rPr>
          <w:rFonts w:cs="Times New Roman" w:ascii="Times New Roman" w:hAnsi="Times New Roman"/>
          <w:spacing w:val="-2"/>
          <w:kern w:val="0"/>
        </w:rPr>
        <w:t>» (далее – Программа). «</w:t>
      </w:r>
      <w:r>
        <w:rPr>
          <w:rFonts w:cs="Times New Roman" w:ascii="Times New Roman" w:hAnsi="Times New Roman"/>
          <w:spacing w:val="-2"/>
          <w:kern w:val="0"/>
          <w:lang w:val="en-US"/>
        </w:rPr>
        <w:t>Elpub</w:t>
      </w:r>
      <w:r>
        <w:rPr>
          <w:rFonts w:cs="Times New Roman" w:ascii="Times New Roman" w:hAnsi="Times New Roman"/>
          <w:spacing w:val="-2"/>
          <w:kern w:val="0"/>
        </w:rPr>
        <w:t xml:space="preserve"> – Платформа двуязычного сайта и электронной редакции для научного журнала» (Свидетельство о государственной регистрации программы для ЭВМ № 2015613961, Реестровая запись № 4795 от 03.12.2018 в реестре Российского программного обеспечения), расположенное по адресу, размещенному в зоне третьего уровня домена </w:t>
      </w:r>
      <w:r>
        <w:rPr>
          <w:rFonts w:cs="Times New Roman" w:ascii="Times New Roman" w:hAnsi="Times New Roman"/>
          <w:spacing w:val="-2"/>
          <w:kern w:val="0"/>
          <w:lang w:val="en-US"/>
        </w:rPr>
        <w:t>elpub</w:t>
      </w:r>
      <w:r>
        <w:rPr>
          <w:rFonts w:cs="Times New Roman" w:ascii="Times New Roman" w:hAnsi="Times New Roman"/>
          <w:spacing w:val="-2"/>
          <w:kern w:val="0"/>
        </w:rPr>
        <w:t>.</w:t>
      </w:r>
      <w:r>
        <w:rPr>
          <w:rFonts w:cs="Times New Roman" w:ascii="Times New Roman" w:hAnsi="Times New Roman"/>
          <w:spacing w:val="-2"/>
          <w:kern w:val="0"/>
          <w:lang w:val="en-US"/>
        </w:rPr>
        <w:t>ru</w:t>
      </w:r>
      <w:r>
        <w:rPr>
          <w:rFonts w:cs="Times New Roman" w:ascii="Times New Roman" w:hAnsi="Times New Roman"/>
          <w:spacing w:val="-2"/>
          <w:kern w:val="0"/>
        </w:rPr>
        <w:t xml:space="preserve"> в сети Интернет и предназначенное для создания сайта научного периодического издания (журнала) и самостоятельного ведения деятельности по подготовке к публикации научного контента на сайте.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Обновление Программы</w:t>
      </w:r>
      <w:r>
        <w:rPr>
          <w:rFonts w:cs="Times New Roman" w:ascii="Times New Roman" w:hAnsi="Times New Roman"/>
          <w:kern w:val="0"/>
        </w:rPr>
        <w:t xml:space="preserve"> – действия и программное обеспечение, изменяющее, заменяющее и/или дополняющее Программу и/или ее составные части, установленное на Сервере. Все Обновления Программы являются ее неотъемлемыми составными частями.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 xml:space="preserve">Лицензия </w:t>
      </w:r>
      <w:r>
        <w:rPr>
          <w:rFonts w:cs="Times New Roman" w:ascii="Times New Roman" w:hAnsi="Times New Roman"/>
          <w:kern w:val="0"/>
        </w:rPr>
        <w:t>– право использования Программы в объеме и пределах, установленных настоящим Договором и перечнем лицензий, указанном в Приложениях к настоящему договору, и являющимся его неотъемлемой частью.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 xml:space="preserve">Лицензиар </w:t>
      </w:r>
      <w:r>
        <w:rPr>
          <w:rFonts w:cs="Times New Roman" w:ascii="Times New Roman" w:hAnsi="Times New Roman"/>
          <w:kern w:val="0"/>
        </w:rPr>
        <w:t>– правообладатель программы (информационного сервиса «</w:t>
      </w:r>
      <w:r>
        <w:rPr>
          <w:rFonts w:cs="Times New Roman" w:ascii="Times New Roman" w:hAnsi="Times New Roman"/>
          <w:kern w:val="0"/>
          <w:lang w:val="en-US"/>
        </w:rPr>
        <w:t>Elpub</w:t>
      </w:r>
      <w:r>
        <w:rPr>
          <w:rFonts w:cs="Times New Roman" w:ascii="Times New Roman" w:hAnsi="Times New Roman"/>
          <w:kern w:val="0"/>
        </w:rPr>
        <w:t>»).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 xml:space="preserve">Лицензионный платеж </w:t>
      </w:r>
      <w:r>
        <w:rPr>
          <w:rFonts w:cs="Times New Roman" w:ascii="Times New Roman" w:hAnsi="Times New Roman"/>
          <w:kern w:val="0"/>
        </w:rPr>
        <w:t>– вознаграждение за предоставление Лицензии, которое Сублицензиат обязуется уплатить Лицензиату в соответствии с настоящим Договором.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 xml:space="preserve">Перечень Лицензий </w:t>
      </w:r>
      <w:r>
        <w:rPr>
          <w:rFonts w:cs="Times New Roman" w:ascii="Times New Roman" w:hAnsi="Times New Roman"/>
          <w:kern w:val="0"/>
        </w:rPr>
        <w:t>– документ, устанавливающий размеры Лицензионного платежа в зависимости от выбранной Лицензии и срока, на который предоставляется Лицензия, являющийся Приложениями к настоящему договору.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 xml:space="preserve">Сервер </w:t>
      </w:r>
      <w:r>
        <w:rPr>
          <w:rFonts w:cs="Times New Roman" w:ascii="Times New Roman" w:hAnsi="Times New Roman"/>
          <w:kern w:val="0"/>
        </w:rPr>
        <w:t>– принадлежащий Лицензиару сервер, на котором расположена Программа.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 xml:space="preserve">Материалы </w:t>
      </w:r>
      <w:r>
        <w:rPr>
          <w:rFonts w:cs="Times New Roman" w:ascii="Times New Roman" w:hAnsi="Times New Roman"/>
          <w:kern w:val="0"/>
        </w:rPr>
        <w:t>– все единицы контента, созданные Сублицензиатом в программе, включая информацию, необходимую для представления содержания журнала, контактные данные, статьи, заметки, выпуски, метаданные, аннотации, переводы и другие единицы контента.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120"/>
        <w:ind w:hanging="0" w:left="0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cs="Times New Roman" w:ascii="Times New Roman" w:hAnsi="Times New Roman"/>
          <w:b/>
          <w:bCs/>
          <w:spacing w:val="-6"/>
          <w:kern w:val="0"/>
        </w:rPr>
        <w:t xml:space="preserve">Консультация </w:t>
      </w:r>
      <w:r>
        <w:rPr>
          <w:rFonts w:cs="Times New Roman" w:ascii="Times New Roman" w:hAnsi="Times New Roman"/>
          <w:spacing w:val="-6"/>
          <w:kern w:val="0"/>
        </w:rPr>
        <w:t>– предоставленные экспертом (</w:t>
      </w:r>
      <w:r>
        <w:rPr>
          <w:rFonts w:cs="Times New Roman" w:ascii="Times New Roman" w:hAnsi="Times New Roman"/>
          <w:spacing w:val="-6"/>
          <w:kern w:val="0"/>
        </w:rPr>
        <w:t>экспертами</w:t>
      </w:r>
      <w:r>
        <w:rPr>
          <w:rFonts w:cs="Times New Roman" w:ascii="Times New Roman" w:hAnsi="Times New Roman"/>
          <w:spacing w:val="-6"/>
          <w:kern w:val="0"/>
        </w:rPr>
        <w:t>) Лицензиата Сублицензиату разъяснения поведения Программы, а также рекомендации Сублицензиату относительно его действий в сложившейся ситуации.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284" w:leader="none"/>
        </w:tabs>
        <w:spacing w:lineRule="auto" w:line="276" w:before="0" w:after="60"/>
        <w:ind w:hanging="0" w:left="0"/>
        <w:jc w:val="center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Предмет договора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По настоящему Договору Лицензиат, с согласия Лицензиара, передает Сублицензиату неисключительное право пользования Программой (далее по тексту – Лицензия), включая техническую поддержку к Программе, находящейся на Сервере Лицензиара, а Сублицензиат обязуется своевременно уплачивать лицензионный платеж за переданные ему права.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cs="Times New Roman" w:ascii="Times New Roman" w:hAnsi="Times New Roman"/>
          <w:kern w:val="0"/>
        </w:rPr>
        <w:t>Все материалы, созданные с помощью Программы, в полной мере являются собственностью Сублицензиата.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spacing w:val="-4"/>
          <w:kern w:val="0"/>
        </w:rPr>
        <w:t>Сублицензиат обязуется использовать одну лицензию для подготовки одного наименования периодического издания (журнала). Все условия настоящего Договора в равной степени применяются к Программе в целом и к ее компонентам в отдельности, включая все обновления Программы.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Лицензия включает в себя: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предоставление доступа к Программе «Elpub – Платформа двуязычного сайта и электронной редакции для научного журнала»;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размещение на площадках НЭИКОН и создание резервных копий всех данных;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создание и настройку сайта журнала на доменном имени Сублицензиата, включая настройку расположения элементов сайта и отображение элементов контента;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администрирование сайта и контента на протяжении всего времени действия Договора;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первоначальное наполнение сайта данными (базовый контент: о журнале, история журнала, цели и задачи, разделы, редколлегия, редсовет и пр.);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создание первоначального полнотекстового архива журнала на глубину три года;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публикацию обновлённого служебного контента (редколлегия, редсовет, описания и пр.) на протяжении всего действия Договора;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размещение на сайте свежих выпусков на всех языках журнала в срок, не превышающий 7 рабочих дней;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помощь в размещении журнала в индексных базах и каталогах;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создание и настройка системы оформления и оплаты подписки на сайте для подписных журналов (по запросу Сублицензиата);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cs="Times New Roman" w:ascii="Times New Roman" w:hAnsi="Times New Roman"/>
          <w:kern w:val="0"/>
        </w:rPr>
        <w:t>предоставление консультаций сотрудникам Сублицензиата относительно работы с электронной редакцией;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4"/>
          <w:kern w:val="0"/>
        </w:rPr>
        <w:t>при интеграции с CrossRef: формирование выпусков в формате XML и регистрация идентификаторов DOI (При наличии у Сублицензиата действующего договора с PILA/Cross</w:t>
      </w:r>
      <w:r>
        <w:rPr>
          <w:rFonts w:cs="Times New Roman" w:ascii="Times New Roman" w:hAnsi="Times New Roman"/>
          <w:spacing w:val="-4"/>
          <w:kern w:val="0"/>
          <w:lang w:val="en-US"/>
        </w:rPr>
        <w:t>R</w:t>
      </w:r>
      <w:r>
        <w:rPr>
          <w:rFonts w:cs="Times New Roman" w:ascii="Times New Roman" w:hAnsi="Times New Roman"/>
          <w:spacing w:val="-4"/>
          <w:kern w:val="0"/>
        </w:rPr>
        <w:t>ef);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проведение экспертизы сайта и журнала на соответствие требованиям международных баз данных и лучших издательских практик;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сопровождение процесса подачи заявок в международные научные базы данных;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размещение новостей и рекламных материалов;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проведение мероприятий в рамках программы Elpub.Образование – обучающих вебинаров и лекций по различным аспектам управления, развития и продвижения научного журнала;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консультационная поддержка по актуальным требованиям к политикам журнала и другим аспектам служебного контента;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проведение индивидуальных и командных обучающих мероприятий по работе с Программой и отдельными модулями (электронной редакцией);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предоставление выгрузок XML-файлов в формате РНЖ и Информрегистра;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формирование файлов и отправка данных DOAJ, EBSCO, CNKI, WoS, Scopus, PubMed, PubMed Central (при наличии индексации журнала в этих базах);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cs="Times New Roman" w:ascii="Times New Roman" w:hAnsi="Times New Roman"/>
          <w:kern w:val="0"/>
        </w:rPr>
        <w:t>консультирование по различным аспектам взаимодействия с ВАК, РКН, РГБ/РКП;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2"/>
          <w:kern w:val="0"/>
        </w:rPr>
        <w:t>передачу обязательных электронных экземпляров журнала в РГБ (при наличии доверенности);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предоставление доступа к платформе Нейроассистент научного редактора;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предоставление доступа к системе Elpub Smart Connect;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разработку медиакита журнала;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hanging="283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поддержку по всем прочим вопросам, касающихся Программы и процесса создания и публикации научного контента, возникающим в процессе работы с системой.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120"/>
        <w:ind w:hanging="0" w:left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kern w:val="0"/>
        </w:rPr>
        <w:t>Функциональные свойства Программы содержатся в Приложении № 2, являющимся неотъемлемой частью настоящего Договора.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426" w:leader="none"/>
        </w:tabs>
        <w:spacing w:lineRule="auto" w:line="276" w:before="0" w:after="60"/>
        <w:ind w:hanging="0" w:left="0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Права и обязанности сторон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Лицензиат обязуется: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78" w:left="567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cs="Times New Roman" w:ascii="Times New Roman" w:hAnsi="Times New Roman"/>
          <w:kern w:val="0"/>
        </w:rPr>
        <w:t>предоставить Сублицензиату доступ к Программе в объеме и на условиях, установленных настоящим Договором;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78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4"/>
          <w:kern w:val="0"/>
        </w:rPr>
        <w:t>предоставить Сублицензиату необходимое пространство на Сервере для использования такого пространства в целях обработки и хранения данных, вводимых с использованием Программы;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78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обеспечивать Сублицензиату круглосуточный доступ к Программе, за исключением времени проведения профилактических работ, при условии своевременной уплаты Сублицензиатом Лицензионного платежа;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78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своевременно осуществлять Обновление Программы;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78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обеспечивать целостность и сохранность на Сервере данных, введенных Сублицензиатом в Программу, до момента прекращения настоящего Договора;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78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воздерживаться от каких-либо действий, способных затруднить осуществление Сублицензиатом прав, предоставленных по Лицензии;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78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своевременно (не позднее, чем за три дня) информировать Сублицензиата о проведении профилактических работ на Сервере и/или приостановлении работы сайта, на котором расположена Программа;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78" w:left="567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kern w:val="0"/>
        </w:rPr>
        <w:t>никаким образом не использовать данные (включая, контакты, материалы, метаданные) и прочую информацию, созданную Сублицензиатом в Программе кроме как для целей и задач, установленных настоящим Договором. Все авторские права на данные и информацию, созданную Сублицензиатом защищены законодательством Российской Федерации об авторских правах и положениями настоящего Договора.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Лицензиат вправе: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по своему усмотрению и без согласования с Сублицензиатом вносить изменения в Программу, не затрагивающие ее функциональные свойства;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приостанавливать доступ Сублицензиата к Программе в случае нарушения последним условий настоящего Договора, в том числе при отсутствии своевременной уплаты Лицензионного платежа со стороны Сублицензиата;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проводить профилактические работы на Сервере и приостанавливать работу сайта, на котором расположена Программа, для проведения таких профилактических работ. По возможности Лицензиат проводит профилактические работы и приостанавливает работу сайта, на котором расположена Программа, в ночное время или в выходные дни;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осуществлять иные права, предусмотренные настоящим Договором;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spacing w:val="-8"/>
          <w:kern w:val="0"/>
        </w:rPr>
      </w:pPr>
      <w:r>
        <w:rPr>
          <w:rFonts w:cs="Times New Roman" w:ascii="Times New Roman" w:hAnsi="Times New Roman"/>
          <w:kern w:val="0"/>
        </w:rPr>
        <w:t>требовать от Сублицензиата исполнения обязанностей, предусмотренных пп. 3.3.1-3.3.8 настоящего Договора, а также иных обязанностей Сублицензиата в соответствии с настоящим Договором;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spacing w:val="-8"/>
          <w:kern w:val="0"/>
        </w:rPr>
        <w:t>привлекать третьих лиц для исполнения условий настоящего договора, при этом ответственность за действия таких лиц Лицензиат несет перед Сублицензиатом, как за свои собственные;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принять решение об одностороннем отказе от исполнения Договора в соответствии с Гражданским кодексом Российской Федерации, Договором, Положением.</w:t>
      </w:r>
    </w:p>
    <w:p>
      <w:pPr>
        <w:pStyle w:val="Normal"/>
        <w:widowControl w:val="false"/>
        <w:numPr>
          <w:ilvl w:val="1"/>
          <w:numId w:val="5"/>
        </w:numPr>
        <w:spacing w:lineRule="auto" w:line="276" w:before="0" w:after="0"/>
        <w:ind w:hanging="426" w:left="426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Сублицензиат обязуется: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6"/>
          <w:kern w:val="0"/>
        </w:rPr>
        <w:t>использовать Программу самостоятельно и не передавать права на использование Программы и копии Программы третьим лицам без предварительного письменного согласия Лицензиата;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cs="Times New Roman" w:ascii="Times New Roman" w:hAnsi="Times New Roman"/>
          <w:kern w:val="0"/>
        </w:rPr>
        <w:t>без предварительного письменного согласия Лицензиата не передавать третьим лицам полностью или в части права и/или обязанности по настоящему Договору, не продавать, не тиражировать, не копировать Программу полностью или частично, не отчуждать Программу полностью или частично иным образом, в том числе безвозмездно;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2"/>
          <w:kern w:val="0"/>
        </w:rPr>
        <w:t>использовать Программу исключительно с соблюдением всех условий настоящего Договора;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не передавать третьим лицам пароли и логины, используемые для доступа к Программе, обеспечивать их конфиденциальность;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при необходимости назначить уполномоченных лиц, имеющих доступ к логинам и паролям, принадлежащим Сублицензиату;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cs="Times New Roman" w:ascii="Times New Roman" w:hAnsi="Times New Roman"/>
          <w:kern w:val="0"/>
        </w:rPr>
        <w:t>уплачивать Лицензиату Лицензионный платеж в порядке и в размере, установленном статьей 5 настоящего Договора;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6"/>
          <w:kern w:val="0"/>
        </w:rPr>
        <w:t>не использовать Программу для подготовки двух и более наименований периодических изданий;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не копировать и не устанавливать на собственные серверы машинный код Программы;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kern w:val="0"/>
        </w:rPr>
        <w:t>исполнять иные обязанности, предусмотренные настоящим Договором.</w:t>
      </w:r>
    </w:p>
    <w:p>
      <w:pPr>
        <w:pStyle w:val="Normal"/>
        <w:widowControl w:val="false"/>
        <w:numPr>
          <w:ilvl w:val="1"/>
          <w:numId w:val="5"/>
        </w:numPr>
        <w:spacing w:lineRule="auto" w:line="276" w:before="0" w:after="0"/>
        <w:ind w:hanging="426" w:left="426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Сублицензиат вправе: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осуществлять круглосуточный доступ к Программе, за исключением времени проведения профилактических работ в соответствии с п. 3.2.3 настоящего Договора, при условии своевременной уплаты Лицензионного платежа;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осуществлять круглосуточный доступ к данным, введенным Лицензиатом в Программу до момента прекращения настоящего Договора;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требовать от Лицензиата исполнения обязанностей, предусмотренных пп. 3.1.1-3.1.8 настоящего Договора;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spacing w:val="-8"/>
          <w:kern w:val="0"/>
        </w:rPr>
      </w:pPr>
      <w:r>
        <w:rPr>
          <w:rFonts w:cs="Times New Roman" w:ascii="Times New Roman" w:hAnsi="Times New Roman"/>
          <w:kern w:val="0"/>
        </w:rPr>
        <w:t>осуществлять полный экспорт созданных Материалов на собственные серверы;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ind w:hanging="567" w:left="567"/>
        <w:jc w:val="both"/>
        <w:rPr>
          <w:rFonts w:ascii="Times New Roman" w:hAnsi="Times New Roman" w:cs="Times New Roman"/>
          <w:spacing w:val="-8"/>
          <w:kern w:val="0"/>
        </w:rPr>
      </w:pPr>
      <w:r>
        <w:rPr>
          <w:rFonts w:cs="Times New Roman" w:ascii="Times New Roman" w:hAnsi="Times New Roman"/>
          <w:spacing w:val="-8"/>
          <w:kern w:val="0"/>
        </w:rPr>
        <w:t>получать консультации Лицензиата по вопросам, возникающим в процессе работы с Программой;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120"/>
        <w:ind w:hanging="567" w:left="567"/>
        <w:jc w:val="both"/>
        <w:rPr>
          <w:rFonts w:ascii="Times New Roman" w:hAnsi="Times New Roman" w:cs="Times New Roman"/>
          <w:kern w:val="0"/>
        </w:rPr>
      </w:pPr>
      <w:bookmarkStart w:id="1" w:name="_Hlk231813343"/>
      <w:r>
        <w:rPr>
          <w:rFonts w:cs="Times New Roman" w:ascii="Times New Roman" w:hAnsi="Times New Roman"/>
          <w:kern w:val="0"/>
        </w:rPr>
        <w:t>принять решение об одностороннем отказе от исполнения Договора в соответствии с Гражданским кодексом Российской Федерации, Договором, Положением.</w:t>
      </w:r>
      <w:bookmarkEnd w:id="1"/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284" w:leader="none"/>
        </w:tabs>
        <w:spacing w:lineRule="auto" w:line="276" w:before="0" w:after="60"/>
        <w:ind w:hanging="0" w:left="0"/>
        <w:jc w:val="center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Объем и порядок передачи прав по Лицензии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Право на заключение настоящего договора принадлежат Лицензиату через агентское соглашение от 01.11.2024 № 01-11/24(А) с Правообладателем Программы.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Объем прав использования Программы, предоставляемый Сублицензиату по Лицензии, определяется Перечнем лицензий (Приложение № 1 к Договору).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Действие Лицензии не ограничено территорией Российской Федерации или какого-либо иного государства.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color w:val="000000"/>
          <w:kern w:val="0"/>
        </w:rPr>
        <w:t>В течение 5 (пяти) рабочих дней с даты подписания Договора Лицензиат обязуется предоставить доступ к передаваемой Сублицензиату Программе,</w:t>
      </w:r>
      <w:r>
        <w:rPr>
          <w:rFonts w:cs="Times New Roman" w:ascii="Times New Roman" w:hAnsi="Times New Roman"/>
          <w:kern w:val="0"/>
        </w:rPr>
        <w:t xml:space="preserve"> направив учетные данные (логин/пароль администратора) по электронной почте уполномоченному представителю Сублицензиата (контактному лицу), указанному в пункте 9.9 а).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Лицензия считается активированной и право на ее использование считается надлежащим образом переданным Сублицензиату с даты подписания универсального передаточного документа (далее по тексту – УПД), подтверждающего факт передачи логина/пароля администратора и активации доступа к Программе.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284" w:leader="none"/>
          <w:tab w:val="left" w:pos="426" w:leader="none"/>
        </w:tabs>
        <w:spacing w:lineRule="auto" w:line="276" w:before="0" w:after="12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Сублицензиат не обязан представлять Лицензиату отчеты об использовании Лицензии.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284" w:leader="none"/>
        </w:tabs>
        <w:spacing w:lineRule="auto" w:line="276" w:before="0" w:after="60"/>
        <w:ind w:hanging="0" w:left="0"/>
        <w:jc w:val="center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Лицензионный платеж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Размер Лицензионного платежа составляет 147 000,00 (Сто сорок семь тысяч) рублей 00 копеек, в том числе НДС (5%) в размере 7 000,00 (Семь тысяч) рублей 00 копеек, на основании пп. 1 п. 8 ст. 164 НК РФ и определяется в зависимости от выбранных Сублицензиатом Лицензий и указан в Приложении №1, которое является неотъемлемой частью настоящего договора.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cs="Times New Roman" w:ascii="Times New Roman" w:hAnsi="Times New Roman"/>
          <w:kern w:val="0"/>
        </w:rPr>
        <w:t>Днем уплаты Лицензионного платежа считается день поступления денежных средств на расчетный счет Лицензиата.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4"/>
          <w:kern w:val="0"/>
        </w:rPr>
        <w:t>Оплата по договору осуществляется по безналичному расчету путем перечисления Сублицензиатом денежных средств на расчетный счет Лицензиата, указанный в настоящем договоре в срок, не превышающий 7 (семь) рабочих дней с момента подписания УПД, подтверждающего факт передачи и активации Лицензии на основании счета, выставленного Лицензиатом.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 xml:space="preserve">В течение 5-ти (пяти) рабочих дней с момента передачи права пользования Лицензией Лицензиат направляет Сублицензиату УПД, подтверждающий факт передачи и активации Лицензии. При этом Сублицензиат обязуется в течение 3-х (трех) рабочих дней с момента получения указанного УПД рассмотреть его и подписать, либо направить Лицензиату мотивированный отказ от подписания, иначе УПД будет считаться принятым. 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12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/>
          <w:kern w:val="0"/>
        </w:rPr>
        <w:t>Цена Договора является твердой, включает в себя все расходы Лицензиата, которые он может понести в связи с исполнением Договора, и не подлежит изменению в течение всего срока его действия, за исключением случаев, предусмотренных законодательством РФ, Положением.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284" w:leader="none"/>
        </w:tabs>
        <w:spacing w:lineRule="auto" w:line="276" w:before="0" w:after="60"/>
        <w:ind w:hanging="0" w:left="0"/>
        <w:jc w:val="center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Ответственность Сторон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Лицензиат гарантирует, что передача Сублицензиату права пользования Программой по настоящему Договору не нарушает права третьих лиц.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Лицензиат предоставляет Сублицензиату Программу в соответствии с общепринятым в международной практике принципом и обычаем делового оборота «как есть» («</w:t>
      </w:r>
      <w:r>
        <w:rPr>
          <w:rFonts w:cs="Times New Roman" w:ascii="Times New Roman" w:hAnsi="Times New Roman"/>
          <w:kern w:val="0"/>
          <w:lang w:val="en-US"/>
        </w:rPr>
        <w:t>as</w:t>
      </w:r>
      <w:r>
        <w:rPr>
          <w:rFonts w:cs="Times New Roman" w:ascii="Times New Roman" w:hAnsi="Times New Roman"/>
          <w:kern w:val="0"/>
        </w:rPr>
        <w:t> </w:t>
      </w:r>
      <w:r>
        <w:rPr>
          <w:rFonts w:cs="Times New Roman" w:ascii="Times New Roman" w:hAnsi="Times New Roman"/>
          <w:kern w:val="0"/>
          <w:lang w:val="en-US"/>
        </w:rPr>
        <w:t>is</w:t>
      </w:r>
      <w:r>
        <w:rPr>
          <w:rFonts w:cs="Times New Roman" w:ascii="Times New Roman" w:hAnsi="Times New Roman"/>
          <w:kern w:val="0"/>
        </w:rPr>
        <w:t>») и не несет ответственности за проблемы и недостатки, возникающие и/или обнаруживаемые в связи с несовместимостью Программы с другими программными продуктами, драйверами и др., а также в связи с несоответствием результатов использования Программы ожиданиям Сублицензиата.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cs="Times New Roman" w:ascii="Times New Roman" w:hAnsi="Times New Roman"/>
          <w:kern w:val="0"/>
        </w:rPr>
        <w:t>Лицензиат не несет ответственности за невозможность использования Сублицензиатом Программы по причинам, зависящим от Сублицензиата.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6"/>
          <w:kern w:val="0"/>
        </w:rPr>
        <w:t>Лицензиат не несет ответственности за неисполнение или ненадлежащее исполнение Сублицензиатом обязательств по настоящему Договору, в том числе за прямые и/или косвенные убытки Сублицензиата, включая без ограничения прямые и/или косвенные убытки Сублицензиата в результате: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неправомерных действий пользователей сети Интернет;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cs="Times New Roman" w:ascii="Times New Roman" w:hAnsi="Times New Roman"/>
          <w:kern w:val="0"/>
        </w:rPr>
        <w:t>отсутствия и/или наличия проблем при установлении интернет-соединения между сервером Сублицензиата и Сервером;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4"/>
          <w:kern w:val="0"/>
        </w:rPr>
        <w:t>проведения органами государственной власти оперативно-розыскных мероприятий, если проведение таких мероприятий не вызвано осуществлением Сублицензиатом противоправной деятельности, подтвержденным вступившим в законную силу решением суда;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незаконного ограничения доступа к серверу программы третьими лицами;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Лицензиат не несет ответственности за несвоевременное предоставление доступа к Программе в следующем случае: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12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неполучения или несвоевременного получения Сублицензиатом электронного сообщения о предоставлении доступа к Программе по причинам, не зависящим от Лицензиата, включая без ограничения предоставление Сублицензиатом некорректного адреса электронной почты, сбои в работе почтового клиента Сублицензиата или сервера электронной почты Сублицензиата.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284" w:leader="none"/>
        </w:tabs>
        <w:spacing w:lineRule="auto" w:line="276" w:before="0" w:after="60"/>
        <w:ind w:hanging="0" w:left="0"/>
        <w:jc w:val="center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Конфиденциальность информации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Положения и условия настоящего Договора, любая информация и документы (в том числе в электронной форме), полученные Сторонами в процессе заключения и исполнения настоящего Договора, являются конфиденциальными. Конфиденциальными не признаются документы и информация, являющиеся общедоступными и/или общеизвестными.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spacing w:val="-8"/>
          <w:kern w:val="0"/>
        </w:rPr>
      </w:pPr>
      <w:r>
        <w:rPr>
          <w:rFonts w:cs="Times New Roman" w:ascii="Times New Roman" w:hAnsi="Times New Roman"/>
          <w:kern w:val="0"/>
        </w:rPr>
        <w:t>Каждая из Сторон обязуется без согласия другой Стороны не распространять, не передавать третьим лицам информацию и/или документы, указанные в п. 7.1 настоящего Договора, полностью или в части, а также не предоставлять третьим лицам доступ к такой информации и документам полностью или в части.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spacing w:val="-8"/>
          <w:kern w:val="0"/>
        </w:rPr>
      </w:pPr>
      <w:r>
        <w:rPr>
          <w:rFonts w:cs="Times New Roman" w:ascii="Times New Roman" w:hAnsi="Times New Roman"/>
          <w:spacing w:val="-8"/>
          <w:kern w:val="0"/>
        </w:rPr>
        <w:t>Стороны обязуются принимать все необходимые меры для того, чтобы предотвратить полное или частичное распространение, передачу третьим лицам информации и документов, указанных в п. 7.1 настоящего Договора, а также предоставление третьим лицам доступа к такой информации и документам.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8"/>
          <w:kern w:val="0"/>
        </w:rPr>
        <w:t>Действие положений, предусмотренных настоящей статьей, сохраняется после прекращения настоящего Договора по любой причине в течение пяти лет с момента прекращения настоящего Договора.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120"/>
        <w:ind w:hanging="0" w:left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kern w:val="0"/>
        </w:rPr>
        <w:t>Действие настоящей статьи не распространяется на случаи передачи информации и/или документов, указанных в п. 7.1 настоящего Договора, органам государственной власти и местного самоуправления по их требованию в рамках исполнения указанными органами функций по государственному (муниципальному) контролю и надзору.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284" w:leader="none"/>
        </w:tabs>
        <w:spacing w:lineRule="auto" w:line="276" w:before="0" w:after="60"/>
        <w:ind w:hanging="0" w:left="0"/>
        <w:jc w:val="center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Обстоятельства непреодолимой силы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Стороны освобождаются от ответственности за полное или частичное неисполнение обязательств по Договору в случае, если оно явилось следствием обстоятельств непреодолимой силы, имеющих место на территории всей страны или отдельных ее местностях, а именно: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пожаров, наводнений, эпидемий, землетрясений, обстоятельств, вызванных режимом повышенной готовности;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  <w:spacing w:val="-10"/>
          <w:kern w:val="0"/>
        </w:rPr>
      </w:pPr>
      <w:r>
        <w:rPr>
          <w:rFonts w:cs="Times New Roman" w:ascii="Times New Roman" w:hAnsi="Times New Roman"/>
          <w:kern w:val="0"/>
        </w:rPr>
        <w:t>диверсий, блокады, восстаний, массовых беспорядков, саботажа, забастовок, локаутов, военных действий, включая войну, военную операцию, вторжение, общую военную мобилизацию, режим военного положения, гражданскую войну, революцию, военный или иной незаконный захват власти, мятеж, террористический акт;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cs="Times New Roman" w:ascii="Times New Roman" w:hAnsi="Times New Roman"/>
          <w:spacing w:val="-10"/>
          <w:kern w:val="0"/>
        </w:rPr>
        <w:t>валютные и торговые ограничения, эмбарго, санкции, конфискацию, реквизицию, национализацию;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4"/>
          <w:kern w:val="0"/>
        </w:rPr>
        <w:t>чрезвычайное или военное положение, враждебные действия какого-либо другого государства;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изменение законодательства, препятствующие надлежащему исполнению настоящего Договора и другие чрезвычайные обстоятельства, которые возникли после заключения Договора и непосредственно повлияли на исполнение Сторонами своих обязательств и которые Стороны были не в состоянии предвидеть или предотвратить.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cs="Times New Roman" w:ascii="Times New Roman" w:hAnsi="Times New Roman"/>
          <w:kern w:val="0"/>
        </w:rPr>
        <w:t>Сторона, которая не исполняет свои обязательства по настоящему Договору в силу действия обстоятельств непреодолимой силы, должна немедленно известить другую Сторону о возникших обстоятельствах непреодолимой силы и об их влиянии на возможность исполнения обязательств по настоящему Договору.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2"/>
          <w:kern w:val="0"/>
        </w:rPr>
        <w:t>Обязанность доказывать наличие обстоятельств непреодолимой силы и их влияния на возможность исполнения обязательств по настоящему Договору лежит на Стороне, не исполнившей или ненадлежащим образом исполнившей свои обязательства по настоящему Договору.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120"/>
        <w:ind w:hanging="0" w:left="0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cs="Times New Roman" w:ascii="Times New Roman" w:hAnsi="Times New Roman"/>
          <w:spacing w:val="-6"/>
          <w:kern w:val="0"/>
        </w:rPr>
        <w:t>Если обстоятельства непреодолимой силы действуют на протяжении 2 (двух) последовательных месяцев и не обнаруживают признаков прекращения, настоящий Договор может быть прекращен невозможностью его исполнения по заявлению любой из Сторон при условии проведения Сторонами взаиморасчетов по фактическому объему исполненных обязательств на момент наступления форс-мажора.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284" w:leader="none"/>
        </w:tabs>
        <w:spacing w:lineRule="auto" w:line="276" w:before="0" w:after="60"/>
        <w:ind w:hanging="0" w:left="0"/>
        <w:jc w:val="center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Порядок заключения Договора, срок его действия и порядок прекращения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Настоящий Договор вступает в силу и становится обязательным для Сторон с даты его подписания Сторонами и прекращает свое действие в соответствии со сроком пользования Лицензией, который указан в соответствующем Приложении.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Все изменения и дополнения к настоящему Договору считаются действительными, если они оформлены дополнительными соглашениями и подписаны Сторонами.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Настоящий Договор прекращается: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cs="Times New Roman" w:ascii="Times New Roman" w:hAnsi="Times New Roman"/>
          <w:kern w:val="0"/>
        </w:rPr>
        <w:t>по соглашению Сторон;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6"/>
          <w:kern w:val="0"/>
        </w:rPr>
        <w:t>в случае одностороннего отказа Сублицензиата от исполнения настоящего Договора полностью;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 связи с невозможностью исполнения настоящего Договора в соответствии с п. 8.4 настоящего Договора;</w:t>
      </w:r>
    </w:p>
    <w:p>
      <w:pPr>
        <w:pStyle w:val="Normal"/>
        <w:widowControl w:val="false"/>
        <w:numPr>
          <w:ilvl w:val="2"/>
          <w:numId w:val="5"/>
        </w:numPr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 иных случаях, предусмотренных действующим законодательством РФ.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cs="Times New Roman" w:ascii="Times New Roman" w:hAnsi="Times New Roman"/>
          <w:spacing w:val="-6"/>
          <w:kern w:val="0"/>
        </w:rPr>
        <w:t>Лицензиат вправе в одностороннем порядке отказаться от исполнения настоящего Договора полностью в случае систематического нарушения Сублицензиатом (более 3 (трех) раз в течение календарного года) одной или нескольких обязанностей, предусмотренных пп. 3.3.1-3.3.9 настоящего Договора. В случае прекращения договора по указанному основанию лицензионный платеж возврату не подлежит.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 случае отказа Сублицензиата от исполнения настоящего Договора Сублицензиат направляет Лицензиату письменное уведомление о своем одностороннем отказе от исполнения настоящего Договора, договор прекращает свое действие по истечении 30 (тридцати) календарных дней с момента получения Лицензиатом такого уведомления.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cs="Times New Roman" w:ascii="Times New Roman" w:hAnsi="Times New Roman"/>
          <w:kern w:val="0"/>
        </w:rPr>
        <w:t>С момента прекращения настоящего Договора права и обязанности Сторон прекращаются за исключением случаев, предусмотренных пп. 7.4 и 9.7 настоящего Договора.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6"/>
          <w:kern w:val="0"/>
        </w:rPr>
        <w:t>Прекращение настоящего Договора не освобождает Стороны от ответственности за его нарушение.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 случае прекращения действия настоящего договора, предусмотренные пп. 9.3.2.-9.3.3 Лицензионный платеж, уплаченный Сублицензиатом, возврату не подлежит.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426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b/>
          <w:kern w:val="0"/>
        </w:rPr>
      </w:pPr>
      <w:r>
        <w:rPr>
          <w:rFonts w:cs="Times New Roman" w:ascii="Times New Roman" w:hAnsi="Times New Roman"/>
          <w:kern w:val="0"/>
        </w:rPr>
        <w:t>Любая переписка Сторон в связи с исполнением настоящего Договора оформляется в письменном виде и направляется одной Стороной другой Стороне заказной почтой или электронной почтой по следующим адресам: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284" w:leader="none"/>
        </w:tabs>
        <w:spacing w:lineRule="auto" w:line="269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kern w:val="0"/>
        </w:rPr>
        <w:t>Сублицензиат:</w:t>
      </w:r>
    </w:p>
    <w:p>
      <w:pPr>
        <w:pStyle w:val="Normal"/>
        <w:widowControl w:val="false"/>
        <w:spacing w:lineRule="auto" w:line="269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 xml:space="preserve">Почтовый адрес: </w:t>
      </w:r>
      <w:r>
        <w:rPr>
          <w:rFonts w:cs="TildaSans" w:ascii="TildaSans" w:hAnsi="TildaSans"/>
          <w:color w:val="000000"/>
          <w:sz w:val="23"/>
          <w:szCs w:val="23"/>
          <w:shd w:fill="FFFFFF" w:val="clear"/>
        </w:rPr>
        <w:t>109044, г. Москва, 4-й Крутицкий переулок, д. 10, стр.1</w:t>
      </w:r>
    </w:p>
    <w:p>
      <w:pPr>
        <w:pStyle w:val="Normal"/>
        <w:widowControl w:val="false"/>
        <w:spacing w:lineRule="auto" w:line="269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Телефон: +7 (495) 181-57-57; +7 (951) 617-10-91</w:t>
      </w:r>
    </w:p>
    <w:p>
      <w:pPr>
        <w:pStyle w:val="Normal"/>
        <w:widowControl w:val="false"/>
        <w:spacing w:lineRule="auto" w:line="269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  <w:lang w:val="en-US"/>
        </w:rPr>
        <w:t>E</w:t>
      </w:r>
      <w:r>
        <w:rPr>
          <w:rFonts w:cs="Times New Roman" w:ascii="Times New Roman" w:hAnsi="Times New Roman"/>
          <w:kern w:val="0"/>
        </w:rPr>
        <w:t>-</w:t>
      </w:r>
      <w:r>
        <w:rPr>
          <w:rFonts w:cs="Times New Roman" w:ascii="Times New Roman" w:hAnsi="Times New Roman"/>
          <w:kern w:val="0"/>
          <w:lang w:val="en-US"/>
        </w:rPr>
        <w:t>mail</w:t>
      </w:r>
      <w:r>
        <w:rPr>
          <w:rFonts w:cs="Times New Roman" w:ascii="Times New Roman" w:hAnsi="Times New Roman"/>
          <w:kern w:val="0"/>
        </w:rPr>
        <w:t xml:space="preserve">: </w:t>
      </w:r>
      <w:hyperlink r:id="rId2">
        <w:r>
          <w:rPr>
            <w:rStyle w:val="Hyperlink"/>
            <w:rFonts w:cs="Times New Roman" w:ascii="Times New Roman" w:hAnsi="Times New Roman"/>
            <w:color w:val="000000"/>
            <w:kern w:val="0"/>
            <w:u w:val="none"/>
            <w:lang w:val="en-US"/>
          </w:rPr>
          <w:t>tipse</w:t>
        </w:r>
        <w:r>
          <w:rPr>
            <w:rStyle w:val="Hyperlink"/>
            <w:rFonts w:cs="Times New Roman" w:ascii="Times New Roman" w:hAnsi="Times New Roman"/>
            <w:color w:val="000000"/>
            <w:kern w:val="0"/>
            <w:u w:val="none"/>
          </w:rPr>
          <w:t>@</w:t>
        </w:r>
        <w:r>
          <w:rPr>
            <w:rStyle w:val="Hyperlink"/>
            <w:rFonts w:cs="Times New Roman" w:ascii="Times New Roman" w:hAnsi="Times New Roman"/>
            <w:color w:val="000000"/>
            <w:kern w:val="0"/>
            <w:u w:val="none"/>
            <w:lang w:val="en-US"/>
          </w:rPr>
          <w:t>sudexpert</w:t>
        </w:r>
        <w:r>
          <w:rPr>
            <w:rStyle w:val="Hyperlink"/>
            <w:rFonts w:cs="Times New Roman" w:ascii="Times New Roman" w:hAnsi="Times New Roman"/>
            <w:color w:val="000000"/>
            <w:kern w:val="0"/>
            <w:u w:val="none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kern w:val="0"/>
            <w:u w:val="none"/>
            <w:lang w:val="en-US"/>
          </w:rPr>
          <w:t>ru</w:t>
        </w:r>
      </w:hyperlink>
      <w:r>
        <w:rPr>
          <w:rFonts w:cs="Times New Roman" w:ascii="Times New Roman" w:hAnsi="Times New Roman"/>
          <w:kern w:val="0"/>
        </w:rPr>
        <w:t xml:space="preserve">, </w:t>
      </w:r>
      <w:r>
        <w:rPr>
          <w:rFonts w:cs="Times New Roman" w:ascii="Times New Roman" w:hAnsi="Times New Roman"/>
          <w:kern w:val="0"/>
          <w:lang w:val="en-US"/>
        </w:rPr>
        <w:t>e</w:t>
      </w:r>
      <w:r>
        <w:rPr>
          <w:rFonts w:cs="Times New Roman" w:ascii="Times New Roman" w:hAnsi="Times New Roman"/>
          <w:kern w:val="0"/>
        </w:rPr>
        <w:t>.</w:t>
      </w:r>
      <w:r>
        <w:rPr>
          <w:rFonts w:cs="Times New Roman" w:ascii="Times New Roman" w:hAnsi="Times New Roman"/>
          <w:kern w:val="0"/>
          <w:lang w:val="en-US"/>
        </w:rPr>
        <w:t>murko</w:t>
      </w:r>
      <w:r>
        <w:rPr>
          <w:rFonts w:cs="Times New Roman" w:ascii="Times New Roman" w:hAnsi="Times New Roman"/>
          <w:kern w:val="0"/>
        </w:rPr>
        <w:t>@</w:t>
      </w:r>
      <w:r>
        <w:rPr>
          <w:rFonts w:cs="Times New Roman" w:ascii="Times New Roman" w:hAnsi="Times New Roman"/>
          <w:kern w:val="0"/>
          <w:lang w:val="en-US"/>
        </w:rPr>
        <w:t>sudexpert</w:t>
      </w:r>
      <w:r>
        <w:rPr>
          <w:rFonts w:cs="Times New Roman" w:ascii="Times New Roman" w:hAnsi="Times New Roman"/>
          <w:kern w:val="0"/>
        </w:rPr>
        <w:t>.</w:t>
      </w:r>
      <w:r>
        <w:rPr>
          <w:rFonts w:cs="Times New Roman" w:ascii="Times New Roman" w:hAnsi="Times New Roman"/>
          <w:kern w:val="0"/>
          <w:lang w:val="en-US"/>
        </w:rPr>
        <w:t>ru</w:t>
      </w:r>
    </w:p>
    <w:p>
      <w:pPr>
        <w:pStyle w:val="Normal"/>
        <w:widowControl w:val="false"/>
        <w:spacing w:lineRule="auto" w:line="269" w:before="0" w:after="0"/>
        <w:jc w:val="both"/>
        <w:rPr>
          <w:rFonts w:ascii="Times New Roman" w:hAnsi="Times New Roman" w:cs="Times New Roman"/>
          <w:b/>
          <w:kern w:val="0"/>
        </w:rPr>
      </w:pPr>
      <w:r>
        <w:rPr>
          <w:rFonts w:cs="Times New Roman" w:ascii="Times New Roman" w:hAnsi="Times New Roman"/>
          <w:kern w:val="0"/>
        </w:rPr>
        <w:t>Ответственный за исполнение и приемку работ / контактное лицо: Мурко Елена Викторовна.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284" w:leader="none"/>
        </w:tabs>
        <w:spacing w:lineRule="auto" w:line="269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kern w:val="0"/>
        </w:rPr>
        <w:t>Лицензиат:</w:t>
      </w:r>
    </w:p>
    <w:p>
      <w:pPr>
        <w:pStyle w:val="Normal"/>
        <w:widowControl w:val="false"/>
        <w:spacing w:lineRule="auto" w:line="269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Адрес: 115114, Москва, ул. Летниковская д.4, корп.5, оф.2.4</w:t>
      </w:r>
    </w:p>
    <w:p>
      <w:pPr>
        <w:pStyle w:val="Normal"/>
        <w:widowControl w:val="false"/>
        <w:spacing w:lineRule="auto" w:line="269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Телефон: 7 (499) 754-99-94</w:t>
      </w:r>
    </w:p>
    <w:p>
      <w:pPr>
        <w:pStyle w:val="Normal"/>
        <w:widowControl w:val="false"/>
        <w:spacing w:lineRule="auto" w:line="269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E-mail: nikulina@neicon.ru</w:t>
      </w:r>
    </w:p>
    <w:p>
      <w:pPr>
        <w:pStyle w:val="Normal"/>
        <w:widowControl w:val="false"/>
        <w:spacing w:lineRule="auto" w:line="269" w:before="0" w:after="0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cs="Times New Roman" w:ascii="Times New Roman" w:hAnsi="Times New Roman"/>
          <w:kern w:val="0"/>
        </w:rPr>
        <w:t>Контактное лицо: Никулина Анна Петровна.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567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cs="Times New Roman" w:ascii="Times New Roman" w:hAnsi="Times New Roman"/>
          <w:spacing w:val="-2"/>
          <w:kern w:val="0"/>
        </w:rPr>
        <w:t>Стороны договорились о возможности использовать для подписания Договора и документов, необходимых для его заключения и исполнения, квалифицированные электронные подписи сторон (или их уполномоченных представителей), условия признания которых установлены Федеральным законом от 06.04.2011 № 63-ФЗ «Об электронной подписи». Обмен документами в электронном 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законодательства, действующий на дату отправки документа. Документы в электронной форме, подписанные квалифицированной электронной подписью, приравниваются к бумажным документам с собственноручной подписью и печатью. Их направление в бумажном виде не требуется. По требованию одной из сторон вышеуказанные документы могут быть составлены в двух экземплярах, идентичных по содержанию и имеющих равную юридическую силу, по одному для каждой из сторон.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567" w:leader="none"/>
        </w:tabs>
        <w:spacing w:lineRule="auto" w:line="276" w:before="0" w:after="120"/>
        <w:ind w:hanging="0" w:left="0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cs="Times New Roman" w:ascii="Times New Roman" w:hAnsi="Times New Roman"/>
          <w:spacing w:val="-2"/>
          <w:kern w:val="0"/>
        </w:rPr>
        <w:t>В части, не урегулированной настоящим Договором, Стороны руководствуются законодательством Российской Федерации.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426" w:leader="none"/>
        </w:tabs>
        <w:spacing w:lineRule="auto" w:line="276" w:before="0" w:after="60"/>
        <w:ind w:hanging="0" w:left="0"/>
        <w:jc w:val="center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Разрешение споров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567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Стороны будут прилагать все усилия к тому, чтобы разрешать возникающие разногласия и споры, связанные с исполнением настоящего Договора, путем переговоров.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567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 случае не достижения согласия в результате переговоров, указанные разногласия и спорные вопросы разрешаются в претензионном (досудебном) порядке.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567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Сторона, выдвинувшая требование, направляет другой Стороне мотивированную претензию в письменной форме. Другая Сторона обязуется рассмотреть такую претензию и направить ответ на нее в течение 10 (десяти) календарных дней с момента ее получения.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567" w:leader="none"/>
        </w:tabs>
        <w:spacing w:lineRule="auto" w:line="276" w:before="0" w:after="12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 случае отклонения претензии полностью или частично, либо неполучения Стороной, направившей претензию, ответа на нее в установленный п. 10.3 настоящего Договора срок для ее рассмотрения, Сторона, направившая претензию, вправе обратиться в Арбитражный суд г. Москвы в соответствии с действующим законодательством Российской Федерации.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426" w:leader="none"/>
        </w:tabs>
        <w:spacing w:lineRule="auto" w:line="276" w:before="0" w:after="60"/>
        <w:ind w:hanging="0" w:left="0"/>
        <w:jc w:val="center"/>
        <w:rPr>
          <w:rFonts w:ascii="Times New Roman" w:hAnsi="Times New Roman" w:cs="Times New Roman"/>
          <w:spacing w:val="-2"/>
          <w:kern w:val="0"/>
        </w:rPr>
      </w:pPr>
      <w:r>
        <w:rPr>
          <w:rFonts w:cs="Times New Roman" w:ascii="Times New Roman" w:hAnsi="Times New Roman"/>
          <w:b/>
          <w:bCs/>
          <w:color w:val="1A1A1A"/>
          <w:kern w:val="0"/>
        </w:rPr>
        <w:t>Рекламная оговорка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567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2"/>
          <w:kern w:val="0"/>
        </w:rPr>
        <w:t>Стороны особо оговаривают и соглашаются с тем, что при исполнении обязательств, предусмотренных настоящим Договором, в случае размещения рекламных и/или иных материалов, ответственность за содержание таких материалов, в полной мере, лежит на Сублицензиате. Лицензиат, в рамках настоящего договора не проверяет достоверность и достаточность сведений, размещаемых в качестве рекламы, и не производит экспертную оценку на соответствие размещаемым материалам требованиям, установленным Федеральным законом «О рекламе».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567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 xml:space="preserve">При размещении Журнала на домене зоны </w:t>
      </w:r>
      <w:r>
        <w:rPr>
          <w:rFonts w:cs="Times New Roman" w:ascii="Times New Roman" w:hAnsi="Times New Roman"/>
          <w:kern w:val="0"/>
          <w:lang w:val="en-US"/>
        </w:rPr>
        <w:t>elpub</w:t>
      </w:r>
      <w:r>
        <w:rPr>
          <w:rFonts w:cs="Times New Roman" w:ascii="Times New Roman" w:hAnsi="Times New Roman"/>
          <w:kern w:val="0"/>
        </w:rPr>
        <w:t>.</w:t>
      </w:r>
      <w:r>
        <w:rPr>
          <w:rFonts w:cs="Times New Roman" w:ascii="Times New Roman" w:hAnsi="Times New Roman"/>
          <w:kern w:val="0"/>
          <w:lang w:val="en-US"/>
        </w:rPr>
        <w:t>ru</w:t>
      </w:r>
      <w:r>
        <w:rPr>
          <w:rFonts w:cs="Times New Roman" w:ascii="Times New Roman" w:hAnsi="Times New Roman"/>
          <w:kern w:val="0"/>
        </w:rPr>
        <w:t>, домен считается делегированным Сублицензиату и вся ответственность за содержание размещенных на нем материалов, в полной мере лежит на Сублицензиате.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567" w:leader="none"/>
        </w:tabs>
        <w:spacing w:lineRule="auto" w:line="276" w:before="0" w:after="0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Сублицензиат гарантирует, что является обладателем всех исключительных прав, необходимых для использования рекламных сообщений и/или материалов для их создания. Сублицензиат также гарантирует, что рекламные сообщения не нарушают личных неимущественных прав физических лиц (право на изображение, право на частную жизнь и т.п.) и прав авторов (право на авторство, право автора на имя, право на неприкосновенность произведения и защита его от искажений и т.п.). В случае предъявления к Лицензиату претензий и исков, связанных с нарушением Сублицензиатом вышеперечисленных гарантий, Сублицензиат обязуется принять участие в рассмотрении таких претензий и исков в качестве соответчика, принять все меры для исключения Лицензиата из числа ответчиков по такому иску, возместить Лицензиату все причиненные такими претензиями и/или исками убытки, включая расходы на оказание юридической помощи.</w:t>
      </w:r>
    </w:p>
    <w:p>
      <w:pPr>
        <w:pStyle w:val="Normal"/>
        <w:widowControl w:val="false"/>
        <w:numPr>
          <w:ilvl w:val="1"/>
          <w:numId w:val="5"/>
        </w:numPr>
        <w:tabs>
          <w:tab w:val="clear" w:pos="720"/>
          <w:tab w:val="left" w:pos="567" w:leader="none"/>
        </w:tabs>
        <w:spacing w:lineRule="auto" w:line="276"/>
        <w:ind w:hanging="0" w:left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Сублицензиат самостоятельно несет ответственность за нарушения законодательства о рекламе, указанные в ч. 6 ст. 38 Федерального Закона «О рекламе».</w:t>
      </w:r>
    </w:p>
    <w:p>
      <w:pPr>
        <w:pStyle w:val="Normal"/>
        <w:widowControl w:val="false"/>
        <w:spacing w:lineRule="auto" w:line="276" w:before="0" w:after="120"/>
        <w:jc w:val="center"/>
        <w:rPr>
          <w:rFonts w:ascii="Times New Roman" w:hAnsi="Times New Roman" w:cs="Times New Roman"/>
          <w:b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12. Адреса и реквизиты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60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cs="Times New Roman" w:ascii="Times New Roman" w:hAnsi="Times New Roman"/>
                <w:b/>
                <w:kern w:val="0"/>
              </w:rPr>
              <w:t>Лицензиат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Times New Roman" w:ascii="Times New Roman" w:hAnsi="Times New Roman"/>
                <w:b/>
                <w:kern w:val="0"/>
              </w:rPr>
              <w:t>Сублицензиат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cs="Times New Roman" w:ascii="Times New Roman" w:hAnsi="Times New Roman"/>
                <w:b/>
                <w:kern w:val="0"/>
              </w:rPr>
              <w:t>Общество с ограниченной ответственностью «НЭИКОН ИСП»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Times New Roman" w:ascii="Times New Roman" w:hAnsi="Times New Roman"/>
                <w:b/>
                <w:kern w:val="0"/>
              </w:rPr>
              <w:t>ФБУ РФЦСЭ имени профессора А.Р. Шляхова при Минюсте России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ИНН 7701370595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КПП 770501001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ОГРН 1137746832134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ОКПО 18431580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Адрес: 115114, г. Москва, ул. Летниковская, д. 4, стр. 5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р/с 40702810101270007016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в банке ООО «Банк Точка»,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БИК 044525104,</w:t>
            </w:r>
          </w:p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Times New Roman" w:ascii="Times New Roman" w:hAnsi="Times New Roman"/>
                <w:kern w:val="0"/>
              </w:rPr>
              <w:t>к/с 30101810745374525104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Юридический адрес: 101000, г. Москва, Большой Спасоглинищевский пер., д 4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Для корреспонденции:109044, г. Москва,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4-й Крутицкий переулок, д. 10, стр. 1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ИНН 7704055136 КПП 770901001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ОГРН 1027700335849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л/с 20736Ц37040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р/с 03214643000000017300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к/сч 40102810545370000003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Банк получателя ОКЦ №1 ГУ Банка России по ЦФО//УФК по г. Москве г. Москва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КБК 00000000000000000130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БИК 004525988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ОКТМО 45375000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ОКПО 02844624, ОКВЭД 71.20.2, ОКФС 12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ОКОГУ 13180000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Тел. +7 (951) 617-10-91</w:t>
            </w:r>
          </w:p>
          <w:p>
            <w:pPr>
              <w:pStyle w:val="Normal"/>
              <w:widowControl w:val="false"/>
              <w:spacing w:lineRule="auto" w:line="276" w:before="0" w:after="60"/>
              <w:rPr>
                <w:rFonts w:ascii="Times New Roman" w:hAnsi="Times New Roman" w:cs="Times New Roman"/>
                <w:kern w:val="0"/>
              </w:rPr>
            </w:pPr>
            <w:r>
              <w:rPr>
                <w:rFonts w:cs="Times New Roman" w:ascii="Times New Roman" w:hAnsi="Times New Roman"/>
                <w:kern w:val="0"/>
              </w:rPr>
              <w:t>Е-</w:t>
            </w:r>
            <w:r>
              <w:rPr>
                <w:rFonts w:cs="Times New Roman" w:ascii="Times New Roman" w:hAnsi="Times New Roman"/>
                <w:kern w:val="0"/>
                <w:lang w:val="en-US"/>
              </w:rPr>
              <w:t>mail</w:t>
            </w:r>
            <w:r>
              <w:rPr>
                <w:rFonts w:cs="Times New Roman" w:ascii="Times New Roman" w:hAnsi="Times New Roman"/>
                <w:kern w:val="0"/>
              </w:rPr>
              <w:t xml:space="preserve">: </w:t>
            </w:r>
            <w:r>
              <w:rPr>
                <w:rFonts w:cs="Times New Roman" w:ascii="Times New Roman" w:hAnsi="Times New Roman"/>
                <w:kern w:val="0"/>
                <w:lang w:val="en-US"/>
              </w:rPr>
              <w:t>tipse</w:t>
            </w:r>
            <w:r>
              <w:rPr>
                <w:rFonts w:cs="Times New Roman" w:ascii="Times New Roman" w:hAnsi="Times New Roman"/>
                <w:kern w:val="0"/>
              </w:rPr>
              <w:t>@</w:t>
            </w:r>
            <w:r>
              <w:rPr>
                <w:rFonts w:cs="Times New Roman" w:ascii="Times New Roman" w:hAnsi="Times New Roman"/>
                <w:kern w:val="0"/>
                <w:lang w:val="en-US"/>
              </w:rPr>
              <w:t>sudexpert</w:t>
            </w:r>
            <w:r>
              <w:rPr>
                <w:rFonts w:cs="Times New Roman" w:ascii="Times New Roman" w:hAnsi="Times New Roman"/>
                <w:kern w:val="0"/>
              </w:rPr>
              <w:t>.</w:t>
            </w:r>
            <w:r>
              <w:rPr>
                <w:rFonts w:cs="Times New Roman" w:ascii="Times New Roman" w:hAnsi="Times New Roman"/>
                <w:kern w:val="0"/>
                <w:lang w:val="en-US"/>
              </w:rPr>
              <w:t>ru</w:t>
            </w:r>
            <w:r>
              <w:rPr>
                <w:rFonts w:cs="Times New Roman" w:ascii="Times New Roman" w:hAnsi="Times New Roman"/>
                <w:kern w:val="0"/>
              </w:rPr>
              <w:t xml:space="preserve">, </w:t>
            </w:r>
            <w:r>
              <w:rPr>
                <w:rFonts w:cs="Times New Roman" w:ascii="Times New Roman" w:hAnsi="Times New Roman"/>
                <w:kern w:val="0"/>
                <w:lang w:val="en-US"/>
              </w:rPr>
              <w:t>e</w:t>
            </w:r>
            <w:r>
              <w:rPr>
                <w:rFonts w:cs="Times New Roman" w:ascii="Times New Roman" w:hAnsi="Times New Roman"/>
                <w:kern w:val="0"/>
              </w:rPr>
              <w:t>.</w:t>
            </w:r>
            <w:r>
              <w:rPr>
                <w:rFonts w:cs="Times New Roman" w:ascii="Times New Roman" w:hAnsi="Times New Roman"/>
                <w:kern w:val="0"/>
                <w:lang w:val="en-US"/>
              </w:rPr>
              <w:t>murko</w:t>
            </w:r>
            <w:r>
              <w:rPr>
                <w:rFonts w:cs="Times New Roman" w:ascii="Times New Roman" w:hAnsi="Times New Roman"/>
                <w:kern w:val="0"/>
              </w:rPr>
              <w:t>@</w:t>
            </w:r>
            <w:r>
              <w:rPr>
                <w:rFonts w:cs="Times New Roman" w:ascii="Times New Roman" w:hAnsi="Times New Roman"/>
                <w:kern w:val="0"/>
                <w:lang w:val="en-US"/>
              </w:rPr>
              <w:t>sudexpert</w:t>
            </w:r>
            <w:r>
              <w:rPr>
                <w:rFonts w:cs="Times New Roman" w:ascii="Times New Roman" w:hAnsi="Times New Roman"/>
                <w:kern w:val="0"/>
              </w:rPr>
              <w:t>.</w:t>
            </w:r>
            <w:r>
              <w:rPr>
                <w:rFonts w:cs="Times New Roman" w:ascii="Times New Roman" w:hAnsi="Times New Roman"/>
                <w:kern w:val="0"/>
                <w:lang w:val="en-US"/>
              </w:rPr>
              <w:t>ru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Times New Roman" w:ascii="Times New Roman" w:hAnsi="Times New Roman"/>
                <w:kern w:val="0"/>
              </w:rPr>
              <w:t>От имени Лицензиата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/>
            </w:pPr>
            <w:r>
              <w:rPr>
                <w:rFonts w:cs="Times New Roman" w:ascii="Times New Roman" w:hAnsi="Times New Roman"/>
                <w:kern w:val="0"/>
              </w:rPr>
              <w:t>От имени Сублицензиата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240" w:after="0"/>
              <w:rPr/>
            </w:pPr>
            <w:r>
              <w:rPr>
                <w:rFonts w:cs="Times New Roman" w:ascii="Times New Roman" w:hAnsi="Times New Roman"/>
                <w:kern w:val="0"/>
              </w:rPr>
              <w:t>______________ / Кутявина М.А. /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240" w:after="0"/>
              <w:rPr/>
            </w:pPr>
            <w:r>
              <w:rPr>
                <w:rFonts w:cs="Times New Roman" w:ascii="Times New Roman" w:hAnsi="Times New Roman"/>
                <w:kern w:val="0"/>
              </w:rPr>
              <w:t>______________ / Мамонтов А.В. /</w:t>
            </w:r>
          </w:p>
        </w:tc>
      </w:tr>
    </w:tbl>
    <w:p>
      <w:pPr>
        <w:pStyle w:val="Normal"/>
        <w:widowControl w:val="false"/>
        <w:spacing w:lineRule="auto" w:line="276" w:before="0" w:after="0"/>
        <w:rPr>
          <w:rFonts w:ascii="Times New Roman" w:hAnsi="Times New Roman" w:cs="Times New Roman"/>
          <w:b/>
          <w:bCs/>
          <w:kern w:val="0"/>
        </w:rPr>
      </w:pPr>
      <w:r>
        <w:rPr>
          <w:rFonts w:cs="Times New Roman" w:ascii="Times New Roman" w:hAnsi="Times New Roman"/>
          <w:b/>
          <w:bCs/>
          <w:kern w:val="0"/>
        </w:rPr>
      </w:r>
      <w:r>
        <w:br w:type="page"/>
      </w:r>
    </w:p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Приложение</w:t>
      </w:r>
      <w:r>
        <w:rPr>
          <w:rFonts w:cs="Times New Roman" w:ascii="Times New Roman" w:hAnsi="Times New Roman"/>
          <w:b/>
          <w:bCs/>
          <w:kern w:val="0"/>
          <w:lang w:val="en-US"/>
        </w:rPr>
        <w:t> </w:t>
      </w:r>
      <w:r>
        <w:rPr>
          <w:rFonts w:cs="Times New Roman" w:ascii="Times New Roman" w:hAnsi="Times New Roman"/>
          <w:b/>
          <w:bCs/>
          <w:kern w:val="0"/>
        </w:rPr>
        <w:t>№1</w:t>
      </w:r>
    </w:p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к Сублицензионному договору № Elp-s 60-2026</w:t>
      </w:r>
    </w:p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от «____» ______________ 2026 г.</w:t>
      </w:r>
    </w:p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заключенному между ООО «НЭИКОН ИСП»</w:t>
      </w:r>
    </w:p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b/>
          <w:kern w:val="0"/>
        </w:rPr>
      </w:pPr>
      <w:r>
        <w:rPr>
          <w:rFonts w:cs="Times New Roman" w:ascii="Times New Roman" w:hAnsi="Times New Roman"/>
          <w:kern w:val="0"/>
        </w:rPr>
        <w:t>и ФБУ РФЦСЭ имени профессора А.Р. Шляхова при Минюсте России</w:t>
      </w:r>
    </w:p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b/>
          <w:kern w:val="0"/>
        </w:rPr>
      </w:pPr>
      <w:r>
        <w:rPr>
          <w:rFonts w:cs="Times New Roman" w:ascii="Times New Roman" w:hAnsi="Times New Roman"/>
          <w:b/>
          <w:kern w:val="0"/>
        </w:rPr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b/>
          <w:kern w:val="0"/>
        </w:rPr>
      </w:pPr>
      <w:r>
        <w:rPr>
          <w:rFonts w:cs="Times New Roman" w:ascii="Times New Roman" w:hAnsi="Times New Roman"/>
          <w:b/>
          <w:kern w:val="0"/>
        </w:rPr>
        <w:t>Перечень лицензий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b/>
          <w:kern w:val="0"/>
        </w:rPr>
      </w:pPr>
      <w:r>
        <w:rPr>
          <w:rFonts w:cs="Times New Roman" w:ascii="Times New Roman" w:hAnsi="Times New Roman"/>
          <w:b/>
          <w:kern w:val="0"/>
        </w:rPr>
      </w:r>
    </w:p>
    <w:tbl>
      <w:tblPr>
        <w:tblW w:w="4950" w:type="pct"/>
        <w:jc w:val="left"/>
        <w:tblInd w:w="0" w:type="dxa"/>
        <w:tblLayout w:type="fixed"/>
        <w:tblCellMar>
          <w:top w:w="27" w:type="dxa"/>
          <w:left w:w="27" w:type="dxa"/>
          <w:bottom w:w="27" w:type="dxa"/>
          <w:right w:w="27" w:type="dxa"/>
        </w:tblCellMar>
        <w:tblLook w:val="0000" w:noHBand="0" w:noVBand="0" w:firstColumn="0" w:lastRow="0" w:lastColumn="0" w:firstRow="0"/>
      </w:tblPr>
      <w:tblGrid>
        <w:gridCol w:w="409"/>
        <w:gridCol w:w="4297"/>
        <w:gridCol w:w="1610"/>
        <w:gridCol w:w="1424"/>
        <w:gridCol w:w="1800"/>
      </w:tblGrid>
      <w:tr>
        <w:trPr/>
        <w:tc>
          <w:tcPr>
            <w:tcW w:w="4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Наименование Лицензии: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Дата начала пользования Лицензией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Срок пользования Лицензией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Стоимость Лицензии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(в т.ч. 5% НДС), рублей</w:t>
            </w:r>
          </w:p>
        </w:tc>
      </w:tr>
      <w:tr>
        <w:trPr/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Лицензия ELPUB</w:t>
            </w:r>
          </w:p>
          <w:p>
            <w:pPr>
              <w:pStyle w:val="Normal"/>
              <w:suppressLineNumbers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Журнал: «Теория и практика судебной экспертизы»</w:t>
            </w:r>
          </w:p>
          <w:p>
            <w:pPr>
              <w:pStyle w:val="Normal"/>
              <w:suppressLineNumbers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ISSN: 1819-2785 (Print)</w:t>
            </w:r>
          </w:p>
          <w:p>
            <w:pPr>
              <w:pStyle w:val="Normal"/>
              <w:suppressLineNumbers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2587-7275 (Online)</w:t>
            </w:r>
          </w:p>
          <w:p>
            <w:pPr>
              <w:pStyle w:val="Normal"/>
              <w:suppressLineNumbers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Количество выпусков: 4</w:t>
            </w:r>
          </w:p>
          <w:p>
            <w:pPr>
              <w:pStyle w:val="Normal"/>
              <w:suppressLineNumbers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Количество статей в выпуске: 20–25</w:t>
            </w:r>
          </w:p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Адрес служебного домена: tipse.ru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</w:rPr>
              <w:t>С даты заключения договора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</w:rPr>
              <w:t>27.03.2027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14</w:t>
            </w:r>
            <w:r>
              <w:rPr>
                <w:rFonts w:cs="Times New Roman" w:ascii="Times New Roman" w:hAnsi="Times New Roman"/>
                <w:lang w:val="en-US"/>
              </w:rPr>
              <w:t>7</w:t>
            </w:r>
            <w:r>
              <w:rPr>
                <w:rFonts w:cs="Times New Roman" w:ascii="Times New Roman" w:hAnsi="Times New Roman"/>
              </w:rPr>
              <w:t> </w:t>
            </w:r>
            <w:r>
              <w:rPr>
                <w:rFonts w:cs="Times New Roman" w:ascii="Times New Roman" w:hAnsi="Times New Roman"/>
                <w:lang w:val="en-US"/>
              </w:rPr>
              <w:t>00</w:t>
            </w: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/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LineNumbers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Всего: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14</w:t>
            </w:r>
            <w:r>
              <w:rPr>
                <w:rFonts w:cs="Times New Roman" w:ascii="Times New Roman" w:hAnsi="Times New Roman"/>
                <w:lang w:val="en-US"/>
              </w:rPr>
              <w:t>7</w:t>
            </w:r>
            <w:r>
              <w:rPr>
                <w:rFonts w:cs="Times New Roman" w:ascii="Times New Roman" w:hAnsi="Times New Roman"/>
              </w:rPr>
              <w:t> </w:t>
            </w:r>
            <w:r>
              <w:rPr>
                <w:rFonts w:cs="Times New Roman" w:ascii="Times New Roman" w:hAnsi="Times New Roman"/>
                <w:lang w:val="en-US"/>
              </w:rPr>
              <w:t>00</w:t>
            </w:r>
            <w:r>
              <w:rPr>
                <w:rFonts w:cs="Times New Roman" w:ascii="Times New Roman" w:hAnsi="Times New Roman"/>
              </w:rPr>
              <w:t>0,00</w:t>
            </w:r>
          </w:p>
        </w:tc>
      </w:tr>
    </w:tbl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b/>
          <w:kern w:val="0"/>
        </w:rPr>
      </w:pPr>
      <w:r>
        <w:rPr>
          <w:rFonts w:cs="Times New Roman" w:ascii="Times New Roman" w:hAnsi="Times New Roman"/>
          <w:b/>
          <w:kern w:val="0"/>
        </w:rPr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cs="Times New Roman" w:ascii="Times New Roman" w:hAnsi="Times New Roman"/>
          <w:spacing w:val="-2"/>
          <w:kern w:val="0"/>
        </w:rPr>
        <w:t>Общая стоимость по Договору: 147 000,00 (Сто сорок семь тысяч) рублей 00 копеек, в том числе НДС (5%) в размере 7 000,00 (Семь тысяч) рублей 00 копеек, на основании пп. 1 п. 8 ст. 164 НК РФ.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cs="Times New Roman" w:ascii="Times New Roman" w:hAnsi="Times New Roman"/>
          <w:spacing w:val="-2"/>
          <w:kern w:val="0"/>
        </w:rPr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Подписи сторон: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От имени Лицензиата</w:t>
        <w:tab/>
        <w:tab/>
        <w:tab/>
        <w:tab/>
        <w:tab/>
        <w:t>От имени Сублицензиата 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________________ Кутявина М.А.</w:t>
        <w:tab/>
        <w:tab/>
        <w:tab/>
        <w:t>________________ Мамонтов А.В.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</w:r>
      <w:r>
        <w:br w:type="page"/>
      </w:r>
    </w:p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Приложение</w:t>
      </w:r>
      <w:r>
        <w:rPr>
          <w:rFonts w:cs="Times New Roman" w:ascii="Times New Roman" w:hAnsi="Times New Roman"/>
          <w:b/>
          <w:bCs/>
          <w:kern w:val="0"/>
          <w:lang w:val="en-US"/>
        </w:rPr>
        <w:t> </w:t>
      </w:r>
      <w:r>
        <w:rPr>
          <w:rFonts w:cs="Times New Roman" w:ascii="Times New Roman" w:hAnsi="Times New Roman"/>
          <w:b/>
          <w:bCs/>
          <w:kern w:val="0"/>
        </w:rPr>
        <w:t>№2</w:t>
      </w:r>
    </w:p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к Сублицензионному договору № Elp-s 60-2026</w:t>
      </w:r>
    </w:p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от «____» ______________ 2026 г</w:t>
      </w:r>
    </w:p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заключенному между ООО «НЭИКОН ИСП»</w:t>
      </w:r>
    </w:p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и ФБУ РФЦСЭ имени профессора А.Р.</w:t>
      </w:r>
      <w:r>
        <w:rPr>
          <w:rFonts w:cs="Times New Roman" w:ascii="Times New Roman" w:hAnsi="Times New Roman"/>
          <w:kern w:val="0"/>
          <w:lang w:val="en-US"/>
        </w:rPr>
        <w:t> </w:t>
      </w:r>
      <w:r>
        <w:rPr>
          <w:rFonts w:cs="Times New Roman" w:ascii="Times New Roman" w:hAnsi="Times New Roman"/>
          <w:kern w:val="0"/>
        </w:rPr>
        <w:t>Шляхова при Минюсте России</w:t>
      </w:r>
    </w:p>
    <w:p>
      <w:pPr>
        <w:pStyle w:val="Normal"/>
        <w:widowControl w:val="false"/>
        <w:spacing w:lineRule="auto" w:line="276" w:before="0" w:after="0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</w:r>
    </w:p>
    <w:p>
      <w:pPr>
        <w:pStyle w:val="Normal"/>
        <w:widowControl w:val="false"/>
        <w:spacing w:lineRule="auto" w:line="276" w:before="0" w:after="12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Функциональные свойства Программы «</w:t>
      </w:r>
      <w:r>
        <w:rPr>
          <w:rFonts w:cs="Times New Roman" w:ascii="Times New Roman" w:hAnsi="Times New Roman"/>
          <w:b/>
          <w:bCs/>
          <w:kern w:val="0"/>
          <w:lang w:val="en-US"/>
        </w:rPr>
        <w:t>Elpub</w:t>
      </w:r>
      <w:r>
        <w:rPr>
          <w:rFonts w:cs="Times New Roman" w:ascii="Times New Roman" w:hAnsi="Times New Roman"/>
          <w:b/>
          <w:bCs/>
          <w:kern w:val="0"/>
        </w:rPr>
        <w:t xml:space="preserve"> – Платформа двуязычного сайта и электронной редакции для научного журнала»: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Многоязычный сайт научно-практического рецензируемого журнала по требованиям и в соответствии с общепринятыми издательскими правилами и стандартами;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присвоения доменного имени заказчика;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Адаптивный дизайн, гармоничное отображение на всех без исключения устройствах;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Инфраструктура электронной редакции;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Уникальный дизайн шапки сайта научного журнала;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Интегрированное API платежных систем Юкасса, Сбер, Робокасса для обработки входящих платежей (подписки, прочие платежи);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интеграции с Neicon Pay;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публикации обновлённого служебного контента (редколлегия, редсовет, описания и пр.) на протяжении всего действия Договора;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загрузки свежих выпусков (номеров) журнала и хранение полнотекстового архива на всех языках журнала;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демонстрации как текстового, так и мультимедийного контента;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размещения дополнительных материалов к статьям;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перехода на электронный документооборот в рамках встроенного функционала электронной редакции с e-mail уведомлениями участников процесса на всех этапах;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Обеспечение возможности автоматического формирования статистической отчетности по заданным показателям (количество поступивших материалов, количество отклоненных статей, количество принятых к опубликованию статей);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Доступ ко всем функциям редакционной коллегии с компьютера путем авторизации в личном кабинете на сайте журнала;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Наличие предустановленного шаблона рецензирования (может адаптироваться под издание), который позволяет провести рецензирование статьи по базовым параметрам в максимально сжатые сроки;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 xml:space="preserve">Возможность отображения всех метаданных статей на выбранных языках журнала (название статьи, информация об авторе, аннотация, ключевые слова, включая ссылки);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Технологическое обеспечение работоспособности системы (работоспособность сервера, платформы, установка обновлений и пр. технические детали);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интеграции с системой проверки на заимствования - при использовании электронной редакции;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отображения полного текста статьи в формате html на странице с метаданными;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Интеграция разметки Open graph, Highwire Press, Dublin core для качественной индексации поисковыми агрегаторами и корректного отображения превью статей в социальных сетях и мессенджерах;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Поддержка импорта размещенных ранее выпусков научного журнала из текущего и раннего (до 2010 года) формата eLIBRARY;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отправки рецензий в РИНЦ (Российский индекс научного цитирования);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отображения числа просмотров полных текстов на странице статьи;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добавления XML-файла (</w:t>
      </w:r>
      <w:r>
        <w:rPr>
          <w:rFonts w:cs="Times New Roman" w:ascii="Times New Roman" w:hAnsi="Times New Roman"/>
          <w:kern w:val="0"/>
          <w:lang w:val="en-US"/>
        </w:rPr>
        <w:t>Ex</w:t>
      </w:r>
      <w:r>
        <w:rPr>
          <w:rFonts w:cs="Times New Roman" w:ascii="Times New Roman" w:hAnsi="Times New Roman"/>
          <w:kern w:val="0"/>
        </w:rPr>
        <w:t>tensible Markup Language – расширяемый язык разметки) для размеченных статей;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отображения рецензии на странице статьи;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отображения блоков «Популярные статьи» и «Выбор редакции»;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cs="Times New Roman" w:ascii="Times New Roman" w:hAnsi="Times New Roman"/>
          <w:kern w:val="0"/>
        </w:rPr>
        <w:t>Возможность экспорта в CNKI (China National Knowledge Infrastructure – китайскую полнотекстовую реферативную базу);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spacing w:val="-4"/>
          <w:kern w:val="0"/>
        </w:rPr>
        <w:t>Возможность передачи информации о выпусках журналов в ИС «Метафора» в формате JATS XML;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Наличие поля ORCID (Open Researcher and Contributor ID – открытый идентификационный номер ученого) в форме регистрации пользователя;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оформления расширенного содержания и формирования графического содержания выпусков;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автоматического поиска статей по метаданным и полным текстам;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Обеспечение выгрузки формата XML для портала РНЖ (Российские научные журналы)/ВАК (Высшая аттестационная комиссия), РусМед, DOAJ, Portico, Pubmed;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интеграции с Cross</w:t>
      </w:r>
      <w:r>
        <w:rPr>
          <w:rFonts w:cs="Times New Roman" w:ascii="Times New Roman" w:hAnsi="Times New Roman"/>
          <w:kern w:val="0"/>
          <w:lang w:val="en-US"/>
        </w:rPr>
        <w:t>R</w:t>
      </w:r>
      <w:r>
        <w:rPr>
          <w:rFonts w:cs="Times New Roman" w:ascii="Times New Roman" w:hAnsi="Times New Roman"/>
          <w:kern w:val="0"/>
        </w:rPr>
        <w:t>ef и регистрации DOI (При наличии у заказчика действующего договора с PILA/Cross</w:t>
      </w:r>
      <w:r>
        <w:rPr>
          <w:rFonts w:cs="Times New Roman" w:ascii="Times New Roman" w:hAnsi="Times New Roman"/>
          <w:kern w:val="0"/>
          <w:lang w:val="en-US"/>
        </w:rPr>
        <w:t>R</w:t>
      </w:r>
      <w:r>
        <w:rPr>
          <w:rFonts w:cs="Times New Roman" w:ascii="Times New Roman" w:hAnsi="Times New Roman"/>
          <w:kern w:val="0"/>
        </w:rPr>
        <w:t>ef);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Наличие расширенных поисковых механизмов (прямой поиск, поиск с учётом фильтров, поиск по метаданным, полнотекстовый поиск, поиск по словоформам, всплывающие подсказки, фильтрация поиска по авторам, датам публикации и др. критериям);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Наличие системы статистики (по выпускам, статья, рецензиям, рукописям);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Наличие модуля быстрой публикации;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Наличие возможности формировать отчеты (отчеты о рецензентах, о статьях, о просмотрах);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Наличие необходимого пространства в целях обработки и хранения данных, вводимых с использованием ПО;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Интеграция с Яндекс.Метрика, включая контентную аналитику;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использования встроенных базовых шаблонов текстов ключевых политик;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Наличие модуля быстрого рецензирования;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выделения пунктов научной новизны (highlights);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размещения баннеров, информации, рекламных материалов;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размещения раздела Принято в печать (Online-first);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подписки на уведомления;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формирования RSS-канала статей журнала;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формирования QR-кода ссылки на статью;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Поддержка по всем вопросам, возникающим в процессе работы с системой;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размещения новых выпусков журнала;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размещения журнала в индексных базах и каталогах;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Возможность размещения архивных выпусков журнала;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Поддержка по вопросам размещения архивных выпусков журнала;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Доступ к базе знаний Elpub.Образование (с логином ответственного лица);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76" w:before="0" w:after="0"/>
        <w:ind w:hanging="284" w:left="284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cs="Times New Roman" w:ascii="Times New Roman" w:hAnsi="Times New Roman"/>
          <w:kern w:val="0"/>
        </w:rPr>
        <w:t>Поддерживаемые языки платформы – Русский, Английский, Белорусский, Казахский, Узбекский, Испанский, Китайский, Персидский.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cs="Times New Roman" w:ascii="Times New Roman" w:hAnsi="Times New Roman"/>
          <w:spacing w:val="-4"/>
          <w:kern w:val="0"/>
        </w:rPr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Подписи сторон: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От имени Лицензиата</w:t>
        <w:tab/>
        <w:tab/>
        <w:tab/>
        <w:tab/>
        <w:tab/>
        <w:t>От имени Сублицензиата 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kern w:val="0"/>
        </w:rPr>
        <w:t>________________ Кутявина М.А.</w:t>
        <w:tab/>
        <w:tab/>
        <w:tab/>
        <w:t>________________ Мамонтов А.В.</w:t>
      </w:r>
      <w:bookmarkStart w:id="2" w:name="_GoBack"/>
      <w:bookmarkEnd w:id="2"/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18" w:right="851" w:gutter="0" w:header="720" w:top="1134" w:footer="0" w:bottom="1134"/>
      <w:pgNumType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PT Astra Serif">
    <w:charset w:val="01"/>
    <w:family w:val="roman"/>
    <w:pitch w:val="default"/>
  </w:font>
  <w:font w:name="TildaSans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11</w:t>
    </w:r>
    <w:r>
      <w:rPr>
        <w:rFonts w:cs="Times New Roman"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2"/>
      <w:numFmt w:val="bullet"/>
      <w:lvlText w:val="•"/>
      <w:lvlJc w:val="left"/>
      <w:pPr>
        <w:tabs>
          <w:tab w:val="num" w:pos="0"/>
        </w:tabs>
        <w:ind w:left="11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644" w:hanging="360"/>
      </w:pPr>
      <w:rPr>
        <w:dstrike w:val="false"/>
        <w:strike w:val="false"/>
        <w:b w:val="false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86" w:hanging="386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6" w:hanging="386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72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cs="Calibri" w:eastAsia="Times New Roman"/>
      <w:color w:val="auto"/>
      <w:kern w:val="2"/>
      <w:sz w:val="22"/>
      <w:szCs w:val="22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2z0" w:customStyle="1">
    <w:name w:val="WW8Num2z0"/>
    <w:qFormat/>
    <w:rPr>
      <w:rFonts w:ascii="Times New Roman" w:hAnsi="Times New Roman" w:eastAsia="Times New Roman" w:cs="Times New Roman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0" w:customStyle="1">
    <w:name w:val="WW8Num4z0"/>
    <w:qFormat/>
    <w:rPr/>
  </w:style>
  <w:style w:type="character" w:styleId="WW8Num7z0" w:customStyle="1">
    <w:name w:val="WW8Num7z0"/>
    <w:qFormat/>
    <w:rPr>
      <w:rFonts w:ascii="Times New Roman" w:hAnsi="Times New Roman" w:eastAsia="Times New Roman" w:cs="Times New Roman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b/>
    </w:rPr>
  </w:style>
  <w:style w:type="character" w:styleId="WW8Num8z1" w:customStyle="1">
    <w:name w:val="WW8Num8z1"/>
    <w:qFormat/>
    <w:rPr>
      <w:b w:val="false"/>
    </w:rPr>
  </w:style>
  <w:style w:type="character" w:styleId="WW8Num8z2" w:customStyle="1">
    <w:name w:val="WW8Num8z2"/>
    <w:qFormat/>
    <w:rPr/>
  </w:style>
  <w:style w:type="character" w:styleId="WW8Num9z0" w:customStyle="1">
    <w:name w:val="WW8Num9z0"/>
    <w:qFormat/>
    <w:rPr>
      <w:b/>
    </w:rPr>
  </w:style>
  <w:style w:type="character" w:styleId="WW8Num9z1" w:customStyle="1">
    <w:name w:val="WW8Num9z1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>
      <w:b/>
    </w:rPr>
  </w:style>
  <w:style w:type="character" w:styleId="2" w:customStyle="1">
    <w:name w:val="Основной шрифт абзаца2"/>
    <w:qFormat/>
    <w:rPr/>
  </w:style>
  <w:style w:type="character" w:styleId="1" w:customStyle="1">
    <w:name w:val="Основной шрифт абзаца1"/>
    <w:qFormat/>
    <w:rPr/>
  </w:style>
  <w:style w:type="character" w:styleId="Hyperlink">
    <w:name w:val="Hyperlink"/>
    <w:rPr>
      <w:color w:val="0563C1"/>
      <w:u w:val="single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Style14" w:customStyle="1">
    <w:name w:val="Верхний колонтитул Знак"/>
    <w:qFormat/>
    <w:rPr>
      <w:rFonts w:ascii="Calibri" w:hAnsi="Calibri" w:cs="Calibri"/>
      <w:kern w:val="2"/>
      <w:sz w:val="22"/>
      <w:szCs w:val="22"/>
      <w:lang w:eastAsia="zh-CN"/>
    </w:rPr>
  </w:style>
  <w:style w:type="character" w:styleId="Style15" w:customStyle="1">
    <w:name w:val="Нижний колонтитул Знак"/>
    <w:qFormat/>
    <w:rPr>
      <w:rFonts w:ascii="Calibri" w:hAnsi="Calibri" w:cs="Calibri"/>
      <w:kern w:val="2"/>
      <w:sz w:val="22"/>
      <w:szCs w:val="22"/>
      <w:lang w:eastAsia="zh-C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 w:customStyle="1">
    <w:name w:val="Заголовок2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22" w:customStyle="1">
    <w:name w:val="Указатель2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2" w:customStyle="1">
    <w:name w:val="Название объекта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3" w:customStyle="1">
    <w:name w:val="Указатель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ind w:firstLine="709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2"/>
      <w:lang w:eastAsia="zh-CN" w:val="ru-RU" w:bidi="ar-SA"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8d0f39"/>
    <w:pPr>
      <w:spacing w:before="0" w:after="160"/>
      <w:ind w:left="720"/>
      <w:contextualSpacing/>
    </w:pPr>
    <w:rPr/>
  </w:style>
  <w:style w:type="numbering" w:styleId="Style20" w:customStyle="1">
    <w:name w:val="Без списка"/>
    <w:uiPriority w:val="99"/>
    <w:semiHidden/>
    <w:unhideWhenUsed/>
    <w:qFormat/>
  </w:style>
  <w:style w:type="numbering" w:styleId="user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ipse@sudexpert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22EAA-EAD2-46B4-8759-D80CCDC8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LibreOffice/25.2.3.2$Linux_X86_64 LibreOffice_project/520$Build-2</Application>
  <AppVersion>15.0000</AppVersion>
  <Pages>11</Pages>
  <Words>4169</Words>
  <Characters>29515</Characters>
  <CharactersWithSpaces>33255</CharactersWithSpaces>
  <Paragraphs>283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2026-07-08T12:35:00Z</dcterms:created>
  <dc:creator>Кутявина Мария Андреевна</dc:creator>
  <dc:description/>
  <dc:language>ru-RU</dc:language>
  <cp:lastModifiedBy/>
  <cp:lastPrinted>2026-07-08T16:00:34Z</cp:lastPrinted>
  <dcterms:modified xsi:type="dcterms:W3CDTF">2026-07-08T16:22:41Z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