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 — Кузбасс, г. Кемерово</w:t>
      </w:r>
      <w:r>
        <w:rPr>
          <w:b/>
          <w:bCs/>
          <w:color w:val="000000"/>
        </w:rPr>
        <w:t xml:space="preserve">                                                                       </w:t>
      </w:r>
      <w:bookmarkStart w:id="0" w:name="_Hlk159928058"/>
      <w:r>
        <w:rPr>
          <w:b/>
          <w:bCs/>
          <w:color w:val="000000"/>
        </w:rPr>
        <w:t xml:space="preserve">                   </w:t>
      </w:r>
      <w:r>
        <w:rPr/>
        <w:t>« __» августа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«Заказчик», с одной стороны, _____________________, именуемый в дальнейшем «Поставщик», с другой стороны, в дальнейшем именуемые «Стороны/Сторона»,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1. Предмет </w:t>
      </w:r>
      <w:r>
        <w:rPr>
          <w:b/>
          <w:bCs/>
        </w:rPr>
        <w:t>Контракта</w:t>
      </w:r>
    </w:p>
    <w:p>
      <w:pPr>
        <w:pStyle w:val="Normal"/>
        <w:numPr>
          <w:ilvl w:val="0"/>
          <w:numId w:val="0"/>
        </w:numPr>
        <w:ind w:hanging="0" w:start="0"/>
        <w:jc w:val="both"/>
        <w:outlineLvl w:val="0"/>
        <w:rPr>
          <w:b/>
          <w:bCs/>
        </w:rPr>
      </w:pPr>
      <w:r>
        <w:rPr/>
        <w:t xml:space="preserve">1.1. Поставщик по настоящему </w:t>
      </w:r>
      <w:r>
        <w:rPr>
          <w:bCs/>
        </w:rPr>
        <w:t>Контракту</w:t>
      </w:r>
      <w:r>
        <w:rPr/>
        <w:t xml:space="preserve"> обязуется поставить товар: </w:t>
      </w:r>
      <w:r>
        <w:rPr>
          <w:b/>
          <w:bCs/>
        </w:rPr>
        <w:t>Комплектующие и расходные материалы для сантехники</w:t>
      </w:r>
      <w:r>
        <w:rPr/>
        <w:t xml:space="preserve"> 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jc w:val="both"/>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jc w:val="both"/>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jc w:val="both"/>
        <w:rPr/>
      </w:pPr>
      <w:r>
        <w:rPr>
          <w:lang w:val="ru-RU"/>
        </w:rPr>
        <w:t xml:space="preserve">2.4. </w:t>
      </w:r>
      <w:bookmarkStart w:id="2" w:name="_Hlk178155259"/>
      <w:r>
        <w:rPr>
          <w:lang w:val="ru-RU"/>
        </w:rPr>
        <w:t xml:space="preserve">Оплата по Контракту осуществляется путем безналичного расчета. Датой оплаты считается дата списания денежных средств со счета Заказчика. 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Pr>
          <w:bCs/>
          <w:lang w:val="ru-RU"/>
        </w:rPr>
        <w:t>Контракт</w:t>
      </w:r>
      <w:r>
        <w:rPr>
          <w:lang w:val="ru-RU"/>
        </w:rPr>
        <w:t>е счет Поставщика, несет Поставщик.</w:t>
      </w:r>
      <w:bookmarkEnd w:id="2"/>
    </w:p>
    <w:p>
      <w:pPr>
        <w:pStyle w:val="Normal"/>
        <w:jc w:val="both"/>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 xml:space="preserve">Контролировать ход поставки Товара, соблюдение срока поставки, проверять соответствие Товара условиям Контракта, Спецификации (Приложение № 1 к </w:t>
      </w:r>
      <w:r>
        <w:rPr>
          <w:sz w:val="20"/>
          <w:szCs w:val="20"/>
          <w:lang w:val="ru-RU"/>
        </w:rPr>
        <w:t>Контракт</w:t>
      </w:r>
      <w:r>
        <w:rPr>
          <w:lang w:val="ru-RU"/>
        </w:rPr>
        <w:t>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 xml:space="preserve">3.1.8. Предложить увеличить или уменьшить в процессе исполнения Контракта количество поставляемого Товара, предусмотренного </w:t>
      </w:r>
      <w:r>
        <w:rPr>
          <w:bCs/>
          <w:lang w:val="ru-RU"/>
        </w:rPr>
        <w:t>Контракт</w:t>
      </w:r>
      <w:r>
        <w:rPr>
          <w:lang w:val="ru-RU"/>
        </w:rPr>
        <w:t>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 xml:space="preserve">Заказчик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3.2.1.</w:t>
      </w:r>
      <w:r>
        <w:rPr/>
        <w:t> </w:t>
      </w:r>
      <w:r>
        <w:rPr>
          <w:lang w:val="ru-RU"/>
        </w:rPr>
        <w:t xml:space="preserve">Произвести оплату в соответствии с условиями </w:t>
      </w:r>
      <w:r>
        <w:rPr>
          <w:bCs/>
          <w:lang w:val="ru-RU"/>
        </w:rPr>
        <w:t>Контракт</w:t>
      </w:r>
      <w:r>
        <w:rPr>
          <w:lang w:val="ru-RU"/>
        </w:rPr>
        <w:t>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 xml:space="preserve">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w:t>
      </w:r>
      <w:r>
        <w:rPr>
          <w:bCs/>
          <w:lang w:val="ru-RU"/>
        </w:rPr>
        <w:t>Контракт</w:t>
      </w:r>
      <w:r>
        <w:rPr>
          <w:lang w:val="ru-RU"/>
        </w:rPr>
        <w:t xml:space="preserve">ом.  3.2.4 Требовать уплаты неустойки (штрафа, пени) в соответствии с разделом 8 </w:t>
      </w:r>
      <w:r>
        <w:rPr>
          <w:bCs/>
          <w:lang w:val="ru-RU"/>
        </w:rPr>
        <w:t>Контракт</w:t>
      </w:r>
      <w:r>
        <w:rPr>
          <w:lang w:val="ru-RU"/>
        </w:rPr>
        <w:t>а.</w:t>
      </w:r>
      <w:bookmarkEnd w:id="4"/>
    </w:p>
    <w:p>
      <w:pPr>
        <w:pStyle w:val="BodyTextIndent"/>
        <w:tabs>
          <w:tab w:val="clear" w:pos="708"/>
          <w:tab w:val="left" w:pos="0" w:leader="none"/>
        </w:tabs>
        <w:ind w:hanging="0"/>
        <w:rPr>
          <w:b/>
          <w:lang w:val="ru-RU"/>
        </w:rPr>
      </w:pPr>
      <w:r>
        <w:rPr>
          <w:b/>
          <w:lang w:val="ru-RU"/>
        </w:rPr>
        <w:t>3.3.</w:t>
      </w:r>
      <w:r>
        <w:rPr>
          <w:b/>
        </w:rPr>
        <w:t> </w:t>
      </w:r>
      <w:r>
        <w:rPr>
          <w:b/>
          <w:lang w:val="ru-RU"/>
        </w:rPr>
        <w:t xml:space="preserve">Поставщик по </w:t>
      </w:r>
      <w:r>
        <w:rPr>
          <w:b/>
          <w:bCs/>
          <w:lang w:val="ru-RU"/>
        </w:rPr>
        <w:t>Контракт</w:t>
      </w:r>
      <w:r>
        <w:rPr>
          <w:b/>
          <w:lang w:val="ru-RU"/>
        </w:rPr>
        <w:t>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 xml:space="preserve">Поставщик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 xml:space="preserve">3.4.2. Представить Заказчику, в установленный </w:t>
      </w:r>
      <w:r>
        <w:rPr>
          <w:bCs/>
          <w:lang w:val="ru-RU"/>
        </w:rPr>
        <w:t>Контракт</w:t>
      </w:r>
      <w:r>
        <w:rPr>
          <w:lang w:val="ru-RU"/>
        </w:rPr>
        <w:t xml:space="preserve">ом срок, надлежаще оформленные документы, предусмотренные </w:t>
      </w:r>
      <w:r>
        <w:rPr>
          <w:bCs/>
          <w:lang w:val="ru-RU"/>
        </w:rPr>
        <w:t>Контракт</w:t>
      </w:r>
      <w:r>
        <w:rPr>
          <w:lang w:val="ru-RU"/>
        </w:rPr>
        <w:t>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 xml:space="preserve">3.4.3. Устранить за свой счет все выявленные недостатки, в том числе скрытые, поставленного Товара в сроки, предусмотренные </w:t>
      </w:r>
      <w:r>
        <w:rPr>
          <w:sz w:val="20"/>
          <w:szCs w:val="20"/>
          <w:lang w:val="ru-RU"/>
        </w:rPr>
        <w:t>Контракт</w:t>
      </w:r>
      <w:r>
        <w:rPr>
          <w:lang w:val="ru-RU"/>
        </w:rPr>
        <w:t>ом (п.5.5).</w:t>
      </w:r>
    </w:p>
    <w:p>
      <w:pPr>
        <w:pStyle w:val="BodyTextIndent"/>
        <w:tabs>
          <w:tab w:val="clear" w:pos="708"/>
          <w:tab w:val="left" w:pos="0" w:leader="none"/>
        </w:tabs>
        <w:ind w:hanging="0"/>
        <w:rPr>
          <w:lang w:val="ru-RU"/>
        </w:rPr>
      </w:pPr>
      <w:r>
        <w:rPr>
          <w:lang w:val="ru-RU"/>
        </w:rPr>
        <w:t xml:space="preserve">3.4.4 После оплаты Заказчиком всего поставленного Товара по </w:t>
      </w:r>
      <w:r>
        <w:rPr>
          <w:bCs/>
          <w:lang w:val="ru-RU"/>
        </w:rPr>
        <w:t>Контракт</w:t>
      </w:r>
      <w:r>
        <w:rPr>
          <w:lang w:val="ru-RU"/>
        </w:rPr>
        <w:t>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течении </w:t>
      </w:r>
      <w:r>
        <w:rPr/>
        <w:t xml:space="preserve">14 </w:t>
      </w:r>
      <w:r>
        <w:rPr/>
        <w:t>рабочих дней с даты подписания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w:t>
      </w:r>
      <w:r>
        <w:rPr>
          <w:sz w:val="20"/>
          <w:szCs w:val="20"/>
        </w:rPr>
        <w:t>Контракт</w:t>
      </w:r>
      <w:r>
        <w:rPr/>
        <w:t xml:space="preserve">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w:t>
      </w:r>
      <w:r>
        <w:rPr>
          <w:sz w:val="20"/>
          <w:szCs w:val="20"/>
        </w:rPr>
        <w:t>онтракт</w:t>
      </w:r>
      <w:r>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 xml:space="preserve">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w:t>
      </w:r>
      <w:r>
        <w:rPr>
          <w:sz w:val="20"/>
          <w:szCs w:val="20"/>
        </w:rPr>
        <w:t>Контракт</w:t>
      </w:r>
      <w:r>
        <w:rPr/>
        <w:t>у.</w:t>
      </w:r>
    </w:p>
    <w:p>
      <w:pPr>
        <w:pStyle w:val="Normal"/>
        <w:jc w:val="both"/>
        <w:rPr/>
      </w:pPr>
      <w:r>
        <w:rPr/>
        <w:t>6.2. Товар должен быть новым, ранее не использованным.</w:t>
      </w:r>
    </w:p>
    <w:p>
      <w:pPr>
        <w:pStyle w:val="Normal"/>
        <w:jc w:val="both"/>
        <w:rPr/>
      </w:pPr>
      <w:r>
        <w:rPr/>
        <w:t>6.3. Гарантийный срок на Товар не менее 12 месяцев с момента приемки товара.</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jc w:val="center"/>
        <w:rPr>
          <w:b/>
        </w:rPr>
      </w:pPr>
      <w:r>
        <w:rPr>
          <w:b/>
        </w:rPr>
        <w:t>8. Ответственность сторон</w:t>
      </w:r>
    </w:p>
    <w:p>
      <w:pPr>
        <w:pStyle w:val="Normal"/>
        <w:jc w:val="both"/>
        <w:rPr/>
      </w:pPr>
      <w:r>
        <w:rPr>
          <w:b/>
        </w:rPr>
        <w:t xml:space="preserve"> </w:t>
      </w:r>
      <w:r>
        <w:rPr/>
        <w:t xml:space="preserve">8.1. </w:t>
      </w:r>
      <w:bookmarkStart w:id="5" w:name="_Hlk177570087"/>
      <w:r>
        <w:rPr/>
        <w:t xml:space="preserve">Стороны несут ответственность за неисполнение или ненадлежащее исполнение условий настоящего </w:t>
      </w:r>
      <w:r>
        <w:rPr>
          <w:sz w:val="20"/>
          <w:szCs w:val="20"/>
        </w:rPr>
        <w:t>Контракт</w:t>
      </w:r>
      <w:r>
        <w:rPr/>
        <w:t xml:space="preserve">а в соответствии с законодательством Российской Федерации. Под ненадлежащим исполнение условий настоящего </w:t>
      </w:r>
      <w:r>
        <w:rPr>
          <w:sz w:val="20"/>
          <w:szCs w:val="20"/>
        </w:rPr>
        <w:t>Контракт</w:t>
      </w:r>
      <w:r>
        <w:rPr/>
        <w:t>а Стороны договорились считать неисполнение  обязанностей:</w:t>
      </w:r>
    </w:p>
    <w:p>
      <w:pPr>
        <w:pStyle w:val="Normal"/>
        <w:jc w:val="both"/>
        <w:rPr/>
      </w:pPr>
      <w:r>
        <w:rPr/>
        <w:t>-указанных в  подпунктах п.3.2  со Стороны Заказчика;</w:t>
      </w:r>
    </w:p>
    <w:p>
      <w:pPr>
        <w:pStyle w:val="Normal"/>
        <w:jc w:val="both"/>
        <w:rPr/>
      </w:pPr>
      <w:r>
        <w:rPr/>
        <w:t>-указанных в подпунктах  п. 3.4 со Стороны Поставщика.</w:t>
      </w:r>
      <w:bookmarkEnd w:id="5"/>
    </w:p>
    <w:p>
      <w:pPr>
        <w:pStyle w:val="Normal"/>
        <w:jc w:val="both"/>
        <w:rPr/>
      </w:pPr>
      <w:r>
        <w:rPr/>
        <w:t xml:space="preserve">8.2. В случае просрочки исполнения Заказчиком обязательств, предусмотренных настоящим </w:t>
      </w:r>
      <w:r>
        <w:rPr>
          <w:sz w:val="20"/>
          <w:szCs w:val="20"/>
        </w:rPr>
        <w:t>Контракт</w:t>
      </w:r>
      <w:r>
        <w:rPr/>
        <w:t xml:space="preserve">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w:t>
      </w:r>
      <w:r>
        <w:rPr>
          <w:sz w:val="20"/>
          <w:szCs w:val="20"/>
        </w:rPr>
        <w:t>Контракт</w:t>
      </w:r>
      <w:r>
        <w:rPr/>
        <w:t xml:space="preserve">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 xml:space="preserve">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 xml:space="preserve">ом в виде фиксированной суммы </w:t>
      </w:r>
      <w:r>
        <w:rPr>
          <w:b/>
          <w:bCs/>
        </w:rPr>
        <w:t>000,00</w:t>
      </w:r>
      <w:r>
        <w:rPr/>
        <w:t xml:space="preserve"> руб. и составляет 10% от цены настоящего </w:t>
      </w:r>
      <w:r>
        <w:rPr>
          <w:sz w:val="20"/>
          <w:szCs w:val="20"/>
        </w:rPr>
        <w:t>Контракт</w:t>
      </w:r>
      <w:r>
        <w:rPr/>
        <w:t>а.</w:t>
      </w:r>
    </w:p>
    <w:p>
      <w:pPr>
        <w:pStyle w:val="Normal"/>
        <w:jc w:val="both"/>
        <w:rPr/>
      </w:pPr>
      <w:r>
        <w:rPr/>
        <w:t xml:space="preserve">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w:t>
      </w:r>
      <w:r>
        <w:rPr>
          <w:sz w:val="20"/>
          <w:szCs w:val="20"/>
        </w:rPr>
        <w:t>Контракт</w:t>
      </w:r>
      <w:r>
        <w:rPr/>
        <w:t>ом, произошло вследствие непреодолимой силы или по вине другой Стороны.</w:t>
      </w:r>
    </w:p>
    <w:p>
      <w:pPr>
        <w:pStyle w:val="Normal"/>
        <w:jc w:val="both"/>
        <w:rPr/>
      </w:pPr>
      <w:r>
        <w:rPr/>
        <w:t xml:space="preserve">8.7. Применение штрафных санкций не освобождает Стороны от выполнения обязательств по настоящему </w:t>
      </w:r>
      <w:r>
        <w:rPr>
          <w:sz w:val="20"/>
          <w:szCs w:val="20"/>
        </w:rPr>
        <w:t>Контракт</w:t>
      </w:r>
      <w:r>
        <w:rPr/>
        <w:t>у.</w:t>
      </w:r>
    </w:p>
    <w:p>
      <w:pPr>
        <w:pStyle w:val="Normal"/>
        <w:ind w:star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6" w:name="_Hlk177570138"/>
      <w:r>
        <w:rPr>
          <w:rFonts w:ascii="Times New Roman" w:hAnsi="Times New Roman"/>
          <w:sz w:val="20"/>
          <w:szCs w:val="20"/>
        </w:rPr>
        <w:t>Настоящий Контракт вступает в силу с момента заключения и действует до 30.10.2026г., а в части оплаты – до исполнения обязательств.</w:t>
      </w:r>
      <w:bookmarkEnd w:id="6"/>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 xml:space="preserve">11.1. При исполнении своих обязательств по настоящему </w:t>
      </w:r>
      <w:r>
        <w:rPr>
          <w:sz w:val="20"/>
          <w:szCs w:val="20"/>
        </w:rPr>
        <w:t>Контракт</w:t>
      </w:r>
      <w:r>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 xml:space="preserve">При исполнении своих обязательств по настоящему </w:t>
      </w:r>
      <w:r>
        <w:rPr>
          <w:sz w:val="20"/>
          <w:szCs w:val="20"/>
        </w:rPr>
        <w:t>Контракт</w:t>
      </w:r>
      <w:r>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sz w:val="20"/>
          <w:szCs w:val="20"/>
        </w:rPr>
        <w:t>Контракт</w:t>
      </w:r>
      <w:r>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sz w:val="20"/>
          <w:szCs w:val="20"/>
        </w:rPr>
        <w:t>Контракт</w:t>
      </w:r>
      <w:r>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11.4. В случае нарушения одной Стороной обязательств воздерживаться от запрещенных в п. 11.1 настоящего </w:t>
      </w:r>
      <w:r>
        <w:rPr>
          <w:sz w:val="20"/>
          <w:szCs w:val="20"/>
        </w:rPr>
        <w:t>Контракт</w:t>
      </w:r>
      <w:r>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Pr>
          <w:sz w:val="20"/>
          <w:szCs w:val="20"/>
        </w:rPr>
        <w:t>Контракт</w:t>
      </w:r>
      <w:r>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Pr>
          <w:sz w:val="20"/>
          <w:szCs w:val="20"/>
        </w:rPr>
        <w:t>Контракт</w:t>
      </w:r>
      <w:r>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 xml:space="preserve">12.1. Стороны освобождаются от ответственности за полное или частичное неисполнение своих обязательств по </w:t>
      </w:r>
      <w:r>
        <w:rPr>
          <w:sz w:val="20"/>
          <w:szCs w:val="20"/>
        </w:rPr>
        <w:t>Контракт</w:t>
      </w:r>
      <w:r>
        <w:rPr/>
        <w:t>у, если их неисполнение явилось следствием форс-мажорных обстоятельств.</w:t>
      </w:r>
    </w:p>
    <w:p>
      <w:pPr>
        <w:pStyle w:val="Normal"/>
        <w:jc w:val="both"/>
        <w:rPr/>
      </w:pPr>
      <w:r>
        <w:rPr/>
        <w:t xml:space="preserve">12.2. Под форс-мажорными обстоятельствами понимают такие обстоятельства, которые возникли после заключения </w:t>
      </w:r>
      <w:r>
        <w:rPr>
          <w:sz w:val="20"/>
          <w:szCs w:val="20"/>
        </w:rPr>
        <w:t>Контракт</w:t>
      </w:r>
      <w:r>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Pr>
          <w:sz w:val="20"/>
          <w:szCs w:val="20"/>
        </w:rPr>
        <w:t>Контракт</w:t>
      </w:r>
      <w:r>
        <w:rPr/>
        <w:t>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 xml:space="preserve">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w:t>
      </w:r>
      <w:r>
        <w:rPr>
          <w:sz w:val="20"/>
          <w:szCs w:val="20"/>
        </w:rPr>
        <w:t>Контракт</w:t>
      </w:r>
      <w:r>
        <w:rPr/>
        <w:t>у, в том числе если указанные обстоятельства будут выявлены после приемки Товара Заказчиком.</w:t>
      </w:r>
    </w:p>
    <w:p>
      <w:pPr>
        <w:pStyle w:val="Normal"/>
        <w:jc w:val="both"/>
        <w:rPr/>
      </w:pPr>
      <w:r>
        <w:rPr/>
        <w:t xml:space="preserve">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Pr>
          <w:sz w:val="20"/>
          <w:szCs w:val="20"/>
        </w:rPr>
        <w:t>Контракт</w:t>
      </w:r>
      <w:r>
        <w:rPr/>
        <w:t xml:space="preserve">у, насколько это целесообразно, и ведет поиск альтернативных способов выполнения </w:t>
      </w:r>
      <w:r>
        <w:rPr>
          <w:sz w:val="20"/>
          <w:szCs w:val="20"/>
        </w:rPr>
        <w:t>Контракт</w:t>
      </w:r>
      <w:r>
        <w:rPr/>
        <w:t>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 xml:space="preserve">12.5. Если, по мнению Сторон, исполнение </w:t>
      </w:r>
      <w:r>
        <w:rPr>
          <w:sz w:val="20"/>
          <w:szCs w:val="20"/>
        </w:rPr>
        <w:t>Контракт</w:t>
      </w:r>
      <w:r>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Pr>
          <w:sz w:val="20"/>
          <w:szCs w:val="20"/>
        </w:rPr>
        <w:t>Контракт</w:t>
      </w:r>
      <w:r>
        <w:rPr/>
        <w:t>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jc w:val="both"/>
        <w:rPr/>
      </w:pPr>
      <w:r>
        <w:rPr/>
        <w:t>13.1. Все споры и разногласия, которые могут возникнуть по настоящему к</w:t>
      </w:r>
      <w:r>
        <w:rPr>
          <w:sz w:val="20"/>
          <w:szCs w:val="20"/>
        </w:rPr>
        <w:t>онтракт</w:t>
      </w:r>
      <w:r>
        <w:rPr/>
        <w:t>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jc w:val="both"/>
        <w:rPr/>
      </w:pPr>
      <w:r>
        <w:rPr/>
        <w:t xml:space="preserve">13.2. Стороны подтверждают взаимное согласие на возможность осуществления обмена юридически значимыми первичными документами, адресованными Сторонам </w:t>
      </w:r>
      <w:r>
        <w:rPr>
          <w:sz w:val="20"/>
          <w:szCs w:val="20"/>
        </w:rPr>
        <w:t>Контракт</w:t>
      </w:r>
      <w:r>
        <w:rPr/>
        <w:t>а (</w:t>
      </w:r>
      <w:r>
        <w:rPr>
          <w:sz w:val="20"/>
          <w:szCs w:val="20"/>
        </w:rPr>
        <w:t>Контракт</w:t>
      </w:r>
      <w:r>
        <w:rPr/>
        <w:t>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jc w:val="both"/>
        <w:rPr/>
      </w:pPr>
      <w:r>
        <w:rPr/>
        <w:t>13.3. Настоящий к</w:t>
      </w:r>
      <w:r>
        <w:rPr>
          <w:sz w:val="20"/>
          <w:szCs w:val="20"/>
        </w:rPr>
        <w:t>онтракт</w:t>
      </w:r>
      <w:r>
        <w:rPr/>
        <w:t>,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w:t>
      </w:r>
      <w:r>
        <w:rPr>
          <w:sz w:val="20"/>
          <w:szCs w:val="20"/>
        </w:rPr>
        <w:t>онтракт</w:t>
      </w:r>
      <w:r>
        <w:rPr/>
        <w:t>у.</w:t>
      </w:r>
    </w:p>
    <w:p>
      <w:pPr>
        <w:pStyle w:val="Normal"/>
        <w:tabs>
          <w:tab w:val="clear" w:pos="708"/>
          <w:tab w:val="left" w:pos="540" w:leader="none"/>
        </w:tabs>
        <w:ind w:end="-142"/>
        <w:jc w:val="both"/>
        <w:rPr/>
      </w:pPr>
      <w:r>
        <w:rPr/>
        <w:t>Любые приложения, изменения и дополнения к настоящему к</w:t>
      </w:r>
      <w:r>
        <w:rPr>
          <w:sz w:val="20"/>
          <w:szCs w:val="20"/>
        </w:rPr>
        <w:t>онтракт</w:t>
      </w:r>
      <w:r>
        <w:rPr/>
        <w:t>у действительны и являются неотъемлемой частью настоящего к</w:t>
      </w:r>
      <w:r>
        <w:rPr>
          <w:sz w:val="20"/>
          <w:szCs w:val="20"/>
        </w:rPr>
        <w:t>онтракт</w:t>
      </w:r>
      <w:r>
        <w:rPr/>
        <w:t>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jc w:val="both"/>
        <w:rPr/>
      </w:pPr>
      <w:r>
        <w:rPr/>
        <w:t>Стороны прямо договорились, что заключение к</w:t>
      </w:r>
      <w:r>
        <w:rPr>
          <w:sz w:val="20"/>
          <w:szCs w:val="20"/>
        </w:rPr>
        <w:t>онтракт</w:t>
      </w:r>
      <w:r>
        <w:rPr/>
        <w:t>а в виде электронного документа с использованием ЭП не является препятствием для подписания дополнительных соглашений к к</w:t>
      </w:r>
      <w:r>
        <w:rPr>
          <w:sz w:val="20"/>
          <w:szCs w:val="20"/>
        </w:rPr>
        <w:t>онтракт</w:t>
      </w:r>
      <w:r>
        <w:rPr/>
        <w:t>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jc w:val="both"/>
        <w:rPr/>
      </w:pPr>
      <w:r>
        <w:rPr/>
        <w:t>13.7. Использование ЭП, владельцем которой является уполномоченное лицо стороны к</w:t>
      </w:r>
      <w:r>
        <w:rPr>
          <w:sz w:val="20"/>
          <w:szCs w:val="20"/>
        </w:rPr>
        <w:t>онтракт</w:t>
      </w:r>
      <w:r>
        <w:rPr/>
        <w:t>а, с нарушением конфиденциальности соответствующего ключа не освобождает сторону к</w:t>
      </w:r>
      <w:r>
        <w:rPr>
          <w:sz w:val="20"/>
          <w:szCs w:val="20"/>
        </w:rPr>
        <w:t>онтракт</w:t>
      </w:r>
      <w:r>
        <w:rPr/>
        <w:t>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jc w:val="both"/>
        <w:rPr/>
      </w:pPr>
      <w:r>
        <w:rPr/>
        <w:t>13.9. Настоящий к</w:t>
      </w:r>
      <w:r>
        <w:rPr>
          <w:sz w:val="20"/>
          <w:szCs w:val="20"/>
        </w:rPr>
        <w:t>онтракт</w:t>
      </w:r>
      <w:r>
        <w:rPr/>
        <w:t xml:space="preserve">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29"/>
        <w:gridCol w:w="4827"/>
      </w:tblGrid>
      <w:tr>
        <w:trPr>
          <w:trHeight w:val="7882" w:hRule="atLeast"/>
        </w:trPr>
        <w:tc>
          <w:tcPr>
            <w:tcW w:w="5629"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r>
          </w:p>
          <w:p>
            <w:pPr>
              <w:pStyle w:val="Normal"/>
              <w:rPr/>
            </w:pPr>
            <w:r>
              <w:rPr/>
              <w:t xml:space="preserve">Юридический и фактический адрес: </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Банк: УФК по Новосибирской области (НИИ КПССЗ л/с 20396Х66880)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Новосибирской области (НИИ КПССЗ л/с 22396Х66880)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Новосибирской области (НИИ КПССЗ л/с 21396Х66880)</w:t>
            </w:r>
          </w:p>
          <w:p>
            <w:pPr>
              <w:pStyle w:val="Normal"/>
              <w:rPr/>
            </w:pPr>
            <w:r>
              <w:rPr/>
              <w:t xml:space="preserve">р/с 03214643000000013900 </w:t>
            </w:r>
          </w:p>
          <w:p>
            <w:pPr>
              <w:pStyle w:val="Normal"/>
              <w:rPr/>
            </w:pPr>
            <w:r>
              <w:rPr/>
              <w:t xml:space="preserve">ИНН 4205012290 </w:t>
            </w:r>
          </w:p>
          <w:p>
            <w:pPr>
              <w:pStyle w:val="Normal"/>
              <w:rPr/>
            </w:pPr>
            <w:r>
              <w:rPr/>
              <w:t>КПП 420501001</w:t>
            </w:r>
          </w:p>
          <w:p>
            <w:pPr>
              <w:pStyle w:val="Normal"/>
              <w:rPr/>
            </w:pPr>
            <w:r>
              <w:rPr/>
              <w:t>ОТДЕЛЕНИЕ КЕМЕРОВО БАНКА РОССИИ//УФК по Кемеровской области – Кузбассу г. Кемерово БИК 013207212</w:t>
            </w:r>
          </w:p>
          <w:p>
            <w:pPr>
              <w:pStyle w:val="Normal"/>
              <w:rPr/>
            </w:pPr>
            <w:r>
              <w:rPr/>
              <w:t>к/с 40102810745370000032</w:t>
            </w:r>
          </w:p>
          <w:p>
            <w:pPr>
              <w:pStyle w:val="Normal"/>
              <w:rPr/>
            </w:pPr>
            <w:r>
              <w:rPr/>
              <w:t>КБК 00000000000000000130</w:t>
            </w:r>
          </w:p>
          <w:p>
            <w:pPr>
              <w:pStyle w:val="Normal"/>
              <w:rPr/>
            </w:pPr>
            <w:r>
              <w:rPr/>
              <w:t>ОГРН 1034205024479</w:t>
            </w:r>
          </w:p>
          <w:p>
            <w:pPr>
              <w:pStyle w:val="Normal"/>
              <w:jc w:val="both"/>
              <w:rPr/>
            </w:pPr>
            <w:r>
              <w:rPr/>
              <w:t>ОКПО 55608705 ОКАТО 32401000000</w:t>
            </w:r>
          </w:p>
          <w:p>
            <w:pPr>
              <w:pStyle w:val="Normal"/>
              <w:jc w:val="both"/>
              <w:rPr/>
            </w:pPr>
            <w:r>
              <w:rPr/>
              <w:t>ОКТМО 32701000 ОКФС 12</w:t>
            </w:r>
          </w:p>
          <w:p>
            <w:pPr>
              <w:pStyle w:val="Normal"/>
              <w:jc w:val="both"/>
              <w:rPr/>
            </w:pPr>
            <w:r>
              <w:rPr/>
              <w:t>ОКОГУ 1330612 ОКОПФ 75103 ОКВЭД 72.19</w:t>
            </w:r>
          </w:p>
          <w:p>
            <w:pPr>
              <w:pStyle w:val="Normal"/>
              <w:jc w:val="both"/>
              <w:rPr/>
            </w:pPr>
            <w:r>
              <w:rPr/>
            </w:r>
          </w:p>
          <w:p>
            <w:pPr>
              <w:pStyle w:val="Normal"/>
              <w:tabs>
                <w:tab w:val="clear" w:pos="708"/>
                <w:tab w:val="left" w:pos="7680" w:leader="none"/>
              </w:tabs>
              <w:rPr>
                <w:b w:val="false"/>
                <w:bCs w:val="false"/>
                <w:color w:val="000000"/>
              </w:rPr>
            </w:pPr>
            <w:r>
              <w:rPr>
                <w:b w:val="false"/>
                <w:bCs w:val="false"/>
                <w:color w:val="000000"/>
              </w:rPr>
              <w:t>Начальник отдела материально-</w:t>
            </w:r>
          </w:p>
          <w:p>
            <w:pPr>
              <w:pStyle w:val="Normal"/>
              <w:tabs>
                <w:tab w:val="clear" w:pos="708"/>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rFonts w:cs="Times New Roman"/>
                <w:sz w:val="20"/>
                <w:szCs w:val="20"/>
              </w:rPr>
            </w:pPr>
            <w:r>
              <w:rPr>
                <w:rFonts w:cs="Times New Roman"/>
                <w:sz w:val="20"/>
                <w:szCs w:val="20"/>
              </w:rPr>
              <w:t>___________________ А.Е. Кузнецова</w:t>
            </w:r>
          </w:p>
          <w:p>
            <w:pPr>
              <w:pStyle w:val="Normal"/>
              <w:rPr>
                <w:rFonts w:cs="Times New Roman"/>
                <w:sz w:val="20"/>
                <w:szCs w:val="20"/>
              </w:rPr>
            </w:pPr>
            <w:r>
              <w:rPr>
                <w:rFonts w:cs="Times New Roman"/>
                <w:sz w:val="20"/>
                <w:szCs w:val="20"/>
              </w:rPr>
              <w:t>м.п.</w:t>
            </w:r>
          </w:p>
        </w:tc>
        <w:tc>
          <w:tcPr>
            <w:tcW w:w="4827"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7" w:name="_Hlk180496427"/>
      <w:r>
        <w:rPr/>
        <w:t xml:space="preserve">к Контракту </w:t>
      </w:r>
      <w:r>
        <w:rPr>
          <w:b w:val="false"/>
          <w:bCs w:val="false"/>
          <w:i w:val="false"/>
          <w:iCs w:val="false"/>
        </w:rPr>
        <w:t>№________</w:t>
      </w:r>
    </w:p>
    <w:p>
      <w:pPr>
        <w:pStyle w:val="Normal"/>
        <w:spacing w:before="0" w:after="60"/>
        <w:jc w:val="end"/>
        <w:rPr>
          <w:b/>
          <w:bCs/>
        </w:rPr>
      </w:pPr>
      <w:r>
        <w:rPr/>
        <w:t xml:space="preserve">                                                                                                                                </w:t>
      </w:r>
      <w:r>
        <w:rPr>
          <w:rFonts w:eastAsia="Calibri"/>
          <w:lang w:eastAsia="en-US"/>
        </w:rPr>
        <w:t>«_____» августа 2026г.</w:t>
      </w:r>
      <w:bookmarkEnd w:id="7"/>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pPr w:vertAnchor="text" w:horzAnchor="text" w:leftFromText="180" w:rightFromText="180" w:tblpX="307" w:tblpY="248"/>
        <w:tblW w:w="18111" w:type="dxa"/>
        <w:jc w:val="start"/>
        <w:tblInd w:w="-5" w:type="dxa"/>
        <w:tblLayout w:type="fixed"/>
        <w:tblCellMar>
          <w:top w:w="0" w:type="dxa"/>
          <w:start w:w="108" w:type="dxa"/>
          <w:bottom w:w="0" w:type="dxa"/>
          <w:end w:w="108" w:type="dxa"/>
        </w:tblCellMar>
        <w:tblLook w:val="01e0" w:noHBand="0" w:noVBand="0" w:firstColumn="1" w:lastRow="1" w:lastColumn="1" w:firstRow="1"/>
      </w:tblPr>
      <w:tblGrid>
        <w:gridCol w:w="845"/>
        <w:gridCol w:w="5528"/>
        <w:gridCol w:w="400"/>
        <w:gridCol w:w="1134"/>
        <w:gridCol w:w="25"/>
        <w:gridCol w:w="210"/>
        <w:gridCol w:w="1067"/>
        <w:gridCol w:w="1559"/>
        <w:gridCol w:w="1764"/>
        <w:gridCol w:w="1212"/>
        <w:gridCol w:w="1338"/>
        <w:gridCol w:w="3029"/>
      </w:tblGrid>
      <w:tr>
        <w:trPr>
          <w:trHeight w:val="572" w:hRule="atLeast"/>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w:t>
            </w:r>
          </w:p>
          <w:p>
            <w:pPr>
              <w:pStyle w:val="Normal"/>
              <w:widowControl w:val="false"/>
              <w:jc w:val="center"/>
              <w:rPr>
                <w:sz w:val="16"/>
                <w:szCs w:val="16"/>
              </w:rPr>
            </w:pPr>
            <w:r>
              <w:rPr>
                <w:sz w:val="16"/>
                <w:szCs w:val="16"/>
              </w:rPr>
              <w:t>п/п</w:t>
            </w:r>
          </w:p>
        </w:tc>
        <w:tc>
          <w:tcPr>
            <w:tcW w:w="55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Наименование, минимальные технические (качественные) характеристики  товара</w:t>
            </w:r>
          </w:p>
        </w:tc>
        <w:tc>
          <w:tcPr>
            <w:tcW w:w="1559" w:type="dxa"/>
            <w:gridSpan w:val="3"/>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6"/>
                <w:szCs w:val="16"/>
              </w:rPr>
            </w:pPr>
            <w:r>
              <w:rPr>
                <w:sz w:val="16"/>
                <w:szCs w:val="16"/>
              </w:rPr>
              <w:t>Страна происхождения товара</w:t>
            </w:r>
          </w:p>
        </w:tc>
        <w:tc>
          <w:tcPr>
            <w:tcW w:w="127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Кол-во</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Ед. изм.</w:t>
            </w:r>
          </w:p>
        </w:tc>
        <w:tc>
          <w:tcPr>
            <w:tcW w:w="17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 xml:space="preserve">Цена единицы без НДС, рублей </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НДС, рублей</w:t>
            </w:r>
          </w:p>
        </w:tc>
        <w:tc>
          <w:tcPr>
            <w:tcW w:w="13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Общая стоимость с НДС, рублей</w:t>
            </w:r>
          </w:p>
        </w:tc>
        <w:tc>
          <w:tcPr>
            <w:tcW w:w="3029" w:type="dxa"/>
            <w:tcBorders/>
          </w:tcPr>
          <w:p>
            <w:pPr>
              <w:pStyle w:val="Normal"/>
              <w:rPr>
                <w:sz w:val="16"/>
                <w:szCs w:val="16"/>
              </w:rPr>
            </w:pPr>
            <w:r>
              <w:rPr>
                <w:sz w:val="16"/>
                <w:szCs w:val="16"/>
              </w:rPr>
            </w:r>
          </w:p>
        </w:tc>
      </w:tr>
      <w:tr>
        <w:trPr>
          <w:trHeight w:val="405" w:hRule="atLeast"/>
        </w:trPr>
        <w:tc>
          <w:tcPr>
            <w:tcW w:w="845"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1</w:t>
            </w:r>
          </w:p>
        </w:tc>
        <w:tc>
          <w:tcPr>
            <w:tcW w:w="5528" w:type="dxa"/>
            <w:tcBorders>
              <w:top w:val="single" w:sz="4" w:space="0" w:color="000001"/>
              <w:start w:val="single" w:sz="4" w:space="0" w:color="000001"/>
              <w:bottom w:val="single" w:sz="4" w:space="0" w:color="000000"/>
              <w:end w:val="single" w:sz="4" w:space="0" w:color="000000"/>
            </w:tcBorders>
          </w:tcPr>
          <w:p>
            <w:pPr>
              <w:pStyle w:val="Normal"/>
              <w:rPr>
                <w:sz w:val="16"/>
                <w:szCs w:val="16"/>
              </w:rPr>
            </w:pPr>
            <w:r>
              <w:rPr>
                <w:b/>
                <w:bCs/>
                <w:sz w:val="16"/>
                <w:szCs w:val="16"/>
              </w:rPr>
              <w:t>Манжет переходной</w:t>
            </w:r>
          </w:p>
          <w:p>
            <w:pPr>
              <w:pStyle w:val="Normal"/>
              <w:rPr>
                <w:sz w:val="16"/>
                <w:szCs w:val="16"/>
              </w:rPr>
            </w:pPr>
            <w:r>
              <w:rPr>
                <w:sz w:val="16"/>
                <w:szCs w:val="16"/>
              </w:rPr>
            </w:r>
          </w:p>
          <w:p>
            <w:pPr>
              <w:pStyle w:val="Normal"/>
              <w:rPr>
                <w:sz w:val="16"/>
                <w:szCs w:val="16"/>
              </w:rPr>
            </w:pPr>
            <w:r>
              <w:rPr>
                <w:sz w:val="16"/>
                <w:szCs w:val="16"/>
              </w:rPr>
              <w:t xml:space="preserve">Назначение </w:t>
              <w:tab/>
              <w:t>соединение труб</w:t>
              <w:tab/>
            </w:r>
          </w:p>
          <w:p>
            <w:pPr>
              <w:pStyle w:val="Normal"/>
              <w:rPr>
                <w:sz w:val="16"/>
                <w:szCs w:val="16"/>
              </w:rPr>
            </w:pPr>
            <w:r>
              <w:rPr>
                <w:sz w:val="16"/>
                <w:szCs w:val="16"/>
              </w:rPr>
              <w:t xml:space="preserve">Диаметр пластиковой трубы </w:t>
              <w:tab/>
              <w:t>Не более 110</w:t>
              <w:tab/>
              <w:t>мм</w:t>
            </w:r>
          </w:p>
          <w:p>
            <w:pPr>
              <w:pStyle w:val="Normal"/>
              <w:rPr>
                <w:sz w:val="16"/>
                <w:szCs w:val="16"/>
              </w:rPr>
            </w:pPr>
            <w:r>
              <w:rPr>
                <w:sz w:val="16"/>
                <w:szCs w:val="16"/>
              </w:rPr>
              <w:t>Диаметр чугунной трубы</w:t>
              <w:tab/>
              <w:t>Не более 123</w:t>
              <w:tab/>
              <w:t>мм</w:t>
            </w:r>
          </w:p>
          <w:p>
            <w:pPr>
              <w:pStyle w:val="Normal"/>
              <w:rPr>
                <w:sz w:val="16"/>
                <w:szCs w:val="16"/>
              </w:rPr>
            </w:pPr>
            <w:r>
              <w:rPr>
                <w:sz w:val="16"/>
                <w:szCs w:val="16"/>
              </w:rPr>
              <w:t>Материал</w:t>
              <w:tab/>
              <w:t>Резина</w:t>
              <w:tab/>
            </w:r>
          </w:p>
          <w:p>
            <w:pPr>
              <w:pStyle w:val="Normal"/>
              <w:rPr>
                <w:sz w:val="16"/>
                <w:szCs w:val="16"/>
              </w:rPr>
            </w:pPr>
            <w:r>
              <w:rPr>
                <w:sz w:val="16"/>
                <w:szCs w:val="16"/>
              </w:rPr>
            </w:r>
          </w:p>
          <w:p>
            <w:pPr>
              <w:pStyle w:val="Normal"/>
              <w:rPr>
                <w:sz w:val="16"/>
                <w:szCs w:val="16"/>
              </w:rPr>
            </w:pPr>
            <w:r>
              <w:rPr>
                <w:sz w:val="16"/>
                <w:szCs w:val="16"/>
              </w:rPr>
              <w:t>ОКПД2 22.19.73.113</w:t>
            </w:r>
          </w:p>
        </w:tc>
        <w:tc>
          <w:tcPr>
            <w:tcW w:w="1559"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top w:val="single" w:sz="4" w:space="0" w:color="000001"/>
              <w:start w:val="single" w:sz="4" w:space="0" w:color="000001"/>
              <w:bottom w:val="single" w:sz="4" w:space="0" w:color="000000"/>
            </w:tcBorders>
            <w:vAlign w:val="center"/>
          </w:tcPr>
          <w:p>
            <w:pPr>
              <w:pStyle w:val="Normal"/>
              <w:jc w:val="center"/>
              <w:rPr>
                <w:sz w:val="16"/>
                <w:szCs w:val="16"/>
              </w:rPr>
            </w:pPr>
            <w:r>
              <w:rPr>
                <w:sz w:val="16"/>
                <w:szCs w:val="16"/>
                <w:lang w:val="en-US"/>
              </w:rPr>
              <w:t>50</w:t>
            </w:r>
          </w:p>
        </w:tc>
        <w:tc>
          <w:tcPr>
            <w:tcW w:w="1559" w:type="dxa"/>
            <w:tcBorders>
              <w:top w:val="single" w:sz="4" w:space="0" w:color="000001"/>
              <w:start w:val="single" w:sz="4" w:space="0" w:color="000001"/>
              <w:bottom w:val="single" w:sz="4" w:space="0" w:color="000000"/>
            </w:tcBorders>
            <w:vAlign w:val="center"/>
          </w:tcPr>
          <w:p>
            <w:pPr>
              <w:pStyle w:val="Normal"/>
              <w:jc w:val="center"/>
              <w:rPr>
                <w:sz w:val="16"/>
                <w:szCs w:val="16"/>
              </w:rPr>
            </w:pPr>
            <w:r>
              <w:rPr>
                <w:sz w:val="16"/>
                <w:szCs w:val="16"/>
              </w:rPr>
              <w:t>штука</w:t>
            </w:r>
          </w:p>
        </w:tc>
        <w:tc>
          <w:tcPr>
            <w:tcW w:w="1764"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338"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29" w:type="dxa"/>
            <w:tcBorders/>
          </w:tcPr>
          <w:p>
            <w:pPr>
              <w:pStyle w:val="Normal"/>
              <w:rPr>
                <w:sz w:val="16"/>
                <w:szCs w:val="16"/>
              </w:rPr>
            </w:pPr>
            <w:r>
              <w:rPr>
                <w:sz w:val="16"/>
                <w:szCs w:val="16"/>
              </w:rPr>
            </w:r>
          </w:p>
        </w:tc>
      </w:tr>
      <w:tr>
        <w:trPr>
          <w:trHeight w:val="431" w:hRule="atLeast"/>
        </w:trPr>
        <w:tc>
          <w:tcPr>
            <w:tcW w:w="845"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2</w:t>
            </w:r>
          </w:p>
        </w:tc>
        <w:tc>
          <w:tcPr>
            <w:tcW w:w="5528" w:type="dxa"/>
            <w:tcBorders>
              <w:start w:val="single" w:sz="4" w:space="0" w:color="000001"/>
              <w:bottom w:val="single" w:sz="4" w:space="0" w:color="000000"/>
              <w:end w:val="single" w:sz="4" w:space="0" w:color="000000"/>
            </w:tcBorders>
          </w:tcPr>
          <w:p>
            <w:pPr>
              <w:pStyle w:val="Normal"/>
              <w:rPr>
                <w:b/>
                <w:bCs/>
                <w:sz w:val="16"/>
                <w:szCs w:val="16"/>
              </w:rPr>
            </w:pPr>
            <w:r>
              <w:rPr>
                <w:b/>
                <w:bCs/>
                <w:sz w:val="16"/>
                <w:szCs w:val="16"/>
              </w:rPr>
              <w:t>Прокладка сантехническая</w:t>
            </w:r>
          </w:p>
          <w:p>
            <w:pPr>
              <w:pStyle w:val="Normal"/>
              <w:rPr>
                <w:b/>
                <w:bCs/>
                <w:sz w:val="16"/>
                <w:szCs w:val="16"/>
              </w:rPr>
            </w:pPr>
            <w:r>
              <w:rPr>
                <w:b/>
                <w:bCs/>
                <w:sz w:val="16"/>
                <w:szCs w:val="16"/>
              </w:rPr>
            </w:r>
          </w:p>
          <w:p>
            <w:pPr>
              <w:pStyle w:val="Normal"/>
              <w:rPr>
                <w:sz w:val="16"/>
                <w:szCs w:val="16"/>
              </w:rPr>
            </w:pPr>
            <w:r>
              <w:rPr>
                <w:sz w:val="16"/>
                <w:szCs w:val="16"/>
              </w:rPr>
              <w:t>Тип</w:t>
              <w:tab/>
              <w:t xml:space="preserve"> Уплотнительная</w:t>
              <w:tab/>
            </w:r>
          </w:p>
          <w:p>
            <w:pPr>
              <w:pStyle w:val="Normal"/>
              <w:rPr>
                <w:sz w:val="16"/>
                <w:szCs w:val="16"/>
              </w:rPr>
            </w:pPr>
            <w:r>
              <w:rPr>
                <w:sz w:val="16"/>
                <w:szCs w:val="16"/>
              </w:rPr>
              <w:t xml:space="preserve">Материал </w:t>
              <w:tab/>
              <w:t xml:space="preserve">Резина </w:t>
              <w:tab/>
            </w:r>
          </w:p>
          <w:p>
            <w:pPr>
              <w:pStyle w:val="Normal"/>
              <w:rPr>
                <w:sz w:val="16"/>
                <w:szCs w:val="16"/>
              </w:rPr>
            </w:pPr>
            <w:r>
              <w:rPr>
                <w:sz w:val="16"/>
                <w:szCs w:val="16"/>
              </w:rPr>
              <w:t xml:space="preserve">Наружный диаметр </w:t>
              <w:tab/>
              <w:t>≥ 18 и ≤19</w:t>
              <w:tab/>
              <w:t>мм</w:t>
            </w:r>
          </w:p>
          <w:p>
            <w:pPr>
              <w:pStyle w:val="Normal"/>
              <w:rPr>
                <w:sz w:val="16"/>
                <w:szCs w:val="16"/>
              </w:rPr>
            </w:pPr>
            <w:r>
              <w:rPr>
                <w:sz w:val="16"/>
                <w:szCs w:val="16"/>
              </w:rPr>
              <w:t xml:space="preserve">Внутренний диаметр </w:t>
              <w:tab/>
              <w:t>≥ 9 и ≤10</w:t>
              <w:tab/>
              <w:t>мм</w:t>
            </w:r>
          </w:p>
          <w:p>
            <w:pPr>
              <w:pStyle w:val="Normal"/>
              <w:rPr>
                <w:sz w:val="16"/>
                <w:szCs w:val="16"/>
              </w:rPr>
            </w:pPr>
            <w:r>
              <w:rPr>
                <w:sz w:val="16"/>
                <w:szCs w:val="16"/>
              </w:rPr>
              <w:t>Толщина</w:t>
              <w:tab/>
              <w:t>Не менее 2</w:t>
              <w:tab/>
              <w:t>мм</w:t>
            </w:r>
          </w:p>
          <w:p>
            <w:pPr>
              <w:pStyle w:val="Normal"/>
              <w:rPr>
                <w:sz w:val="16"/>
                <w:szCs w:val="16"/>
              </w:rPr>
            </w:pPr>
            <w:r>
              <w:rPr>
                <w:sz w:val="16"/>
                <w:szCs w:val="16"/>
              </w:rPr>
              <w:t>Размер</w:t>
              <w:tab/>
              <w:t>Не более 1/2</w:t>
              <w:tab/>
              <w:t>дюйм</w:t>
            </w:r>
          </w:p>
          <w:p>
            <w:pPr>
              <w:pStyle w:val="Normal"/>
              <w:rPr>
                <w:sz w:val="16"/>
                <w:szCs w:val="16"/>
              </w:rPr>
            </w:pPr>
            <w:r>
              <w:rPr>
                <w:sz w:val="16"/>
                <w:szCs w:val="16"/>
              </w:rPr>
            </w:r>
          </w:p>
          <w:p>
            <w:pPr>
              <w:pStyle w:val="Normal"/>
              <w:rPr>
                <w:sz w:val="16"/>
                <w:szCs w:val="16"/>
              </w:rPr>
            </w:pPr>
            <w:r>
              <w:rPr>
                <w:sz w:val="16"/>
                <w:szCs w:val="16"/>
              </w:rPr>
              <w:t xml:space="preserve">ОКПД2 22.19.73.114 </w:t>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vAlign w:val="center"/>
          </w:tcPr>
          <w:p>
            <w:pPr>
              <w:pStyle w:val="NoSpacing"/>
              <w:jc w:val="center"/>
              <w:rPr>
                <w:rFonts w:ascii="Times New Roman" w:hAnsi="Times New Roman"/>
                <w:sz w:val="16"/>
                <w:szCs w:val="16"/>
                <w:lang w:eastAsia="ru-RU"/>
              </w:rPr>
            </w:pPr>
            <w:r>
              <w:rPr>
                <w:rFonts w:ascii="Times New Roman" w:hAnsi="Times New Roman"/>
                <w:sz w:val="16"/>
                <w:szCs w:val="16"/>
                <w:lang w:eastAsia="ru-RU"/>
              </w:rPr>
              <w:t>200</w:t>
            </w:r>
          </w:p>
        </w:tc>
        <w:tc>
          <w:tcPr>
            <w:tcW w:w="1559" w:type="dxa"/>
            <w:tcBorders>
              <w:start w:val="single" w:sz="4" w:space="0" w:color="000001"/>
              <w:bottom w:val="single" w:sz="4" w:space="0" w:color="000000"/>
            </w:tcBorders>
            <w:vAlign w:val="center"/>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338"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29" w:type="dxa"/>
            <w:tcBorders/>
          </w:tcPr>
          <w:p>
            <w:pPr>
              <w:pStyle w:val="Normal"/>
              <w:rPr>
                <w:sz w:val="16"/>
                <w:szCs w:val="16"/>
              </w:rPr>
            </w:pPr>
            <w:r>
              <w:rPr>
                <w:sz w:val="16"/>
                <w:szCs w:val="16"/>
              </w:rPr>
            </w:r>
          </w:p>
        </w:tc>
      </w:tr>
      <w:tr>
        <w:trPr>
          <w:trHeight w:val="405" w:hRule="atLeast"/>
        </w:trPr>
        <w:tc>
          <w:tcPr>
            <w:tcW w:w="845"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3</w:t>
            </w:r>
          </w:p>
        </w:tc>
        <w:tc>
          <w:tcPr>
            <w:tcW w:w="5528" w:type="dxa"/>
            <w:tcBorders>
              <w:start w:val="single" w:sz="4" w:space="0" w:color="000001"/>
              <w:bottom w:val="single" w:sz="4" w:space="0" w:color="000000"/>
              <w:end w:val="single" w:sz="4" w:space="0" w:color="000000"/>
            </w:tcBorders>
          </w:tcPr>
          <w:p>
            <w:pPr>
              <w:pStyle w:val="Normal"/>
              <w:rPr>
                <w:b/>
                <w:bCs/>
                <w:sz w:val="16"/>
                <w:szCs w:val="16"/>
              </w:rPr>
            </w:pPr>
            <w:r>
              <w:rPr>
                <w:b/>
                <w:bCs/>
                <w:sz w:val="16"/>
                <w:szCs w:val="16"/>
              </w:rPr>
              <w:t>Прокладка сантехническая</w:t>
            </w:r>
          </w:p>
          <w:p>
            <w:pPr>
              <w:pStyle w:val="Normal"/>
              <w:rPr>
                <w:b/>
                <w:bCs/>
                <w:sz w:val="16"/>
                <w:szCs w:val="16"/>
              </w:rPr>
            </w:pPr>
            <w:r>
              <w:rPr>
                <w:b/>
                <w:bCs/>
                <w:sz w:val="16"/>
                <w:szCs w:val="16"/>
              </w:rPr>
            </w:r>
          </w:p>
          <w:p>
            <w:pPr>
              <w:pStyle w:val="Normal"/>
              <w:rPr>
                <w:sz w:val="16"/>
                <w:szCs w:val="16"/>
              </w:rPr>
            </w:pPr>
            <w:r>
              <w:rPr>
                <w:sz w:val="16"/>
                <w:szCs w:val="16"/>
              </w:rPr>
              <w:t>Тип</w:t>
              <w:tab/>
              <w:t xml:space="preserve"> Уплотнительная</w:t>
              <w:tab/>
            </w:r>
          </w:p>
          <w:p>
            <w:pPr>
              <w:pStyle w:val="Normal"/>
              <w:rPr>
                <w:sz w:val="16"/>
                <w:szCs w:val="16"/>
              </w:rPr>
            </w:pPr>
            <w:r>
              <w:rPr>
                <w:sz w:val="16"/>
                <w:szCs w:val="16"/>
              </w:rPr>
              <w:t xml:space="preserve">Материал </w:t>
              <w:tab/>
              <w:t xml:space="preserve">Резина </w:t>
              <w:tab/>
            </w:r>
          </w:p>
          <w:p>
            <w:pPr>
              <w:pStyle w:val="Normal"/>
              <w:rPr>
                <w:sz w:val="16"/>
                <w:szCs w:val="16"/>
              </w:rPr>
            </w:pPr>
            <w:r>
              <w:rPr>
                <w:sz w:val="16"/>
                <w:szCs w:val="16"/>
              </w:rPr>
              <w:t xml:space="preserve">Наружный диаметр </w:t>
              <w:tab/>
              <w:t>≥ 23 и ≤ 24</w:t>
              <w:tab/>
              <w:t>мм</w:t>
            </w:r>
          </w:p>
          <w:p>
            <w:pPr>
              <w:pStyle w:val="Normal"/>
              <w:rPr>
                <w:sz w:val="16"/>
                <w:szCs w:val="16"/>
              </w:rPr>
            </w:pPr>
            <w:r>
              <w:rPr>
                <w:sz w:val="16"/>
                <w:szCs w:val="16"/>
              </w:rPr>
              <w:t xml:space="preserve">Внутренний диаметр </w:t>
              <w:tab/>
              <w:t>≥ 13 и ≤14</w:t>
              <w:tab/>
              <w:t>мм</w:t>
            </w:r>
          </w:p>
          <w:p>
            <w:pPr>
              <w:pStyle w:val="Normal"/>
              <w:rPr>
                <w:sz w:val="16"/>
                <w:szCs w:val="16"/>
              </w:rPr>
            </w:pPr>
            <w:r>
              <w:rPr>
                <w:sz w:val="16"/>
                <w:szCs w:val="16"/>
              </w:rPr>
              <w:t>Толщина</w:t>
              <w:tab/>
              <w:t>Не менее 2</w:t>
              <w:tab/>
              <w:t>мм</w:t>
            </w:r>
          </w:p>
          <w:p>
            <w:pPr>
              <w:pStyle w:val="Normal"/>
              <w:rPr>
                <w:sz w:val="16"/>
                <w:szCs w:val="16"/>
              </w:rPr>
            </w:pPr>
            <w:r>
              <w:rPr>
                <w:sz w:val="16"/>
                <w:szCs w:val="16"/>
              </w:rPr>
              <w:t>Размер</w:t>
              <w:tab/>
              <w:t>Не более 3/4</w:t>
              <w:tab/>
              <w:t>дюйм</w:t>
            </w:r>
          </w:p>
          <w:p>
            <w:pPr>
              <w:pStyle w:val="Normal"/>
              <w:rPr>
                <w:sz w:val="16"/>
                <w:szCs w:val="16"/>
              </w:rPr>
            </w:pPr>
            <w:r>
              <w:rPr>
                <w:sz w:val="16"/>
                <w:szCs w:val="16"/>
              </w:rPr>
            </w:r>
          </w:p>
          <w:p>
            <w:pPr>
              <w:pStyle w:val="Normal"/>
              <w:rPr>
                <w:sz w:val="16"/>
                <w:szCs w:val="16"/>
              </w:rPr>
            </w:pPr>
            <w:r>
              <w:rPr>
                <w:sz w:val="16"/>
                <w:szCs w:val="16"/>
              </w:rPr>
              <w:t xml:space="preserve">ОКПД2 22.19.73.114 </w:t>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vAlign w:val="center"/>
          </w:tcPr>
          <w:p>
            <w:pPr>
              <w:pStyle w:val="NoSpacing"/>
              <w:jc w:val="center"/>
              <w:rPr>
                <w:rFonts w:ascii="Times New Roman" w:hAnsi="Times New Roman"/>
                <w:sz w:val="16"/>
                <w:szCs w:val="16"/>
                <w:lang w:eastAsia="ru-RU"/>
              </w:rPr>
            </w:pPr>
            <w:r>
              <w:rPr>
                <w:rFonts w:ascii="Times New Roman" w:hAnsi="Times New Roman"/>
                <w:sz w:val="16"/>
                <w:szCs w:val="16"/>
                <w:lang w:eastAsia="ru-RU"/>
              </w:rPr>
              <w:t>100</w:t>
            </w:r>
          </w:p>
        </w:tc>
        <w:tc>
          <w:tcPr>
            <w:tcW w:w="1559" w:type="dxa"/>
            <w:tcBorders>
              <w:start w:val="single" w:sz="4" w:space="0" w:color="000001"/>
              <w:bottom w:val="single" w:sz="4" w:space="0" w:color="000000"/>
            </w:tcBorders>
            <w:vAlign w:val="center"/>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338"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29" w:type="dxa"/>
            <w:tcBorders/>
          </w:tcPr>
          <w:p>
            <w:pPr>
              <w:pStyle w:val="Normal"/>
              <w:rPr>
                <w:sz w:val="16"/>
                <w:szCs w:val="16"/>
              </w:rPr>
            </w:pPr>
            <w:r>
              <w:rPr>
                <w:sz w:val="16"/>
                <w:szCs w:val="16"/>
              </w:rPr>
            </w:r>
          </w:p>
        </w:tc>
      </w:tr>
      <w:tr>
        <w:trPr>
          <w:trHeight w:val="2227" w:hRule="atLeast"/>
        </w:trPr>
        <w:tc>
          <w:tcPr>
            <w:tcW w:w="845"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4</w:t>
            </w:r>
          </w:p>
        </w:tc>
        <w:tc>
          <w:tcPr>
            <w:tcW w:w="5528" w:type="dxa"/>
            <w:tcBorders>
              <w:start w:val="single" w:sz="4" w:space="0" w:color="000001"/>
              <w:bottom w:val="single" w:sz="4" w:space="0" w:color="000000"/>
              <w:end w:val="single" w:sz="4" w:space="0" w:color="000000"/>
            </w:tcBorders>
          </w:tcPr>
          <w:p>
            <w:pPr>
              <w:pStyle w:val="Normal"/>
              <w:rPr>
                <w:b/>
                <w:bCs/>
                <w:sz w:val="16"/>
                <w:szCs w:val="16"/>
              </w:rPr>
            </w:pPr>
            <w:r>
              <w:rPr>
                <w:b/>
                <w:bCs/>
                <w:sz w:val="16"/>
                <w:szCs w:val="16"/>
              </w:rPr>
              <w:t>Кольцо под американку</w:t>
            </w:r>
          </w:p>
          <w:p>
            <w:pPr>
              <w:pStyle w:val="Normal"/>
              <w:rPr>
                <w:sz w:val="16"/>
                <w:szCs w:val="16"/>
              </w:rPr>
            </w:pPr>
            <w:r>
              <w:rPr>
                <w:sz w:val="16"/>
                <w:szCs w:val="16"/>
              </w:rPr>
            </w:r>
          </w:p>
          <w:p>
            <w:pPr>
              <w:pStyle w:val="Normal"/>
              <w:rPr>
                <w:sz w:val="16"/>
                <w:szCs w:val="16"/>
              </w:rPr>
            </w:pPr>
            <w:r>
              <w:rPr>
                <w:sz w:val="16"/>
                <w:szCs w:val="16"/>
              </w:rPr>
              <w:t>Назначение</w:t>
              <w:tab/>
              <w:t>для герметизации соединений между трубами и фитингами с накидными гайками</w:t>
              <w:tab/>
            </w:r>
          </w:p>
          <w:p>
            <w:pPr>
              <w:pStyle w:val="Normal"/>
              <w:rPr>
                <w:sz w:val="16"/>
                <w:szCs w:val="16"/>
              </w:rPr>
            </w:pPr>
            <w:r>
              <w:rPr>
                <w:sz w:val="16"/>
                <w:szCs w:val="16"/>
              </w:rPr>
              <w:t>Тип</w:t>
              <w:tab/>
              <w:t>Уплотнительное</w:t>
              <w:tab/>
            </w:r>
          </w:p>
          <w:p>
            <w:pPr>
              <w:pStyle w:val="Normal"/>
              <w:rPr>
                <w:sz w:val="16"/>
                <w:szCs w:val="16"/>
              </w:rPr>
            </w:pPr>
            <w:r>
              <w:rPr>
                <w:sz w:val="16"/>
                <w:szCs w:val="16"/>
              </w:rPr>
              <w:t xml:space="preserve">Размер </w:t>
              <w:tab/>
              <w:t>Не более 3/4</w:t>
              <w:tab/>
              <w:t>дюйм</w:t>
            </w:r>
          </w:p>
          <w:p>
            <w:pPr>
              <w:pStyle w:val="Normal"/>
              <w:rPr>
                <w:sz w:val="16"/>
                <w:szCs w:val="16"/>
              </w:rPr>
            </w:pPr>
            <w:r>
              <w:rPr>
                <w:sz w:val="16"/>
                <w:szCs w:val="16"/>
              </w:rPr>
              <w:t xml:space="preserve">Материал </w:t>
              <w:tab/>
              <w:t>Резина</w:t>
              <w:tab/>
            </w:r>
          </w:p>
          <w:p>
            <w:pPr>
              <w:pStyle w:val="Normal"/>
              <w:rPr>
                <w:sz w:val="16"/>
                <w:szCs w:val="16"/>
              </w:rPr>
            </w:pPr>
            <w:r>
              <w:rPr>
                <w:sz w:val="16"/>
                <w:szCs w:val="16"/>
              </w:rPr>
              <w:t xml:space="preserve">Наружный диаметр </w:t>
              <w:tab/>
              <w:t>≥ 26 и ≤ 27</w:t>
              <w:tab/>
              <w:t>мм</w:t>
            </w:r>
          </w:p>
          <w:p>
            <w:pPr>
              <w:pStyle w:val="Normal"/>
              <w:rPr>
                <w:sz w:val="16"/>
                <w:szCs w:val="16"/>
              </w:rPr>
            </w:pPr>
            <w:r>
              <w:rPr>
                <w:sz w:val="16"/>
                <w:szCs w:val="16"/>
              </w:rPr>
              <w:t xml:space="preserve">Внутренний диаметр </w:t>
              <w:tab/>
              <w:t>≥ 21 и ≤ 22</w:t>
              <w:tab/>
              <w:t>мм</w:t>
            </w:r>
          </w:p>
          <w:p>
            <w:pPr>
              <w:pStyle w:val="Normal"/>
              <w:rPr>
                <w:sz w:val="16"/>
                <w:szCs w:val="16"/>
              </w:rPr>
            </w:pPr>
            <w:r>
              <w:rPr>
                <w:sz w:val="16"/>
                <w:szCs w:val="16"/>
              </w:rPr>
              <w:t>Толщина</w:t>
              <w:tab/>
              <w:t>Не менее 2</w:t>
              <w:tab/>
              <w:t>мм</w:t>
            </w:r>
          </w:p>
          <w:p>
            <w:pPr>
              <w:pStyle w:val="Normal"/>
              <w:rPr>
                <w:sz w:val="16"/>
                <w:szCs w:val="16"/>
              </w:rPr>
            </w:pPr>
            <w:r>
              <w:rPr>
                <w:sz w:val="16"/>
                <w:szCs w:val="16"/>
              </w:rPr>
            </w:r>
          </w:p>
          <w:p>
            <w:pPr>
              <w:pStyle w:val="Normal"/>
              <w:rPr>
                <w:sz w:val="16"/>
                <w:szCs w:val="16"/>
              </w:rPr>
            </w:pPr>
            <w:r>
              <w:rPr>
                <w:sz w:val="16"/>
                <w:szCs w:val="16"/>
              </w:rPr>
              <w:t xml:space="preserve">ОКПД2 22.19.73.114 </w:t>
            </w:r>
          </w:p>
          <w:p>
            <w:pPr>
              <w:pStyle w:val="Normal"/>
              <w:rPr>
                <w:sz w:val="16"/>
                <w:szCs w:val="16"/>
              </w:rPr>
            </w:pPr>
            <w:r>
              <w:rPr>
                <w:sz w:val="16"/>
                <w:szCs w:val="16"/>
              </w:rPr>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vAlign w:val="center"/>
          </w:tcPr>
          <w:p>
            <w:pPr>
              <w:pStyle w:val="NoSpacing"/>
              <w:jc w:val="center"/>
              <w:rPr>
                <w:rFonts w:ascii="Times New Roman" w:hAnsi="Times New Roman"/>
                <w:sz w:val="16"/>
                <w:szCs w:val="16"/>
                <w:lang w:eastAsia="ru-RU"/>
              </w:rPr>
            </w:pPr>
            <w:r>
              <w:rPr>
                <w:rFonts w:ascii="Times New Roman" w:hAnsi="Times New Roman"/>
                <w:sz w:val="16"/>
                <w:szCs w:val="16"/>
                <w:lang w:eastAsia="ru-RU"/>
              </w:rPr>
              <w:t>300</w:t>
            </w:r>
          </w:p>
        </w:tc>
        <w:tc>
          <w:tcPr>
            <w:tcW w:w="1559" w:type="dxa"/>
            <w:tcBorders>
              <w:start w:val="single" w:sz="4" w:space="0" w:color="000001"/>
              <w:bottom w:val="single" w:sz="4" w:space="0" w:color="000000"/>
            </w:tcBorders>
            <w:vAlign w:val="center"/>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338"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29" w:type="dxa"/>
            <w:tcBorders/>
          </w:tcPr>
          <w:p>
            <w:pPr>
              <w:pStyle w:val="Normal"/>
              <w:rPr>
                <w:sz w:val="16"/>
                <w:szCs w:val="16"/>
              </w:rPr>
            </w:pPr>
            <w:r>
              <w:rPr>
                <w:sz w:val="16"/>
                <w:szCs w:val="16"/>
              </w:rPr>
            </w:r>
          </w:p>
        </w:tc>
      </w:tr>
      <w:tr>
        <w:trPr>
          <w:trHeight w:val="405" w:hRule="atLeast"/>
        </w:trPr>
        <w:tc>
          <w:tcPr>
            <w:tcW w:w="845"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5</w:t>
            </w:r>
          </w:p>
        </w:tc>
        <w:tc>
          <w:tcPr>
            <w:tcW w:w="5528" w:type="dxa"/>
            <w:tcBorders>
              <w:start w:val="single" w:sz="4" w:space="0" w:color="000001"/>
              <w:bottom w:val="single" w:sz="4" w:space="0" w:color="000000"/>
              <w:end w:val="single" w:sz="4" w:space="0" w:color="000000"/>
            </w:tcBorders>
          </w:tcPr>
          <w:p>
            <w:pPr>
              <w:pStyle w:val="Normal"/>
              <w:rPr>
                <w:b/>
                <w:bCs/>
                <w:sz w:val="16"/>
                <w:szCs w:val="16"/>
              </w:rPr>
            </w:pPr>
            <w:r>
              <w:rPr>
                <w:b/>
                <w:bCs/>
                <w:sz w:val="16"/>
                <w:szCs w:val="16"/>
              </w:rPr>
              <w:t>Кольцо под американку</w:t>
            </w:r>
          </w:p>
          <w:p>
            <w:pPr>
              <w:pStyle w:val="Normal"/>
              <w:rPr>
                <w:sz w:val="16"/>
                <w:szCs w:val="16"/>
              </w:rPr>
            </w:pPr>
            <w:r>
              <w:rPr>
                <w:sz w:val="16"/>
                <w:szCs w:val="16"/>
              </w:rPr>
            </w:r>
          </w:p>
          <w:p>
            <w:pPr>
              <w:pStyle w:val="Normal"/>
              <w:rPr>
                <w:sz w:val="16"/>
                <w:szCs w:val="16"/>
              </w:rPr>
            </w:pPr>
            <w:r>
              <w:rPr>
                <w:sz w:val="16"/>
                <w:szCs w:val="16"/>
              </w:rPr>
              <w:t>Назначение</w:t>
              <w:tab/>
              <w:t>для герметизации соединений между трубами и фитингами с накидными гайками</w:t>
              <w:tab/>
            </w:r>
          </w:p>
          <w:p>
            <w:pPr>
              <w:pStyle w:val="Normal"/>
              <w:rPr>
                <w:sz w:val="16"/>
                <w:szCs w:val="16"/>
              </w:rPr>
            </w:pPr>
            <w:r>
              <w:rPr>
                <w:sz w:val="16"/>
                <w:szCs w:val="16"/>
              </w:rPr>
              <w:t>Тип</w:t>
              <w:tab/>
              <w:t>Уплотнительное</w:t>
              <w:tab/>
            </w:r>
          </w:p>
          <w:p>
            <w:pPr>
              <w:pStyle w:val="Normal"/>
              <w:rPr>
                <w:sz w:val="16"/>
                <w:szCs w:val="16"/>
              </w:rPr>
            </w:pPr>
            <w:r>
              <w:rPr>
                <w:sz w:val="16"/>
                <w:szCs w:val="16"/>
              </w:rPr>
              <w:t xml:space="preserve">Размер </w:t>
              <w:tab/>
              <w:t>Не более 1/2</w:t>
              <w:tab/>
              <w:t>дюйм</w:t>
            </w:r>
          </w:p>
          <w:p>
            <w:pPr>
              <w:pStyle w:val="Normal"/>
              <w:rPr>
                <w:sz w:val="16"/>
                <w:szCs w:val="16"/>
              </w:rPr>
            </w:pPr>
            <w:r>
              <w:rPr>
                <w:sz w:val="16"/>
                <w:szCs w:val="16"/>
              </w:rPr>
              <w:t xml:space="preserve">Материал </w:t>
              <w:tab/>
              <w:t>Резина</w:t>
              <w:tab/>
            </w:r>
          </w:p>
          <w:p>
            <w:pPr>
              <w:pStyle w:val="Normal"/>
              <w:rPr>
                <w:sz w:val="16"/>
                <w:szCs w:val="16"/>
              </w:rPr>
            </w:pPr>
            <w:r>
              <w:rPr>
                <w:sz w:val="16"/>
                <w:szCs w:val="16"/>
              </w:rPr>
              <w:t xml:space="preserve">Наружный диаметр </w:t>
              <w:tab/>
              <w:t>≥ 21 и ≤ 22</w:t>
              <w:tab/>
              <w:t>мм</w:t>
            </w:r>
          </w:p>
          <w:p>
            <w:pPr>
              <w:pStyle w:val="Normal"/>
              <w:rPr>
                <w:sz w:val="16"/>
                <w:szCs w:val="16"/>
              </w:rPr>
            </w:pPr>
            <w:r>
              <w:rPr>
                <w:sz w:val="16"/>
                <w:szCs w:val="16"/>
              </w:rPr>
              <w:t xml:space="preserve">Внутренний диаметр </w:t>
              <w:tab/>
              <w:t>≥ 16 и ≤ 17</w:t>
              <w:tab/>
              <w:t>мм</w:t>
            </w:r>
          </w:p>
          <w:p>
            <w:pPr>
              <w:pStyle w:val="Normal"/>
              <w:rPr>
                <w:sz w:val="16"/>
                <w:szCs w:val="16"/>
              </w:rPr>
            </w:pPr>
            <w:r>
              <w:rPr>
                <w:sz w:val="16"/>
                <w:szCs w:val="16"/>
              </w:rPr>
              <w:t>Толщина</w:t>
              <w:tab/>
              <w:t>Не менее 2</w:t>
              <w:tab/>
              <w:t>мм</w:t>
            </w:r>
          </w:p>
          <w:p>
            <w:pPr>
              <w:pStyle w:val="Normal"/>
              <w:rPr>
                <w:sz w:val="16"/>
                <w:szCs w:val="16"/>
              </w:rPr>
            </w:pPr>
            <w:r>
              <w:rPr>
                <w:sz w:val="16"/>
                <w:szCs w:val="16"/>
              </w:rPr>
            </w:r>
          </w:p>
          <w:p>
            <w:pPr>
              <w:pStyle w:val="Normal"/>
              <w:rPr>
                <w:sz w:val="16"/>
                <w:szCs w:val="16"/>
              </w:rPr>
            </w:pPr>
            <w:r>
              <w:rPr>
                <w:sz w:val="16"/>
                <w:szCs w:val="16"/>
              </w:rPr>
              <w:t xml:space="preserve">ОКПД2 22.19.73.114 </w:t>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vAlign w:val="center"/>
          </w:tcPr>
          <w:p>
            <w:pPr>
              <w:pStyle w:val="NoSpacing"/>
              <w:jc w:val="center"/>
              <w:rPr>
                <w:rFonts w:ascii="Times New Roman" w:hAnsi="Times New Roman"/>
                <w:sz w:val="16"/>
                <w:szCs w:val="16"/>
                <w:lang w:eastAsia="ru-RU"/>
              </w:rPr>
            </w:pPr>
            <w:r>
              <w:rPr>
                <w:rFonts w:ascii="Times New Roman" w:hAnsi="Times New Roman"/>
                <w:sz w:val="16"/>
                <w:szCs w:val="16"/>
                <w:lang w:eastAsia="ru-RU"/>
              </w:rPr>
              <w:t>300</w:t>
            </w:r>
          </w:p>
        </w:tc>
        <w:tc>
          <w:tcPr>
            <w:tcW w:w="1559" w:type="dxa"/>
            <w:tcBorders>
              <w:start w:val="single" w:sz="4" w:space="0" w:color="000001"/>
              <w:bottom w:val="single" w:sz="4" w:space="0" w:color="000000"/>
            </w:tcBorders>
            <w:vAlign w:val="center"/>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338"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29" w:type="dxa"/>
            <w:tcBorders/>
          </w:tcPr>
          <w:p>
            <w:pPr>
              <w:pStyle w:val="Normal"/>
              <w:rPr>
                <w:sz w:val="16"/>
                <w:szCs w:val="16"/>
              </w:rPr>
            </w:pPr>
            <w:r>
              <w:rPr>
                <w:sz w:val="16"/>
                <w:szCs w:val="16"/>
              </w:rPr>
            </w:r>
          </w:p>
        </w:tc>
      </w:tr>
      <w:tr>
        <w:trPr>
          <w:trHeight w:val="2037" w:hRule="atLeast"/>
        </w:trPr>
        <w:tc>
          <w:tcPr>
            <w:tcW w:w="845" w:type="dxa"/>
            <w:tcBorders>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6</w:t>
            </w:r>
          </w:p>
        </w:tc>
        <w:tc>
          <w:tcPr>
            <w:tcW w:w="5528" w:type="dxa"/>
            <w:tcBorders>
              <w:start w:val="single" w:sz="4" w:space="0" w:color="000001"/>
              <w:bottom w:val="single" w:sz="4" w:space="0" w:color="000000"/>
              <w:end w:val="single" w:sz="4" w:space="0" w:color="000000"/>
            </w:tcBorders>
          </w:tcPr>
          <w:p>
            <w:pPr>
              <w:pStyle w:val="Normal"/>
              <w:rPr>
                <w:b/>
                <w:bCs/>
                <w:sz w:val="16"/>
                <w:szCs w:val="16"/>
              </w:rPr>
            </w:pPr>
            <w:r>
              <w:rPr>
                <w:b/>
                <w:bCs/>
                <w:sz w:val="16"/>
                <w:szCs w:val="16"/>
              </w:rPr>
              <w:t>Кольцо для металлопластиковых фитингов</w:t>
            </w:r>
          </w:p>
          <w:p>
            <w:pPr>
              <w:pStyle w:val="Normal"/>
              <w:rPr>
                <w:b/>
                <w:bCs/>
                <w:sz w:val="16"/>
                <w:szCs w:val="16"/>
              </w:rPr>
            </w:pPr>
            <w:r>
              <w:rPr>
                <w:b/>
                <w:bCs/>
                <w:sz w:val="16"/>
                <w:szCs w:val="16"/>
              </w:rPr>
            </w:r>
          </w:p>
          <w:p>
            <w:pPr>
              <w:pStyle w:val="Normal"/>
              <w:rPr>
                <w:b w:val="false"/>
                <w:bCs w:val="false"/>
                <w:sz w:val="16"/>
                <w:szCs w:val="16"/>
              </w:rPr>
            </w:pPr>
            <w:r>
              <w:rPr>
                <w:b w:val="false"/>
                <w:bCs w:val="false"/>
                <w:sz w:val="16"/>
                <w:szCs w:val="16"/>
              </w:rPr>
              <w:t>Назначение</w:t>
              <w:tab/>
              <w:t>Для фитингов металлопласта</w:t>
              <w:tab/>
            </w:r>
          </w:p>
          <w:p>
            <w:pPr>
              <w:pStyle w:val="Normal"/>
              <w:rPr>
                <w:b w:val="false"/>
                <w:bCs w:val="false"/>
                <w:sz w:val="16"/>
                <w:szCs w:val="16"/>
              </w:rPr>
            </w:pPr>
            <w:r>
              <w:rPr>
                <w:b w:val="false"/>
                <w:bCs w:val="false"/>
                <w:sz w:val="16"/>
                <w:szCs w:val="16"/>
              </w:rPr>
              <w:t>Тип</w:t>
              <w:tab/>
              <w:t>Уплотнительное</w:t>
              <w:tab/>
            </w:r>
          </w:p>
          <w:p>
            <w:pPr>
              <w:pStyle w:val="Normal"/>
              <w:rPr>
                <w:b w:val="false"/>
                <w:bCs w:val="false"/>
                <w:sz w:val="16"/>
                <w:szCs w:val="16"/>
              </w:rPr>
            </w:pPr>
            <w:r>
              <w:rPr>
                <w:b w:val="false"/>
                <w:bCs w:val="false"/>
                <w:sz w:val="16"/>
                <w:szCs w:val="16"/>
              </w:rPr>
              <w:t>Размер трубы</w:t>
              <w:tab/>
              <w:t>Не более 16</w:t>
              <w:tab/>
              <w:t>мм</w:t>
            </w:r>
          </w:p>
          <w:p>
            <w:pPr>
              <w:pStyle w:val="Normal"/>
              <w:rPr>
                <w:b w:val="false"/>
                <w:bCs w:val="false"/>
                <w:sz w:val="16"/>
                <w:szCs w:val="16"/>
              </w:rPr>
            </w:pPr>
            <w:r>
              <w:rPr>
                <w:b w:val="false"/>
                <w:bCs w:val="false"/>
                <w:sz w:val="16"/>
                <w:szCs w:val="16"/>
              </w:rPr>
              <w:t xml:space="preserve">Материал </w:t>
              <w:tab/>
              <w:t>Резина</w:t>
              <w:tab/>
            </w:r>
          </w:p>
          <w:p>
            <w:pPr>
              <w:pStyle w:val="Normal"/>
              <w:rPr>
                <w:b w:val="false"/>
                <w:bCs w:val="false"/>
                <w:sz w:val="16"/>
                <w:szCs w:val="16"/>
              </w:rPr>
            </w:pPr>
            <w:r>
              <w:rPr>
                <w:b w:val="false"/>
                <w:bCs w:val="false"/>
                <w:sz w:val="16"/>
                <w:szCs w:val="16"/>
              </w:rPr>
              <w:t xml:space="preserve">Наружный диаметр </w:t>
              <w:tab/>
              <w:t>≥ 11 и ≤12</w:t>
              <w:tab/>
              <w:t>мм</w:t>
            </w:r>
          </w:p>
          <w:p>
            <w:pPr>
              <w:pStyle w:val="Normal"/>
              <w:rPr>
                <w:b w:val="false"/>
                <w:bCs w:val="false"/>
                <w:sz w:val="16"/>
                <w:szCs w:val="16"/>
              </w:rPr>
            </w:pPr>
            <w:r>
              <w:rPr>
                <w:b w:val="false"/>
                <w:bCs w:val="false"/>
                <w:sz w:val="16"/>
                <w:szCs w:val="16"/>
              </w:rPr>
              <w:t xml:space="preserve">Внутренний диаметр </w:t>
              <w:tab/>
              <w:t>≥ 8 и ≤ 9</w:t>
              <w:tab/>
              <w:t>мм</w:t>
            </w:r>
          </w:p>
          <w:p>
            <w:pPr>
              <w:pStyle w:val="Normal"/>
              <w:rPr>
                <w:b w:val="false"/>
                <w:bCs w:val="false"/>
                <w:sz w:val="16"/>
                <w:szCs w:val="16"/>
              </w:rPr>
            </w:pPr>
            <w:r>
              <w:rPr>
                <w:b w:val="false"/>
                <w:bCs w:val="false"/>
                <w:sz w:val="16"/>
                <w:szCs w:val="16"/>
              </w:rPr>
              <w:t>Толщина</w:t>
              <w:tab/>
              <w:t>Не менее 1,5</w:t>
              <w:tab/>
              <w:t>мм</w:t>
            </w:r>
          </w:p>
          <w:p>
            <w:pPr>
              <w:pStyle w:val="Normal"/>
              <w:rPr>
                <w:b w:val="false"/>
                <w:bCs w:val="false"/>
                <w:sz w:val="16"/>
                <w:szCs w:val="16"/>
              </w:rPr>
            </w:pPr>
            <w:r>
              <w:rPr>
                <w:b w:val="false"/>
                <w:bCs w:val="false"/>
                <w:sz w:val="16"/>
                <w:szCs w:val="16"/>
              </w:rPr>
            </w:r>
          </w:p>
          <w:p>
            <w:pPr>
              <w:pStyle w:val="Normal"/>
              <w:rPr>
                <w:sz w:val="16"/>
                <w:szCs w:val="16"/>
              </w:rPr>
            </w:pPr>
            <w:r>
              <w:rPr>
                <w:sz w:val="16"/>
                <w:szCs w:val="16"/>
              </w:rPr>
              <w:t xml:space="preserve">ОКПД2 22.19.73.114 </w:t>
            </w:r>
          </w:p>
        </w:tc>
        <w:tc>
          <w:tcPr>
            <w:tcW w:w="1559" w:type="dxa"/>
            <w:gridSpan w:val="3"/>
            <w:tcBorders>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start w:val="single" w:sz="4" w:space="0" w:color="000001"/>
              <w:bottom w:val="single" w:sz="4" w:space="0" w:color="000000"/>
            </w:tcBorders>
            <w:vAlign w:val="center"/>
          </w:tcPr>
          <w:p>
            <w:pPr>
              <w:pStyle w:val="NoSpacing"/>
              <w:jc w:val="center"/>
              <w:rPr>
                <w:rFonts w:ascii="Times New Roman" w:hAnsi="Times New Roman"/>
                <w:sz w:val="16"/>
                <w:szCs w:val="16"/>
                <w:lang w:eastAsia="ru-RU"/>
              </w:rPr>
            </w:pPr>
            <w:r>
              <w:rPr>
                <w:rFonts w:ascii="Times New Roman" w:hAnsi="Times New Roman"/>
                <w:sz w:val="16"/>
                <w:szCs w:val="16"/>
                <w:lang w:eastAsia="ru-RU"/>
              </w:rPr>
              <w:t>100</w:t>
            </w:r>
          </w:p>
        </w:tc>
        <w:tc>
          <w:tcPr>
            <w:tcW w:w="1559" w:type="dxa"/>
            <w:tcBorders>
              <w:start w:val="single" w:sz="4" w:space="0" w:color="000001"/>
              <w:bottom w:val="single" w:sz="4" w:space="0" w:color="000000"/>
            </w:tcBorders>
            <w:vAlign w:val="center"/>
          </w:tcPr>
          <w:p>
            <w:pPr>
              <w:pStyle w:val="Normal"/>
              <w:jc w:val="center"/>
              <w:rPr>
                <w:sz w:val="16"/>
                <w:szCs w:val="16"/>
              </w:rPr>
            </w:pPr>
            <w:r>
              <w:rPr>
                <w:sz w:val="16"/>
                <w:szCs w:val="16"/>
              </w:rPr>
              <w:t>штука</w:t>
            </w:r>
          </w:p>
        </w:tc>
        <w:tc>
          <w:tcPr>
            <w:tcW w:w="1764" w:type="dxa"/>
            <w:tcBorders>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338" w:type="dxa"/>
            <w:tcBorders>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29" w:type="dxa"/>
            <w:tcBorders/>
          </w:tcPr>
          <w:p>
            <w:pPr>
              <w:pStyle w:val="Normal"/>
              <w:rPr>
                <w:sz w:val="16"/>
                <w:szCs w:val="16"/>
              </w:rPr>
            </w:pPr>
            <w:r>
              <w:rPr>
                <w:sz w:val="16"/>
                <w:szCs w:val="16"/>
              </w:rPr>
            </w:r>
          </w:p>
        </w:tc>
      </w:tr>
      <w:tr>
        <w:trPr>
          <w:trHeight w:val="572" w:hRule="atLeast"/>
        </w:trPr>
        <w:tc>
          <w:tcPr>
            <w:tcW w:w="13744" w:type="dxa"/>
            <w:gridSpan w:val="10"/>
            <w:tcBorders>
              <w:top w:val="single" w:sz="4" w:space="0" w:color="000000"/>
              <w:start w:val="single" w:sz="4" w:space="0" w:color="000000"/>
              <w:bottom w:val="single" w:sz="4" w:space="0" w:color="000000"/>
              <w:end w:val="single" w:sz="4" w:space="0" w:color="000000"/>
            </w:tcBorders>
          </w:tcPr>
          <w:p>
            <w:pPr>
              <w:pStyle w:val="Normal"/>
              <w:jc w:val="end"/>
              <w:rPr>
                <w:highlight w:val="none"/>
                <w:shd w:fill="auto" w:val="clear"/>
              </w:rPr>
            </w:pPr>
            <w:r>
              <w:rPr>
                <w:b/>
                <w:bCs/>
                <w:sz w:val="16"/>
                <w:szCs w:val="16"/>
                <w:shd w:fill="auto" w:val="clear"/>
              </w:rPr>
              <w:t>ИТОГО:</w:t>
            </w:r>
          </w:p>
        </w:tc>
        <w:tc>
          <w:tcPr>
            <w:tcW w:w="1338" w:type="dxa"/>
            <w:tcBorders>
              <w:top w:val="single" w:sz="4" w:space="0" w:color="000000"/>
              <w:start w:val="single" w:sz="4" w:space="0" w:color="000000"/>
              <w:bottom w:val="single" w:sz="4" w:space="0" w:color="000000"/>
              <w:end w:val="single" w:sz="4" w:space="0" w:color="000000"/>
            </w:tcBorders>
          </w:tcPr>
          <w:p>
            <w:pPr>
              <w:pStyle w:val="Normal"/>
              <w:jc w:val="center"/>
              <w:rPr>
                <w:b/>
                <w:bCs/>
                <w:sz w:val="16"/>
                <w:szCs w:val="16"/>
                <w:highlight w:val="yellow"/>
              </w:rPr>
            </w:pPr>
            <w:r>
              <w:rPr>
                <w:b/>
                <w:bCs/>
                <w:sz w:val="16"/>
                <w:szCs w:val="16"/>
                <w:highlight w:val="yellow"/>
              </w:rPr>
            </w:r>
          </w:p>
        </w:tc>
        <w:tc>
          <w:tcPr>
            <w:tcW w:w="3029" w:type="dxa"/>
            <w:tcBorders/>
          </w:tcPr>
          <w:p>
            <w:pPr>
              <w:pStyle w:val="Normal"/>
              <w:rPr>
                <w:sz w:val="16"/>
                <w:szCs w:val="16"/>
              </w:rPr>
            </w:pPr>
            <w:r>
              <w:rPr>
                <w:sz w:val="16"/>
                <w:szCs w:val="16"/>
              </w:rPr>
            </w:r>
          </w:p>
        </w:tc>
      </w:tr>
      <w:tr>
        <w:trPr>
          <w:trHeight w:val="1827" w:hRule="atLeast"/>
        </w:trPr>
        <w:tc>
          <w:tcPr>
            <w:tcW w:w="6773" w:type="dxa"/>
            <w:gridSpan w:val="3"/>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rFonts w:eastAsia="Times New Roman" w:cs="Times New Roman"/>
                <w:b/>
                <w:bCs/>
                <w:color w:val="000000"/>
                <w:sz w:val="20"/>
                <w:szCs w:val="20"/>
                <w:lang w:eastAsia="ru-RU"/>
              </w:rPr>
              <w:t>Заказчик</w:t>
            </w:r>
          </w:p>
          <w:p>
            <w:pPr>
              <w:pStyle w:val="Normal"/>
              <w:tabs>
                <w:tab w:val="clear" w:pos="708"/>
                <w:tab w:val="left" w:pos="7680" w:leader="none"/>
              </w:tabs>
              <w:rPr>
                <w:rFonts w:eastAsia="Times New Roman" w:cs="Times New Roman"/>
                <w:b w:val="false"/>
                <w:bCs w:val="false"/>
                <w:color w:val="000000"/>
                <w:sz w:val="20"/>
                <w:szCs w:val="20"/>
                <w:lang w:eastAsia="ru-RU"/>
              </w:rPr>
            </w:pPr>
            <w:r>
              <w:rPr>
                <w:rFonts w:eastAsia="Times New Roman" w:cs="Times New Roman"/>
                <w:b w:val="false"/>
                <w:bCs w:val="false"/>
                <w:color w:val="000000"/>
                <w:sz w:val="20"/>
                <w:szCs w:val="20"/>
                <w:lang w:eastAsia="ru-RU"/>
              </w:rPr>
            </w:r>
          </w:p>
          <w:p>
            <w:pPr>
              <w:pStyle w:val="Normal"/>
              <w:tabs>
                <w:tab w:val="clear" w:pos="708"/>
                <w:tab w:val="left" w:pos="7680" w:leader="none"/>
              </w:tabs>
              <w:rPr>
                <w:sz w:val="20"/>
                <w:szCs w:val="20"/>
              </w:rPr>
            </w:pPr>
            <w:r>
              <w:rPr>
                <w:b w:val="false"/>
                <w:bCs w:val="false"/>
                <w:color w:val="000000"/>
                <w:sz w:val="20"/>
                <w:szCs w:val="20"/>
              </w:rPr>
              <w:t>Начальник отдела материально-</w:t>
            </w:r>
          </w:p>
          <w:p>
            <w:pPr>
              <w:pStyle w:val="Normal"/>
              <w:tabs>
                <w:tab w:val="clear" w:pos="708"/>
                <w:tab w:val="left" w:pos="7680" w:leader="none"/>
              </w:tabs>
              <w:rPr>
                <w:sz w:val="20"/>
                <w:szCs w:val="20"/>
              </w:rPr>
            </w:pPr>
            <w:r>
              <w:rPr>
                <w:b w:val="false"/>
                <w:bCs w:val="false"/>
                <w:color w:val="000000"/>
                <w:sz w:val="20"/>
                <w:szCs w:val="20"/>
              </w:rPr>
              <w:t>технического снабжения</w:t>
            </w:r>
          </w:p>
          <w:p>
            <w:pPr>
              <w:pStyle w:val="Normal"/>
              <w:rPr>
                <w:sz w:val="20"/>
                <w:szCs w:val="20"/>
              </w:rPr>
            </w:pPr>
            <w:r>
              <w:rPr>
                <w:sz w:val="20"/>
                <w:szCs w:val="20"/>
              </w:rPr>
            </w:r>
          </w:p>
          <w:p>
            <w:pPr>
              <w:pStyle w:val="Normal"/>
              <w:rPr>
                <w:sz w:val="20"/>
                <w:szCs w:val="20"/>
              </w:rPr>
            </w:pPr>
            <w:r>
              <w:rPr>
                <w:sz w:val="20"/>
                <w:szCs w:val="20"/>
              </w:rPr>
            </w:r>
          </w:p>
          <w:p>
            <w:pPr>
              <w:pStyle w:val="Normal"/>
              <w:rPr>
                <w:b w:val="false"/>
                <w:bCs w:val="false"/>
                <w:color w:val="000000"/>
                <w:sz w:val="20"/>
                <w:szCs w:val="20"/>
              </w:rPr>
            </w:pPr>
            <w:r>
              <w:rPr>
                <w:b w:val="false"/>
                <w:bCs w:val="false"/>
                <w:color w:val="000000"/>
                <w:sz w:val="20"/>
                <w:szCs w:val="20"/>
              </w:rPr>
              <w:t>___________________ А.Е. Кузнецова</w:t>
            </w:r>
          </w:p>
          <w:p>
            <w:pPr>
              <w:pStyle w:val="Normal"/>
              <w:rPr>
                <w:b w:val="false"/>
                <w:bCs w:val="false"/>
                <w:color w:val="000000"/>
                <w:sz w:val="20"/>
                <w:szCs w:val="20"/>
              </w:rPr>
            </w:pPr>
            <w:r>
              <w:rPr>
                <w:b w:val="false"/>
                <w:bCs w:val="false"/>
                <w:color w:val="000000"/>
                <w:sz w:val="20"/>
                <w:szCs w:val="20"/>
              </w:rPr>
              <w:t xml:space="preserve">м.п. </w:t>
            </w:r>
          </w:p>
        </w:tc>
        <w:tc>
          <w:tcPr>
            <w:tcW w:w="1134" w:type="dxa"/>
            <w:tcBorders/>
          </w:tcPr>
          <w:p>
            <w:pPr>
              <w:pStyle w:val="Normal"/>
              <w:tabs>
                <w:tab w:val="clear" w:pos="708"/>
                <w:tab w:val="left" w:pos="7680" w:leader="none"/>
              </w:tabs>
              <w:rPr>
                <w:b/>
                <w:color w:val="000000"/>
                <w:sz w:val="20"/>
                <w:szCs w:val="20"/>
              </w:rPr>
            </w:pPr>
            <w:r>
              <w:rPr>
                <w:b/>
                <w:color w:val="000000"/>
                <w:sz w:val="20"/>
                <w:szCs w:val="20"/>
              </w:rPr>
            </w:r>
          </w:p>
        </w:tc>
        <w:tc>
          <w:tcPr>
            <w:tcW w:w="235"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2626"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7343" w:type="dxa"/>
            <w:gridSpan w:val="4"/>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b/>
                <w:color w:val="000000"/>
                <w:sz w:val="20"/>
                <w:szCs w:val="20"/>
              </w:rPr>
              <w:t>Поставщик:</w:t>
            </w:r>
          </w:p>
          <w:p>
            <w:pPr>
              <w:pStyle w:val="Normal"/>
              <w:tabs>
                <w:tab w:val="clear" w:pos="708"/>
                <w:tab w:val="left" w:pos="7680" w:leader="none"/>
              </w:tabs>
              <w:rPr>
                <w:b/>
                <w:color w:val="000000"/>
                <w:sz w:val="20"/>
                <w:szCs w:val="20"/>
              </w:rPr>
            </w:pPr>
            <w:r>
              <w:rPr>
                <w:b/>
                <w:color w:val="000000"/>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 xml:space="preserve">___________                                                       </w:t>
            </w:r>
          </w:p>
          <w:p>
            <w:pPr>
              <w:pStyle w:val="Normal"/>
              <w:rPr>
                <w:sz w:val="20"/>
                <w:szCs w:val="20"/>
              </w:rPr>
            </w:pPr>
            <w:r>
              <w:rPr>
                <w:sz w:val="20"/>
                <w:szCs w:val="20"/>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5">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user6">
    <w:name w:val="Содержимое врезки (user)"/>
    <w:basedOn w:val="Normal"/>
    <w:qFormat/>
    <w:pPr/>
    <w:rPr/>
  </w:style>
  <w:style w:type="numbering" w:styleId="Style23" w:default="1">
    <w:name w:val="Без списка"/>
    <w:uiPriority w:val="99"/>
    <w:semiHidden/>
    <w:unhideWhenUsed/>
    <w:qFormat/>
  </w:style>
  <w:style w:type="numbering" w:styleId="123user">
    <w:name w:val="Нумерованный 123 (user)"/>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65</TotalTime>
  <Application>LibreOffice/25.8.3.2$Linux_X86_64 LibreOffice_project/580$Build-2</Application>
  <AppVersion>15.0000</AppVersion>
  <Pages>7</Pages>
  <Words>3217</Words>
  <Characters>22751</Characters>
  <CharactersWithSpaces>26311</CharactersWithSpaces>
  <Paragraphs>224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2026-08-18T08:25:42Z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