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6" w:before="0" w:after="0"/>
        <w:ind w:left="312" w:hanging="0"/>
        <w:jc w:val="center"/>
        <w:rPr>
          <w:b/>
          <w:b/>
          <w:sz w:val="28"/>
          <w:lang w:val="ru-RU"/>
        </w:rPr>
      </w:pPr>
      <w:r>
        <w:rPr>
          <w:b/>
          <w:sz w:val="28"/>
          <w:lang w:val="ru-RU"/>
        </w:rPr>
        <w:t xml:space="preserve">ДОГОВОР № </w:t>
      </w:r>
    </w:p>
    <w:p>
      <w:pPr>
        <w:pStyle w:val="Normal"/>
        <w:spacing w:lineRule="auto" w:line="256" w:before="0" w:after="0"/>
        <w:ind w:left="312" w:hanging="0"/>
        <w:jc w:val="center"/>
        <w:rPr>
          <w:b/>
          <w:b/>
          <w:sz w:val="22"/>
          <w:lang w:val="ru-RU"/>
        </w:rPr>
      </w:pPr>
      <w:r>
        <w:rPr>
          <w:b/>
          <w:sz w:val="22"/>
          <w:lang w:val="ru-RU"/>
        </w:rPr>
        <w:t>НА ОКАЗАНИЕ УСЛУГ</w:t>
      </w:r>
    </w:p>
    <w:p>
      <w:pPr>
        <w:pStyle w:val="Normal"/>
        <w:spacing w:lineRule="auto" w:line="256" w:before="0" w:after="0"/>
        <w:ind w:left="312" w:hanging="0"/>
        <w:rPr>
          <w:lang w:val="ru-RU"/>
        </w:rPr>
      </w:pPr>
      <w:r>
        <w:rPr>
          <w:lang w:val="ru-RU"/>
        </w:rPr>
        <w:t>г. Волгоград</w:t>
        <w:tab/>
        <w:tab/>
        <w:tab/>
        <w:tab/>
        <w:tab/>
        <w:tab/>
        <w:tab/>
        <w:tab/>
        <w:tab/>
        <w:t>«     »                2026г</w:t>
      </w:r>
    </w:p>
    <w:p>
      <w:pPr>
        <w:pStyle w:val="Normal"/>
        <w:spacing w:lineRule="auto" w:line="252" w:before="0" w:after="3"/>
        <w:ind w:left="297" w:firstLine="730"/>
        <w:jc w:val="left"/>
        <w:rPr>
          <w:sz w:val="22"/>
          <w:lang w:val="ru-RU"/>
        </w:rPr>
      </w:pPr>
      <w:r>
        <w:rPr>
          <w:sz w:val="22"/>
          <w:lang w:val="ru-RU"/>
        </w:rPr>
      </w:r>
    </w:p>
    <w:p>
      <w:pPr>
        <w:pStyle w:val="Normal"/>
        <w:spacing w:lineRule="auto" w:line="252" w:before="0" w:after="3"/>
        <w:ind w:left="297" w:firstLine="730"/>
        <w:rPr>
          <w:szCs w:val="24"/>
          <w:lang w:val="ru-RU"/>
        </w:rPr>
      </w:pPr>
      <w:r>
        <w:rPr>
          <w:szCs w:val="24"/>
          <w:lang w:val="ru-RU"/>
        </w:rPr>
        <w:t>Федеральное бюджетное учреждение «Администрация Волго-Донского бассейна внутренних водных путей», именуемое в дальнейшем «Заказчик», в лице начальника Волгоградских электрических сетей – филиала федерального бюджетного учреждения «Администрация Волго-Донского бассейна внутренних водных путей» Жучкина Олега Викторовича действующего на основании Положения и Доверенности № 11 от 05.02.2026г, с одной стороны, и                                         «                        », именуемое в дальнейшем ”Исполнитель”, в лице директора                                      , действующего на основании Устава, с другой стороны, заключили настоящий договор о нижеследующем.</w:t>
      </w:r>
    </w:p>
    <w:p>
      <w:pPr>
        <w:pStyle w:val="Normal"/>
        <w:spacing w:lineRule="auto" w:line="252" w:before="0" w:after="3"/>
        <w:ind w:left="3130" w:hanging="0"/>
        <w:jc w:val="left"/>
        <w:rPr>
          <w:b/>
          <w:b/>
          <w:szCs w:val="24"/>
          <w:lang w:val="ru-RU"/>
        </w:rPr>
      </w:pPr>
      <w:r>
        <w:rPr>
          <w:b/>
          <w:szCs w:val="24"/>
          <w:lang w:val="ru-RU"/>
        </w:rPr>
        <w:t>1. ПРЕДМЕТ ДОГОВОРА</w:t>
      </w:r>
    </w:p>
    <w:p>
      <w:pPr>
        <w:pStyle w:val="Normal"/>
        <w:spacing w:lineRule="auto" w:line="242" w:before="0" w:after="3"/>
        <w:ind w:left="284" w:firstLine="567"/>
        <w:rPr>
          <w:lang w:val="ru-RU"/>
        </w:rPr>
      </w:pPr>
      <w:r>
        <w:rPr>
          <w:lang w:val="ru-RU"/>
        </w:rPr>
        <w:t>1.1 Заказчик поручает, а Исполнитель принимает на себя обязательства по технической эксплуатации и техническому обслуживанию объектов, с подготовкой к отопительному периоду:</w:t>
      </w:r>
    </w:p>
    <w:p>
      <w:pPr>
        <w:pStyle w:val="Normal"/>
        <w:spacing w:lineRule="auto" w:line="242" w:before="0" w:after="3"/>
        <w:ind w:left="437" w:right="-34" w:hanging="0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>- оборудование автономной газовой котельной Производственной базы Волжского участка электросетей по адресу: Волгоградская область, Светлоярский район, п. Кирова, ул.</w:t>
      </w:r>
      <w:r>
        <w:rPr>
          <w:b/>
          <w:u w:val="single" w:color="000000"/>
          <w:lang w:val="ru-RU"/>
        </w:rPr>
        <w:t xml:space="preserve"> </w:t>
      </w:r>
      <w:r>
        <w:rPr>
          <w:lang w:val="ru-RU"/>
        </w:rPr>
        <w:t>Приканальная, дом 180,</w:t>
      </w:r>
      <w:r>
        <w:rPr>
          <w:u w:val="single" w:color="000000"/>
          <w:lang w:val="ru-RU"/>
        </w:rPr>
        <w:t xml:space="preserve"> </w:t>
      </w:r>
      <w:r>
        <w:rPr>
          <w:lang w:val="ru-RU"/>
        </w:rPr>
        <w:t>в соответствии с «Техническим регламентом о безопасности сетей газораспределения и газопотребления», «Правилами технической эксплуатации тепловых энергоустановок», и др.;</w:t>
      </w:r>
    </w:p>
    <w:p>
      <w:pPr>
        <w:pStyle w:val="Normal"/>
        <w:spacing w:lineRule="auto" w:line="242" w:before="0" w:after="3"/>
        <w:ind w:left="437" w:right="-34" w:hanging="0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 xml:space="preserve">- техническое обслуживание автоматики газоснабжения котельной Производственной базы Волжского участка электросетей по адресу: Волгоградская область, Светлоярский район, п. Кирова, ул. Приканальная, дом 180, являются следующие работы: «Текущий осмотр сигнализаторов загазованности «САКЗ-МК-3-2, БСУ-К-16, </w:t>
      </w:r>
      <w:r>
        <w:rPr/>
        <w:t>GSM</w:t>
      </w:r>
      <w:r>
        <w:rPr>
          <w:lang w:val="ru-RU"/>
        </w:rPr>
        <w:t>5, КЭЗГ-20» приготовление химреактивов, демонтаж, монтаж и передача в ЦСМ для проведения государственной поверки;</w:t>
      </w:r>
    </w:p>
    <w:p>
      <w:pPr>
        <w:pStyle w:val="Normal"/>
        <w:spacing w:lineRule="auto" w:line="242" w:before="0" w:after="3"/>
        <w:ind w:left="437" w:right="-34" w:hanging="0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>- оборудование автономной газовой котельной монтерского пункта ВЭС по адресу: Волгоградская область, Калачевский район, п. Пархоменко, ул. Шоссейная, дом 15 в соответствии с «Техническим регламентом о безопасности сетей газораспределения и газопотребления », « Правилами технической эксплуатации тепловых энергоустановок», и др.;</w:t>
      </w:r>
    </w:p>
    <w:p>
      <w:pPr>
        <w:pStyle w:val="Normal"/>
        <w:spacing w:lineRule="auto" w:line="242" w:before="0" w:after="3"/>
        <w:ind w:left="437" w:right="-34" w:hanging="0"/>
        <w:rPr/>
      </w:pPr>
      <w:r>
        <w:rPr>
          <w:lang w:val="ru-RU"/>
        </w:rPr>
        <w:t xml:space="preserve"> </w:t>
      </w:r>
      <w:r>
        <w:rPr>
          <w:lang w:val="ru-RU"/>
        </w:rPr>
        <w:t>- техническое обслуживание автоматики газоснабжения котельной монтерского пункта ВЭС в п. Пархоменко  Калачевского района Волгоградской области ,являются следующие работы: «Текущий осмотр, сигнализаторов загазованности «САКЗ-МК-3-2, БСУ-К-16,</w:t>
      </w:r>
      <w:r>
        <w:rPr/>
        <w:t>GSM</w:t>
      </w:r>
      <w:r>
        <w:rPr>
          <w:lang w:val="ru-RU"/>
        </w:rPr>
        <w:t xml:space="preserve"> 5,КЭЗГ-25»,приготовление химреактивов, демонтаж, монтаж и передача в ЦСМ для проведения государственной поверки.</w:t>
      </w:r>
    </w:p>
    <w:p>
      <w:pPr>
        <w:pStyle w:val="Normal"/>
        <w:spacing w:lineRule="auto" w:line="242" w:before="0" w:after="3"/>
        <w:ind w:left="437" w:right="-34" w:hanging="0"/>
        <w:rPr>
          <w:lang w:val="ru-RU"/>
        </w:rPr>
      </w:pPr>
      <w:r>
        <w:rPr>
          <w:lang w:val="ru-RU"/>
        </w:rPr>
        <w:t xml:space="preserve">       </w:t>
      </w:r>
      <w:r>
        <w:rPr>
          <w:lang w:val="ru-RU"/>
        </w:rPr>
        <w:t>Все выше перечисленные работы Исполнитель проводит собственными силами и средствами с обязательной фиксацией в эксплутационных журналах.</w:t>
      </w:r>
    </w:p>
    <w:p>
      <w:pPr>
        <w:pStyle w:val="Normal"/>
        <w:spacing w:lineRule="auto" w:line="242" w:before="0" w:after="3"/>
        <w:ind w:left="437" w:right="-34" w:hanging="0"/>
        <w:rPr>
          <w:lang w:val="ru-RU"/>
        </w:rPr>
      </w:pPr>
      <w:r>
        <w:rPr>
          <w:lang w:val="ru-RU"/>
        </w:rPr>
        <w:t xml:space="preserve">       </w:t>
      </w:r>
      <w:r>
        <w:rPr>
          <w:lang w:val="ru-RU"/>
        </w:rPr>
        <w:t>Объем и качество оказываемых Исполнителем услуг, а также используемые при этом материалы должны соответствовать требованиям, предъявляемым к работам соответствующего рода, действующим обязательным нормам и правилам, техническим регламентам.</w:t>
      </w:r>
    </w:p>
    <w:p>
      <w:pPr>
        <w:pStyle w:val="Normal"/>
        <w:spacing w:lineRule="auto" w:line="242" w:before="0" w:after="88"/>
        <w:ind w:left="302" w:firstLine="549"/>
        <w:rPr/>
      </w:pPr>
      <w:r>
        <w:rPr>
          <w:lang w:val="ru-RU"/>
        </w:rPr>
        <w:t>1.2. Продолжительность отопительного периода принимается 178 дней, согласно СП 131.13330.2020 с изменением №1 «Строительная</w:t>
      </w:r>
      <w:r>
        <w:rPr>
          <w:lang w:val="ru-RU" w:eastAsia="ru-RU"/>
        </w:rPr>
        <w:t xml:space="preserve"> климатология».</w:t>
      </w:r>
    </w:p>
    <w:p>
      <w:pPr>
        <w:pStyle w:val="Normal"/>
        <w:spacing w:lineRule="auto" w:line="242" w:before="0" w:after="88"/>
        <w:ind w:left="302" w:firstLine="549"/>
        <w:rPr>
          <w:lang w:val="ru-RU" w:eastAsia="ru-RU"/>
        </w:rPr>
      </w:pPr>
      <w:r>
        <w:rPr>
          <w:lang w:val="ru-RU" w:eastAsia="ru-RU"/>
        </w:rPr>
      </w:r>
    </w:p>
    <w:p>
      <w:pPr>
        <w:pStyle w:val="Normal"/>
        <w:spacing w:lineRule="auto" w:line="252" w:before="0" w:after="3"/>
        <w:ind w:left="426" w:right="138" w:hanging="0"/>
        <w:jc w:val="center"/>
        <w:rPr>
          <w:b/>
          <w:b/>
          <w:szCs w:val="24"/>
          <w:lang w:val="ru-RU"/>
        </w:rPr>
      </w:pPr>
      <w:r>
        <w:rPr>
          <w:b/>
          <w:szCs w:val="24"/>
          <w:lang w:val="ru-RU"/>
        </w:rPr>
        <w:t>2. ТЕХНИЧЕСКАЯ ЭКСПЛУАТАЦИЯ И РЕМОНТ КОТЕЛЬНОГО</w:t>
      </w:r>
    </w:p>
    <w:p>
      <w:pPr>
        <w:pStyle w:val="Normal"/>
        <w:spacing w:lineRule="auto" w:line="252" w:before="0" w:after="3"/>
        <w:ind w:left="426" w:right="138" w:hanging="0"/>
        <w:jc w:val="center"/>
        <w:rPr>
          <w:b/>
          <w:b/>
          <w:szCs w:val="24"/>
          <w:lang w:val="ru-RU"/>
        </w:rPr>
      </w:pPr>
      <w:r>
        <w:rPr>
          <w:b/>
          <w:szCs w:val="24"/>
          <w:lang w:val="ru-RU"/>
        </w:rPr>
        <w:t>ОБОРУДОВАНИЯ.</w:t>
      </w:r>
    </w:p>
    <w:p>
      <w:pPr>
        <w:pStyle w:val="Normal"/>
        <w:spacing w:lineRule="auto" w:line="252" w:before="0" w:after="3"/>
        <w:ind w:left="426" w:right="138" w:hanging="0"/>
        <w:jc w:val="center"/>
        <w:rPr>
          <w:b/>
          <w:b/>
          <w:szCs w:val="24"/>
          <w:lang w:val="ru-RU"/>
        </w:rPr>
      </w:pPr>
      <w:r>
        <w:rPr>
          <w:b/>
          <w:szCs w:val="24"/>
          <w:lang w:val="ru-RU"/>
        </w:rPr>
      </w:r>
    </w:p>
    <w:p>
      <w:pPr>
        <w:pStyle w:val="Normal"/>
        <w:spacing w:lineRule="auto" w:line="242" w:before="0" w:after="3"/>
        <w:ind w:left="302" w:firstLine="549"/>
        <w:rPr>
          <w:szCs w:val="24"/>
          <w:lang w:val="ru-RU"/>
        </w:rPr>
      </w:pPr>
      <w:r>
        <w:rPr>
          <w:szCs w:val="24"/>
          <w:lang w:val="ru-RU"/>
        </w:rPr>
        <w:t>2.1. Техническая эксплуатация подразумевает ежемесячное (в отопительный период) проведение смазки, чистки. наладки, регулировки и осуществление иных действий в целях поддержания работоспособности котельного оборудования и обеспечения безопасных условий эксплуатации.</w:t>
      </w:r>
    </w:p>
    <w:p>
      <w:pPr>
        <w:pStyle w:val="Normal"/>
        <w:spacing w:lineRule="auto" w:line="242" w:before="0" w:after="3"/>
        <w:ind w:left="284" w:firstLine="567"/>
        <w:rPr>
          <w:szCs w:val="24"/>
          <w:lang w:val="ru-RU"/>
        </w:rPr>
      </w:pPr>
      <w:r>
        <w:rPr>
          <w:szCs w:val="24"/>
          <w:lang w:val="ru-RU"/>
        </w:rPr>
      </w:r>
    </w:p>
    <w:p>
      <w:pPr>
        <w:pStyle w:val="Normal"/>
        <w:spacing w:lineRule="auto" w:line="256" w:before="0" w:after="0"/>
        <w:ind w:left="298" w:hanging="0"/>
        <w:jc w:val="center"/>
        <w:rPr>
          <w:b/>
          <w:b/>
          <w:szCs w:val="24"/>
          <w:lang w:val="ru-RU"/>
        </w:rPr>
      </w:pPr>
      <w:r>
        <w:rPr>
          <w:b/>
          <w:szCs w:val="24"/>
          <w:lang w:val="ru-RU"/>
        </w:rPr>
        <w:t>З. ОБЯЗАННОСТИ СТОРОН</w:t>
      </w:r>
    </w:p>
    <w:p>
      <w:pPr>
        <w:pStyle w:val="Normal"/>
        <w:spacing w:lineRule="auto" w:line="256" w:before="0" w:after="0"/>
        <w:ind w:left="298" w:firstLine="553"/>
        <w:jc w:val="left"/>
        <w:rPr>
          <w:szCs w:val="24"/>
          <w:lang w:val="ru-RU"/>
        </w:rPr>
      </w:pPr>
      <w:r>
        <w:rPr>
          <w:szCs w:val="24"/>
          <w:lang w:val="ru-RU"/>
        </w:rPr>
        <w:t xml:space="preserve">3.1 </w:t>
      </w:r>
      <w:r>
        <w:rPr>
          <w:b/>
          <w:szCs w:val="24"/>
          <w:lang w:val="ru-RU"/>
        </w:rPr>
        <w:t>Исполнитель обязуется</w:t>
      </w:r>
      <w:r>
        <w:rPr>
          <w:szCs w:val="24"/>
          <w:lang w:val="ru-RU"/>
        </w:rPr>
        <w:t xml:space="preserve"> </w:t>
      </w:r>
    </w:p>
    <w:p>
      <w:pPr>
        <w:pStyle w:val="Normal"/>
        <w:spacing w:lineRule="auto" w:line="242" w:before="0" w:after="3"/>
        <w:ind w:left="284" w:firstLine="567"/>
        <w:rPr>
          <w:szCs w:val="24"/>
          <w:lang w:val="ru-RU"/>
        </w:rPr>
      </w:pPr>
      <w:r>
        <w:rPr>
          <w:szCs w:val="24"/>
          <w:lang w:val="ru-RU"/>
        </w:rPr>
        <w:t>3.1.1. Обеспечить выполнение работ по содержанию автоматики котельного Оборудования в исправном состоянии своим квалифицированным персоналом с соблюдением требований действующих Правил охраны труда и техники безопасности и Производственных инструкций для обслуживающего персонала.</w:t>
      </w:r>
    </w:p>
    <w:p>
      <w:pPr>
        <w:pStyle w:val="Normal"/>
        <w:spacing w:lineRule="auto" w:line="242" w:before="0" w:after="3"/>
        <w:ind w:left="284" w:firstLine="443"/>
        <w:rPr>
          <w:szCs w:val="24"/>
          <w:lang w:val="ru-RU"/>
        </w:rPr>
      </w:pPr>
      <w:r>
        <w:rPr>
          <w:szCs w:val="24"/>
          <w:lang w:val="ru-RU"/>
        </w:rPr>
        <w:t>3.1.2. Организовать обучение своего технического персонала, периодическую проверку знаний и обеспечить Производственными инструкциями.</w:t>
      </w:r>
    </w:p>
    <w:p>
      <w:pPr>
        <w:pStyle w:val="Normal"/>
        <w:spacing w:lineRule="auto" w:line="242" w:before="0" w:after="3"/>
        <w:ind w:left="284" w:firstLine="425"/>
        <w:rPr>
          <w:szCs w:val="24"/>
          <w:lang w:val="ru-RU"/>
        </w:rPr>
      </w:pPr>
      <w:r>
        <w:rPr>
          <w:szCs w:val="24"/>
          <w:lang w:val="ru-RU"/>
        </w:rPr>
        <w:t>3.1.3. Принимать участие в проведении контрольных осмотров котельного оборудования, проводимых инспекторами Ростехнадзора России.</w:t>
      </w:r>
    </w:p>
    <w:p>
      <w:pPr>
        <w:pStyle w:val="Normal"/>
        <w:spacing w:lineRule="auto" w:line="242" w:before="0" w:after="3"/>
        <w:ind w:left="284" w:firstLine="425"/>
        <w:rPr>
          <w:szCs w:val="24"/>
          <w:lang w:val="ru-RU"/>
        </w:rPr>
      </w:pPr>
      <w:r>
        <w:rPr>
          <w:szCs w:val="24"/>
          <w:lang w:val="ru-RU"/>
        </w:rPr>
        <w:t>3.1.4 Своевременно уведомлять Заказчика о необходимости замены морально и физически устаревших отдельных деталей, узлов и механизмов котельного оборудования, контрольно-измерительных приборов и средств автоматизации, дальнейшая эксплуатация которых не обеспечивает их безопасную и бесперебойную работу.</w:t>
      </w:r>
    </w:p>
    <w:p>
      <w:pPr>
        <w:pStyle w:val="Normal"/>
        <w:spacing w:lineRule="auto" w:line="242" w:before="0" w:after="3"/>
        <w:ind w:left="284" w:firstLine="425"/>
        <w:rPr>
          <w:szCs w:val="24"/>
          <w:lang w:val="ru-RU"/>
        </w:rPr>
      </w:pPr>
      <w:r>
        <w:rPr>
          <w:szCs w:val="24"/>
          <w:lang w:val="ru-RU"/>
        </w:rPr>
        <w:t>Своевременно информировать Заказчика об изменениях требований в эксплуатации газовых котлов, а также давать рекомендации о возможных технических усовершенствованиях.</w:t>
      </w:r>
    </w:p>
    <w:p>
      <w:pPr>
        <w:pStyle w:val="Normal"/>
        <w:spacing w:lineRule="auto" w:line="242" w:before="0" w:after="3"/>
        <w:ind w:left="284" w:firstLine="425"/>
        <w:rPr>
          <w:szCs w:val="24"/>
          <w:lang w:val="ru-RU"/>
        </w:rPr>
      </w:pPr>
      <w:r>
        <w:rPr>
          <w:szCs w:val="24"/>
          <w:lang w:val="ru-RU"/>
        </w:rPr>
        <w:t>3.1.5 Ежемесячно до 30 числа текущего месяца представлять Заказчику для подписания Акты сдачи-приемки оказанных услуг (выполненных работ).</w:t>
      </w:r>
    </w:p>
    <w:p>
      <w:pPr>
        <w:pStyle w:val="Normal"/>
        <w:ind w:left="408" w:right="322" w:firstLine="312"/>
        <w:rPr>
          <w:szCs w:val="24"/>
          <w:lang w:val="ru-RU"/>
        </w:rPr>
      </w:pPr>
      <w:r>
        <w:rPr>
          <w:szCs w:val="24"/>
          <w:lang w:val="ru-RU"/>
        </w:rPr>
        <w:t>3.1.6. Обеспечить выполнение предписаний органов Ростехнадзора России по вопросам, отнесенным к компетенции Исполнителя,</w:t>
      </w:r>
    </w:p>
    <w:p>
      <w:pPr>
        <w:pStyle w:val="Normal"/>
        <w:ind w:left="408" w:right="322" w:firstLine="312"/>
        <w:rPr>
          <w:szCs w:val="24"/>
          <w:lang w:val="ru-RU"/>
        </w:rPr>
      </w:pPr>
      <w:r>
        <w:rPr>
          <w:szCs w:val="24"/>
          <w:lang w:val="ru-RU"/>
        </w:rPr>
        <w:t>3.1.7. Обеспечить своевременное уведомление органов Ростехнадзора России о выполнении данных ими предписаний по вопросам, относящимся к компетенции Исполнителя.</w:t>
      </w:r>
    </w:p>
    <w:p>
      <w:pPr>
        <w:pStyle w:val="Normal"/>
        <w:ind w:left="408" w:right="322" w:firstLine="312"/>
        <w:rPr>
          <w:szCs w:val="24"/>
          <w:lang w:val="ru-RU"/>
        </w:rPr>
      </w:pPr>
      <w:r>
        <w:rPr>
          <w:szCs w:val="24"/>
          <w:lang w:val="ru-RU"/>
        </w:rPr>
        <w:t>3.1.8 Исполнитель обязуется приостанавливать эксплуатацию газовых котлов самостоятельно или по предписанию органов Ростехнадзора России, в случае угрозы жизни людей.</w:t>
      </w:r>
    </w:p>
    <w:p>
      <w:pPr>
        <w:pStyle w:val="Normal"/>
        <w:ind w:left="245" w:right="191" w:firstLine="464"/>
        <w:rPr>
          <w:b/>
          <w:b/>
          <w:szCs w:val="24"/>
          <w:lang w:val="ru-RU"/>
        </w:rPr>
      </w:pPr>
      <w:r>
        <w:rPr>
          <w:szCs w:val="24"/>
          <w:lang w:val="ru-RU"/>
        </w:rPr>
        <w:t xml:space="preserve">3.2 </w:t>
      </w:r>
      <w:r>
        <w:rPr>
          <w:b/>
          <w:szCs w:val="24"/>
          <w:lang w:val="ru-RU"/>
        </w:rPr>
        <w:t>3аказчик обязуется:</w:t>
      </w:r>
    </w:p>
    <w:p>
      <w:pPr>
        <w:pStyle w:val="Normal"/>
        <w:ind w:left="417" w:right="191" w:firstLine="303"/>
        <w:rPr>
          <w:szCs w:val="24"/>
          <w:lang w:val="ru-RU"/>
        </w:rPr>
      </w:pPr>
      <w:r>
        <w:rPr>
          <w:szCs w:val="24"/>
          <w:lang w:val="ru-RU"/>
        </w:rPr>
        <w:t>3.2.1. Обеспечить в соответствии с Приказом Федеральной службы по экологическому, технологическому и атомному надзору от 15 декабря 2020 г. № 531 «Об утверждении федеральных норм и правил в области промышленной безопасности «Правила безопасности сетей газораспределения и газопотребления» укомплектованность штата работников, связанных с эксплуатацией газовых котлов.</w:t>
      </w:r>
    </w:p>
    <w:p>
      <w:pPr>
        <w:pStyle w:val="Normal"/>
        <w:ind w:left="417" w:right="191" w:firstLine="303"/>
        <w:rPr>
          <w:szCs w:val="24"/>
          <w:lang w:val="ru-RU"/>
        </w:rPr>
      </w:pPr>
      <w:r>
        <w:rPr>
          <w:szCs w:val="24"/>
          <w:lang w:val="ru-RU"/>
        </w:rPr>
        <w:t>3.2.2. Производить уборку помещения котельной</w:t>
      </w:r>
    </w:p>
    <w:p>
      <w:pPr>
        <w:pStyle w:val="Normal"/>
        <w:ind w:left="417" w:right="191" w:firstLine="303"/>
        <w:rPr>
          <w:szCs w:val="24"/>
          <w:lang w:val="ru-RU"/>
        </w:rPr>
      </w:pPr>
      <w:r>
        <w:rPr>
          <w:szCs w:val="24"/>
          <w:lang w:val="ru-RU"/>
        </w:rPr>
        <w:t>3.2.3. Обеспечить надежное электроснабжение помещения котельной.</w:t>
      </w:r>
    </w:p>
    <w:p>
      <w:pPr>
        <w:pStyle w:val="Normal"/>
        <w:ind w:left="417" w:right="322" w:firstLine="303"/>
        <w:rPr>
          <w:szCs w:val="24"/>
          <w:lang w:val="ru-RU"/>
        </w:rPr>
      </w:pPr>
      <w:r>
        <w:rPr>
          <w:szCs w:val="24"/>
          <w:lang w:val="ru-RU"/>
        </w:rPr>
        <w:t>3.2.4. Исключить попадание влаги на электрооборудование, оборудование контрольно-измерительных приборов и средств автоматизации, а в случае затопления помещения котельной своими силами производить удаление воды, их осушение.</w:t>
      </w:r>
    </w:p>
    <w:p>
      <w:pPr>
        <w:pStyle w:val="Normal"/>
        <w:ind w:left="417" w:right="322" w:firstLine="303"/>
        <w:rPr>
          <w:szCs w:val="24"/>
          <w:lang w:val="ru-RU"/>
        </w:rPr>
      </w:pPr>
      <w:r>
        <w:rPr>
          <w:szCs w:val="24"/>
          <w:lang w:val="ru-RU"/>
        </w:rPr>
        <w:t>3.2.5. Предоставлять специалистам Исполнителя в любое время свободный доступ к оборудованию котельной, обеспечивать в соответствии с требованиями нормативной технической документацией.</w:t>
      </w:r>
    </w:p>
    <w:p>
      <w:pPr>
        <w:pStyle w:val="Normal"/>
        <w:ind w:left="417" w:right="322" w:firstLine="303"/>
        <w:rPr>
          <w:szCs w:val="24"/>
          <w:lang w:val="ru-RU"/>
        </w:rPr>
      </w:pPr>
      <w:r>
        <w:rPr>
          <w:szCs w:val="24"/>
          <w:lang w:val="ru-RU"/>
        </w:rPr>
        <w:t xml:space="preserve">3.2.6. Немедленно уведомлять орган Ростехнадзора и Исполнителя об авариях, происшедших в котельной. обеспечить сохранность места аварии или несчастного случая до прибытия инспектора (если нет опасности для жизни и здоровья людей) и принимать участие в работе комиссии по расследованию. </w:t>
      </w:r>
      <w:r>
        <w:rPr>
          <w:szCs w:val="24"/>
          <w:lang w:val="ru-RU" w:eastAsia="ru-RU"/>
        </w:rPr>
        <w:drawing>
          <wp:inline distT="0" distB="0" distL="0" distR="0">
            <wp:extent cx="15875" cy="15875"/>
            <wp:effectExtent l="0" t="0" r="0" b="0"/>
            <wp:docPr id="1" name="Picture 628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289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886" t="-757" r="-1886" b="-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417" w:right="191" w:firstLine="303"/>
        <w:rPr>
          <w:szCs w:val="24"/>
          <w:lang w:val="ru-RU"/>
        </w:rPr>
      </w:pPr>
      <w:r>
        <w:rPr>
          <w:szCs w:val="24"/>
          <w:lang w:val="ru-RU"/>
        </w:rPr>
        <w:t>3.2.7. Исключить доступ к системе посторонних лиц, не ознакомленных с правилами эксплуатации котельного оборудования</w:t>
      </w:r>
    </w:p>
    <w:p>
      <w:pPr>
        <w:pStyle w:val="Normal"/>
        <w:ind w:left="426" w:right="191" w:firstLine="294"/>
        <w:rPr>
          <w:szCs w:val="24"/>
          <w:lang w:val="ru-RU"/>
        </w:rPr>
      </w:pPr>
      <w:r>
        <w:rPr>
          <w:szCs w:val="24"/>
          <w:lang w:val="ru-RU"/>
        </w:rPr>
        <w:t>3.2.9. Сохранить установленные специалистами Исполнителя настройки оборудования.</w:t>
      </w:r>
    </w:p>
    <w:p>
      <w:pPr>
        <w:pStyle w:val="Normal"/>
        <w:ind w:left="408" w:right="191" w:firstLine="312"/>
        <w:rPr>
          <w:szCs w:val="24"/>
          <w:lang w:val="ru-RU"/>
        </w:rPr>
      </w:pPr>
      <w:r>
        <w:rPr>
          <w:szCs w:val="24"/>
          <w:lang w:val="ru-RU"/>
        </w:rPr>
        <w:t>3.2.10. Заказчик также немедленно уведомляет Исполнителя в случае:</w:t>
      </w:r>
    </w:p>
    <w:p>
      <w:pPr>
        <w:pStyle w:val="Normal"/>
        <w:numPr>
          <w:ilvl w:val="2"/>
          <w:numId w:val="3"/>
        </w:numPr>
        <w:ind w:left="426" w:right="191" w:firstLine="711"/>
        <w:rPr>
          <w:szCs w:val="24"/>
          <w:lang w:val="ru-RU"/>
        </w:rPr>
      </w:pPr>
      <w:r>
        <w:rPr>
          <w:szCs w:val="24"/>
          <w:lang w:val="ru-RU"/>
        </w:rPr>
        <w:t>планирования работ, которые могут повлиять на нормальную эксплуатацию оборудования;</w:t>
      </w:r>
    </w:p>
    <w:p>
      <w:pPr>
        <w:pStyle w:val="Normal"/>
        <w:numPr>
          <w:ilvl w:val="2"/>
          <w:numId w:val="3"/>
        </w:numPr>
        <w:ind w:left="1492" w:right="191" w:hanging="355"/>
        <w:rPr>
          <w:szCs w:val="24"/>
          <w:lang w:val="ru-RU"/>
        </w:rPr>
      </w:pPr>
      <w:r>
        <w:rPr>
          <w:szCs w:val="24"/>
          <w:lang w:val="ru-RU"/>
        </w:rPr>
        <w:t>временного выключения котлов из работы.</w:t>
      </w:r>
    </w:p>
    <w:p>
      <w:pPr>
        <w:pStyle w:val="Normal"/>
        <w:ind w:left="417" w:right="322" w:firstLine="303"/>
        <w:rPr>
          <w:szCs w:val="24"/>
          <w:lang w:val="ru-RU"/>
        </w:rPr>
      </w:pPr>
      <w:r>
        <w:rPr>
          <w:szCs w:val="24"/>
          <w:lang w:val="ru-RU"/>
        </w:rPr>
        <w:t>3.2.11. Организовать работу комиссий по разбору случаев умышленной порчи оборудования с участием исполнителя и составлением актов и перечней необходимых работ и материалов для его восстановления,</w:t>
      </w:r>
    </w:p>
    <w:p>
      <w:pPr>
        <w:pStyle w:val="Normal"/>
        <w:ind w:left="426" w:right="317" w:firstLine="283"/>
        <w:rPr>
          <w:szCs w:val="24"/>
          <w:lang w:val="ru-RU"/>
        </w:rPr>
      </w:pPr>
      <w:r>
        <w:rPr>
          <w:szCs w:val="24"/>
          <w:lang w:val="ru-RU"/>
        </w:rPr>
        <w:t>3.2.12. Не допускать установки какой-либо посторонней аппаратуры. а также производства каких-либо видов работ связанных с котельным оборудованием своими работниками, представителями сторонних служб и организаций в помещении котельной без согласования с Исполнителем.</w:t>
      </w:r>
    </w:p>
    <w:p>
      <w:pPr>
        <w:pStyle w:val="Normal"/>
        <w:ind w:left="426" w:right="317" w:firstLine="283"/>
        <w:rPr>
          <w:szCs w:val="24"/>
          <w:lang w:val="ru-RU"/>
        </w:rPr>
      </w:pPr>
      <w:r>
        <w:rPr>
          <w:szCs w:val="24"/>
          <w:lang w:val="ru-RU"/>
        </w:rPr>
        <w:t>3.3.13. Обеспечивать приобретение запасных частей и узлов котлов, необходимых для замены изношенных и вышедших из строя.</w:t>
      </w:r>
    </w:p>
    <w:p>
      <w:pPr>
        <w:pStyle w:val="Normal"/>
        <w:ind w:left="437" w:right="317" w:firstLine="272"/>
        <w:rPr>
          <w:szCs w:val="24"/>
          <w:lang w:val="ru-RU"/>
        </w:rPr>
      </w:pPr>
      <w:r>
        <w:rPr>
          <w:szCs w:val="24"/>
          <w:lang w:val="ru-RU"/>
        </w:rPr>
        <w:t>3.2.14. Подписывать, уполномоченным лицом, в течение 3 рабочих дней ежемесячно представляемые Исполнителем Акты сдачи-приемки оказанных услуг (выполненных работ) и 2-ой экземпляр возвращать Исполнителю. В случае, если Заказчик не подписывает Акт приемки работ и не предоставляет обоснованный отказ от его подписания, то по истечении 5 (пяти) календарных дней с момента получения Заказчиком Акта приемки работ, работы считаются принятыми и подлежат оплате. 3.2.15. Принимать участие в проведении контрольных осмотров оборудования котлов, проводимых инспекторами Ростехнадзора России.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3.2.16. Обеспечить выполнение предписаний органов Ростехнадзора России по вопросам, отнесенным к компетенции Заказчика.</w:t>
      </w:r>
    </w:p>
    <w:p>
      <w:pPr>
        <w:pStyle w:val="Normal"/>
        <w:ind w:left="426" w:right="317" w:firstLine="283"/>
        <w:rPr>
          <w:szCs w:val="24"/>
          <w:lang w:val="ru-RU"/>
        </w:rPr>
      </w:pPr>
      <w:r>
        <w:rPr>
          <w:szCs w:val="24"/>
          <w:lang w:val="ru-RU"/>
        </w:rPr>
        <w:t>3.2.17 Обеспечить своевременное уведомление органов Ростехнадзора России. Инженерных центров о выполнении данных ими предписаний по вопросам, относящимся к компетенции Заказчика.</w:t>
      </w:r>
    </w:p>
    <w:p>
      <w:pPr>
        <w:pStyle w:val="1"/>
        <w:numPr>
          <w:ilvl w:val="0"/>
          <w:numId w:val="1"/>
        </w:numPr>
        <w:ind w:left="202" w:right="67" w:hanging="202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СТОИМОСТЬ РАБОТ, ПОРЯДОК И УСЛОВИЯ РАСЧЁТОВ</w:t>
      </w:r>
    </w:p>
    <w:p>
      <w:pPr>
        <w:pStyle w:val="Normal"/>
        <w:ind w:left="426" w:right="191" w:firstLine="283"/>
        <w:rPr/>
      </w:pPr>
      <w:r>
        <w:rPr>
          <w:szCs w:val="24"/>
          <w:lang w:val="ru-RU"/>
        </w:rPr>
        <w:t>4.1. Стоимость работ составляет 589498,00 (Пятьсот восемьдесят девять тысяч четыреста девяносто восемь) рублей 00 коп. в отопительный период, в том числе НДС 5%.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4.2. Оплата по настоящему договору производится Заказчиком ежемесячно в рублях путем перечисления денежных средств через кредитные организации (Банк) на расчетный счет Исполнителя не позднее 10 (десятого) числа месяца, за который производится оплата (предоплата) на основании выставленного счета и акта выполненных работ.</w:t>
      </w:r>
    </w:p>
    <w:p>
      <w:pPr>
        <w:pStyle w:val="Normal"/>
        <w:spacing w:before="0" w:after="248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4.4. Моментом исполнения денежного обязательства по оплате услуг следует считать день поступления Денежных средств на расчетный счет Исполнителя.</w:t>
      </w:r>
    </w:p>
    <w:p>
      <w:pPr>
        <w:pStyle w:val="1"/>
        <w:numPr>
          <w:ilvl w:val="0"/>
          <w:numId w:val="1"/>
        </w:numPr>
        <w:ind w:left="202" w:right="62" w:hanging="202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ОТВЕТСТВЕННОСТЬ СТОРОН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5.1. В случае нарушения Заказчиком сроков оплаты услуг (работ), он несет ответственность в соответствии со ст.395 Гражданского кодекса РФ.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 xml:space="preserve">5.2. Исполнитель вправе приостановить оказание услуг (выполнение работ) в случае несвоевременной оплаты Заказчиком стоимости оказанных Исполнителем услуг (выполненных работ) до погашения задолженности с применением мер ответственности, указанных в п. 5.1. настоящего Договора. </w:t>
      </w:r>
      <w:r>
        <w:rPr>
          <w:szCs w:val="24"/>
          <w:lang w:val="ru-RU" w:eastAsia="ru-RU"/>
        </w:rPr>
        <w:drawing>
          <wp:inline distT="0" distB="0" distL="0" distR="0">
            <wp:extent cx="15875" cy="15875"/>
            <wp:effectExtent l="0" t="0" r="0" b="0"/>
            <wp:docPr id="2" name="Picture 907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07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265" t="-757" r="-1265" b="-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" cy="1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left="426" w:right="191" w:firstLine="567"/>
        <w:rPr>
          <w:szCs w:val="24"/>
          <w:lang w:val="ru-RU"/>
        </w:rPr>
      </w:pPr>
      <w:r>
        <w:rPr>
          <w:szCs w:val="24"/>
          <w:lang w:val="ru-RU"/>
        </w:rPr>
        <w:t>В случае нарушения Исполнителем сроков выполнения работ, указанных в договоре Исполнитель оплачивает Заказчику неустойку в размере 0,1% от стоимости работ за каждый день просрочки выполнения.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5.3. Исполнитель не несет ответственности в случае прямого или. косвенного ущерба, нанесенного вмешательством Заказчика или какой-либо третьей стороны в работу или конструкцию котельного оборудования, средств измерений и автоматизации.</w:t>
      </w:r>
    </w:p>
    <w:p>
      <w:pPr>
        <w:pStyle w:val="Normal"/>
        <w:ind w:left="426" w:right="191" w:firstLine="212"/>
        <w:rPr>
          <w:szCs w:val="24"/>
          <w:lang w:val="ru-RU"/>
        </w:rPr>
      </w:pPr>
      <w:r>
        <w:rPr>
          <w:szCs w:val="24"/>
          <w:lang w:val="ru-RU"/>
        </w:rPr>
        <w:t>5.4. В случае привлечения Заказчиком третьей стороны для производства любых работ, связанных с газораспределительным и котельным оборудованием, Исполнитель приступает к исполнению своих обязанностей по данному Договору только после инспекции и производства пусконаладочных работ за отдельную плату.</w:t>
      </w:r>
    </w:p>
    <w:p>
      <w:pPr>
        <w:pStyle w:val="Normal"/>
        <w:ind w:left="426" w:right="970" w:firstLine="283"/>
        <w:rPr>
          <w:szCs w:val="24"/>
          <w:lang w:val="ru-RU"/>
        </w:rPr>
      </w:pPr>
      <w:r>
        <w:rPr>
          <w:szCs w:val="24"/>
          <w:lang w:val="ru-RU"/>
        </w:rPr>
        <w:t>5.5 Граница ответственности за состояние и эксплуатацию теплоустановок устанавливается: на вводе трубопроводов тепловой сети и определяется границами помещений котельной</w:t>
      </w:r>
    </w:p>
    <w:p>
      <w:pPr>
        <w:pStyle w:val="Normal"/>
        <w:ind w:left="709" w:right="191" w:hanging="0"/>
        <w:rPr>
          <w:szCs w:val="24"/>
          <w:lang w:val="ru-RU"/>
        </w:rPr>
      </w:pPr>
      <w:r>
        <w:rPr>
          <w:szCs w:val="24"/>
          <w:lang w:val="ru-RU"/>
        </w:rPr>
        <w:t>5.6 Исполнитель не несет ответственности:</w:t>
      </w:r>
    </w:p>
    <w:p>
      <w:pPr>
        <w:pStyle w:val="Normal"/>
        <w:numPr>
          <w:ilvl w:val="0"/>
          <w:numId w:val="2"/>
        </w:numPr>
        <w:ind w:left="426" w:right="360" w:firstLine="283"/>
        <w:rPr>
          <w:szCs w:val="24"/>
          <w:lang w:val="ru-RU"/>
        </w:rPr>
      </w:pPr>
      <w:r>
        <w:rPr>
          <w:szCs w:val="24"/>
          <w:lang w:val="ru-RU"/>
        </w:rPr>
        <w:t xml:space="preserve">За ущерб, вызванный подтоплением помещений вследствие аварий на сетях, </w:t>
      </w:r>
      <w:r>
        <w:rPr>
          <w:szCs w:val="24"/>
          <w:lang w:val="ru-RU" w:eastAsia="ru-RU"/>
        </w:rPr>
        <w:drawing>
          <wp:inline distT="0" distB="0" distL="0" distR="0">
            <wp:extent cx="60960" cy="30480"/>
            <wp:effectExtent l="0" t="0" r="0" b="0"/>
            <wp:docPr id="3" name="Picture 2067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067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89" t="-377" r="-189" b="-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" cy="3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  <w:lang w:val="ru-RU"/>
        </w:rPr>
        <w:t>находящихся на балансе Заказчика.</w:t>
      </w:r>
    </w:p>
    <w:p>
      <w:pPr>
        <w:pStyle w:val="Normal"/>
        <w:numPr>
          <w:ilvl w:val="0"/>
          <w:numId w:val="2"/>
        </w:numPr>
        <w:spacing w:before="0" w:after="192"/>
        <w:ind w:left="426" w:right="360" w:firstLine="283"/>
        <w:rPr>
          <w:szCs w:val="24"/>
          <w:lang w:val="ru-RU"/>
        </w:rPr>
      </w:pPr>
      <w:r>
        <w:rPr>
          <w:szCs w:val="24"/>
          <w:lang w:val="ru-RU"/>
        </w:rPr>
        <w:t>За снижение параметров и не до отпуск тепловой энергии, вызванный, длительное похолодание, при котором температура наружного воздуха держится более 48 часов ниже расчетной температуры для проектирования систем отопления.</w:t>
      </w:r>
    </w:p>
    <w:p>
      <w:pPr>
        <w:pStyle w:val="Normal"/>
        <w:spacing w:before="0" w:after="0"/>
        <w:ind w:left="1195" w:right="360" w:hanging="0"/>
        <w:jc w:val="center"/>
        <w:rPr>
          <w:szCs w:val="24"/>
          <w:lang w:val="ru-RU"/>
        </w:rPr>
      </w:pPr>
      <w:r>
        <w:rPr>
          <w:szCs w:val="24"/>
          <w:lang w:val="ru-RU"/>
        </w:rPr>
        <w:t>6.</w:t>
      </w:r>
      <w:r>
        <w:rPr>
          <w:b/>
          <w:szCs w:val="24"/>
          <w:lang w:val="ru-RU"/>
        </w:rPr>
        <w:t>ОБСТОЯТЕЛЬСТВА ФОРС-МАЖОР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6.1. Стороны освобождаются от ответственности за частичное или полное невыполнение обязательств по договору, если они явились следствием обстоятельств непреодолимой силы, а именно: пожара, наводнения, землетрясения, урагана и др. катастроф.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6.2. В случае признания форс-мажора сторонами сроки исполнения обязательств по Договору отодвигаются соразмерно времени, в течение которого действовали обстоятельства непреодолимой силы.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6.3. Сторона, для которой создалась невозможность исполнения обязательств по договору, обязана известить другую сторону о наступлении вышеуказанных обстоятельств не позднее 5-ти дней с момента наступления.</w:t>
      </w:r>
    </w:p>
    <w:p>
      <w:pPr>
        <w:pStyle w:val="1"/>
        <w:numPr>
          <w:ilvl w:val="0"/>
          <w:numId w:val="0"/>
        </w:numPr>
        <w:ind w:left="0" w:right="130" w:hanging="0"/>
        <w:rPr>
          <w:b/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7.ПРОЧИЕ УСЛОВИЯ</w:t>
      </w:r>
    </w:p>
    <w:p>
      <w:pPr>
        <w:pStyle w:val="Normal"/>
        <w:ind w:left="426" w:right="191" w:firstLine="222"/>
        <w:rPr>
          <w:szCs w:val="24"/>
          <w:lang w:val="ru-RU"/>
        </w:rPr>
      </w:pPr>
      <w:r>
        <w:rPr>
          <w:szCs w:val="24"/>
          <w:lang w:val="ru-RU"/>
        </w:rPr>
        <w:t>7.1. Настоящий Договор вступает в силу с 15 сентября 2026 г. по 11.04.2027 г., а в части расчетов до полного исполнения договорных обязательств.</w:t>
      </w:r>
    </w:p>
    <w:p>
      <w:pPr>
        <w:pStyle w:val="Normal"/>
        <w:ind w:left="426" w:right="191" w:firstLine="202"/>
        <w:rPr>
          <w:szCs w:val="24"/>
          <w:lang w:val="ru-RU"/>
        </w:rPr>
      </w:pPr>
      <w:r>
        <w:rPr>
          <w:szCs w:val="24"/>
          <w:lang w:val="ru-RU"/>
        </w:rPr>
        <w:t>7.2. В случае нарушения одной из сторон обязательств, другая сторона вправе расторгнуть настоящий договор, уведомив об этом в письменной форме. Договор считается расторгнутым после получения согласия другой стороны в 10-дневный срок со дня получения предложения о расторжении Договора.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В случае получения отказа либо неполучения ответа в вышеуказанные сроки договор считается расторгнутым после вступления в силу решения Арбитражного суда в соответствии с п. 7.5 настоящего Договора.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7.3. Исполнитель не несёт ответственности за какие-либо потери, убытки, порчу, а также иные обстоятельства, возникающие по независимым от Исполнителя причинам.</w:t>
      </w:r>
    </w:p>
    <w:p>
      <w:pPr>
        <w:pStyle w:val="Normal"/>
        <w:ind w:left="426" w:right="191" w:firstLine="283"/>
        <w:rPr>
          <w:szCs w:val="24"/>
          <w:lang w:val="ru-RU"/>
        </w:rPr>
      </w:pPr>
      <w:r>
        <w:rPr>
          <w:szCs w:val="24"/>
          <w:lang w:val="ru-RU"/>
        </w:rPr>
        <w:t>7.4. Во всем остальном, что не предусмотрено настоящим Договором, применяются нормы действующего законодательства Российской Федерации.</w:t>
      </w:r>
    </w:p>
    <w:p>
      <w:pPr>
        <w:pStyle w:val="Normal"/>
        <w:ind w:left="426" w:right="191" w:firstLine="198"/>
        <w:rPr>
          <w:szCs w:val="24"/>
          <w:lang w:val="ru-RU"/>
        </w:rPr>
      </w:pPr>
      <w:r>
        <w:rPr>
          <w:szCs w:val="24"/>
          <w:lang w:val="ru-RU"/>
        </w:rPr>
        <w:t>7.5. Споры, возникающие между сторонами при исполнении, расторжении настоящего Договора, внесении и него изменений и дополнение решаются Арбитражным судом Волгоградской области в установленном законом порядке.</w:t>
      </w:r>
    </w:p>
    <w:p>
      <w:pPr>
        <w:pStyle w:val="Normal"/>
        <w:ind w:left="426" w:right="191" w:firstLine="198"/>
        <w:rPr>
          <w:szCs w:val="24"/>
          <w:lang w:val="ru-RU"/>
        </w:rPr>
      </w:pPr>
      <w:r>
        <w:rPr>
          <w:szCs w:val="24"/>
          <w:lang w:val="ru-RU"/>
        </w:rPr>
        <w:t>7.6. Все изменения и дополнения в настоящему Договору действительны, если они совершены в письменной форме и подписаны сторонами.</w:t>
      </w:r>
    </w:p>
    <w:p>
      <w:pPr>
        <w:pStyle w:val="Normal"/>
        <w:spacing w:before="0" w:after="231"/>
        <w:ind w:left="426" w:right="191" w:firstLine="141"/>
        <w:rPr>
          <w:szCs w:val="24"/>
          <w:lang w:val="ru-RU"/>
        </w:rPr>
      </w:pPr>
      <w:r>
        <w:rPr>
          <w:szCs w:val="24"/>
          <w:lang w:val="ru-RU"/>
        </w:rPr>
        <w:t>7.7. Договор составлен в двух экземплярах, имеющих одинаковую юридическую силу — по одному для каждой из сторон.</w:t>
      </w:r>
    </w:p>
    <w:p>
      <w:pPr>
        <w:pStyle w:val="Normal"/>
        <w:spacing w:before="0" w:after="0"/>
        <w:ind w:left="86" w:right="191" w:firstLine="538"/>
        <w:jc w:val="center"/>
        <w:rPr/>
      </w:pPr>
      <w:r>
        <w:rPr>
          <w:b/>
          <w:szCs w:val="24"/>
          <w:lang w:val="ru-RU"/>
        </w:rPr>
        <w:t>8.Реквизиты и подписи сторон</w:t>
      </w:r>
    </w:p>
    <w:p>
      <w:pPr>
        <w:pStyle w:val="Style18"/>
        <w:spacing w:before="180" w:after="0"/>
        <w:ind w:left="0" w:firstLine="720"/>
        <w:rPr/>
      </w:pPr>
      <w:r>
        <w:rPr>
          <w:rFonts w:cs="Times New Roman" w:ascii="Times New Roman" w:hAnsi="Times New Roman"/>
          <w:b/>
          <w:lang w:val="ru-RU"/>
        </w:rPr>
        <w:t>Заказчик:</w:t>
        <w:tab/>
        <w:tab/>
        <w:tab/>
        <w:tab/>
        <w:tab/>
        <w:tab/>
        <w:t>Исполнитель</w:t>
      </w:r>
      <w:r>
        <w:rPr/>
        <w:t>:</w:t>
      </w:r>
    </w:p>
    <w:tbl>
      <w:tblPr>
        <w:tblW w:w="10448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953"/>
      </w:tblGrid>
      <w:tr>
        <w:trPr>
          <w:trHeight w:val="4019" w:hRule="atLeast"/>
        </w:trPr>
        <w:tc>
          <w:tcPr>
            <w:tcW w:w="5495" w:type="dxa"/>
            <w:tcBorders/>
            <w:shd w:fill="auto" w:val="clear"/>
          </w:tcPr>
          <w:p>
            <w:pPr>
              <w:pStyle w:val="Normal"/>
              <w:ind w:left="76" w:hanging="0"/>
              <w:rPr/>
            </w:pPr>
            <w:r>
              <w:rPr>
                <w:b/>
                <w:sz w:val="22"/>
                <w:lang w:val="ru-RU"/>
              </w:rPr>
              <w:t>Федеральное бюджетное учреждение «Администрация Волго-Донского бассейна внутренних водных путей»</w:t>
            </w:r>
          </w:p>
          <w:p>
            <w:pPr>
              <w:pStyle w:val="Normal"/>
              <w:ind w:left="76" w:hanging="0"/>
              <w:rPr>
                <w:b/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(ФБУ «Администрация «Волго-Дон»)</w:t>
            </w:r>
          </w:p>
          <w:p>
            <w:pPr>
              <w:pStyle w:val="Normal"/>
              <w:ind w:left="76" w:hanging="0"/>
              <w:rPr>
                <w:sz w:val="22"/>
                <w:lang w:val="ru-RU"/>
              </w:rPr>
            </w:pPr>
            <w:r>
              <w:rPr>
                <w:spacing w:val="-5"/>
                <w:sz w:val="22"/>
                <w:lang w:val="ru-RU"/>
              </w:rPr>
              <w:t xml:space="preserve">Юридический адрес: 400082, г. Волгоград, </w:t>
            </w:r>
          </w:p>
          <w:p>
            <w:pPr>
              <w:pStyle w:val="Normal"/>
              <w:ind w:left="76" w:hanging="0"/>
              <w:rPr>
                <w:sz w:val="22"/>
                <w:lang w:val="ru-RU"/>
              </w:rPr>
            </w:pPr>
            <w:r>
              <w:rPr>
                <w:spacing w:val="-5"/>
                <w:sz w:val="22"/>
                <w:lang w:val="ru-RU"/>
              </w:rPr>
              <w:t>ул Фадеева, дом 35.</w:t>
            </w:r>
          </w:p>
          <w:p>
            <w:pPr>
              <w:pStyle w:val="Normal"/>
              <w:ind w:left="76" w:hanging="0"/>
              <w:rPr>
                <w:sz w:val="22"/>
                <w:lang w:val="ru-RU"/>
              </w:rPr>
            </w:pPr>
            <w:r>
              <w:rPr>
                <w:spacing w:val="-5"/>
                <w:sz w:val="22"/>
                <w:lang w:val="ru-RU"/>
              </w:rPr>
              <w:t xml:space="preserve">Почтовый адрес: 400111, г. Волгоград, </w:t>
            </w:r>
          </w:p>
          <w:p>
            <w:pPr>
              <w:pStyle w:val="Normal"/>
              <w:ind w:left="76" w:hanging="0"/>
              <w:rPr/>
            </w:pPr>
            <w:r>
              <w:rPr>
                <w:spacing w:val="-5"/>
                <w:sz w:val="22"/>
                <w:lang w:val="ru-RU"/>
              </w:rPr>
              <w:t>ул Бутурлиновская, дом 26.</w:t>
            </w:r>
          </w:p>
          <w:p>
            <w:pPr>
              <w:pStyle w:val="Normal"/>
              <w:shd w:fill="FFFFFF" w:val="clear"/>
              <w:ind w:left="76" w:hanging="0"/>
              <w:rPr>
                <w:spacing w:val="-4"/>
                <w:sz w:val="22"/>
                <w:lang w:val="ru-RU"/>
              </w:rPr>
            </w:pPr>
            <w:hyperlink r:id="rId5">
              <w:r>
                <w:rPr>
                  <w:rStyle w:val="Style16"/>
                  <w:spacing w:val="-4"/>
                  <w:sz w:val="22"/>
                </w:rPr>
                <w:t>ves</w:t>
              </w:r>
              <w:r>
                <w:rPr>
                  <w:rStyle w:val="Style16"/>
                  <w:spacing w:val="-4"/>
                  <w:sz w:val="22"/>
                  <w:lang w:val="ru-RU"/>
                </w:rPr>
                <w:t>@</w:t>
              </w:r>
              <w:r>
                <w:rPr>
                  <w:rStyle w:val="Style16"/>
                  <w:spacing w:val="-4"/>
                  <w:sz w:val="22"/>
                </w:rPr>
                <w:t>vdgbu</w:t>
              </w:r>
              <w:r>
                <w:rPr>
                  <w:rStyle w:val="Style16"/>
                  <w:spacing w:val="-4"/>
                  <w:sz w:val="22"/>
                  <w:lang w:val="ru-RU"/>
                </w:rPr>
                <w:t>.</w:t>
              </w:r>
              <w:r>
                <w:rPr>
                  <w:rStyle w:val="Style16"/>
                  <w:spacing w:val="-4"/>
                  <w:sz w:val="22"/>
                </w:rPr>
                <w:t>ru</w:t>
              </w:r>
            </w:hyperlink>
          </w:p>
          <w:p>
            <w:pPr>
              <w:pStyle w:val="Normal"/>
              <w:shd w:fill="FFFFFF" w:val="clear"/>
              <w:ind w:left="76" w:hanging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тел/факс (8442)63-33-47, (8442) 63-33-12,</w:t>
            </w:r>
            <w:r>
              <w:rPr>
                <w:color w:val="FF0000"/>
                <w:sz w:val="22"/>
                <w:lang w:val="ru-RU"/>
              </w:rPr>
              <w:t xml:space="preserve"> </w:t>
            </w:r>
          </w:p>
          <w:p>
            <w:pPr>
              <w:pStyle w:val="Normal"/>
              <w:ind w:left="76" w:hanging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ИНН 3448009717/КПП 344801001 УФК по Нижегородской области, (ФБУ «Администрация «Волго-Дон» л/сч. 20296Х59300) ОКЦ № 1 ВВГУ Банка России //УФК по Нижегородской области г. Нижний Новгород</w:t>
            </w:r>
          </w:p>
          <w:p>
            <w:pPr>
              <w:pStyle w:val="Normal"/>
              <w:ind w:left="76" w:hanging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К/С 40102810745370000024</w:t>
            </w:r>
          </w:p>
          <w:p>
            <w:pPr>
              <w:pStyle w:val="Normal"/>
              <w:ind w:left="76" w:hanging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Р/С 03214643000000013245 БИК 012202102</w:t>
            </w:r>
          </w:p>
          <w:p>
            <w:pPr>
              <w:pStyle w:val="Normal"/>
              <w:shd w:fill="FFFFFF" w:val="clear"/>
              <w:ind w:left="76" w:hanging="0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КБК 00000000000000000130 ОКТМО 18701000</w:t>
            </w:r>
          </w:p>
          <w:p>
            <w:pPr>
              <w:pStyle w:val="ConsPlusNormal"/>
              <w:ind w:hanging="0"/>
              <w:rPr>
                <w:rFonts w:ascii="Times New Roman" w:hAnsi="Times New Roman" w:eastAsia="Cambria" w:cs="Times New Roman"/>
                <w:sz w:val="24"/>
                <w:szCs w:val="24"/>
                <w:lang w:eastAsia="en-US"/>
              </w:rPr>
            </w:pPr>
            <w:r>
              <w:rPr>
                <w:rFonts w:eastAsia="Cambria" w:cs="Times New Roman" w:ascii="Times New Roman" w:hAnsi="Times New Roman"/>
                <w:sz w:val="24"/>
                <w:szCs w:val="24"/>
                <w:lang w:eastAsia="en-US"/>
              </w:rPr>
              <w:t>Начальник ВЭС-филиала ФБУ «Администрация «Волго-Дон»</w:t>
            </w:r>
          </w:p>
          <w:p>
            <w:pPr>
              <w:pStyle w:val="ConsPlusNormal"/>
              <w:ind w:hanging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 /О.В.Жучкин/</w:t>
            </w:r>
          </w:p>
          <w:p>
            <w:pPr>
              <w:pStyle w:val="Style18"/>
              <w:spacing w:before="180" w:after="18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ru-RU"/>
              </w:rPr>
            </w:r>
          </w:p>
        </w:tc>
        <w:tc>
          <w:tcPr>
            <w:tcW w:w="4953" w:type="dxa"/>
            <w:tcBorders/>
            <w:shd w:fill="auto" w:val="clear"/>
          </w:tcPr>
          <w:p>
            <w:pPr>
              <w:pStyle w:val="Style18"/>
              <w:snapToGrid w:val="false"/>
              <w:spacing w:before="0"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</w:tbl>
    <w:p>
      <w:pPr>
        <w:pStyle w:val="Normal"/>
        <w:spacing w:before="0" w:after="231"/>
        <w:ind w:left="0" w:right="191" w:hanging="0"/>
        <w:rPr>
          <w:lang w:val="ru-RU"/>
        </w:rPr>
      </w:pPr>
      <w:r>
        <w:rPr>
          <w:lang w:val="ru-RU"/>
        </w:rPr>
      </w:r>
    </w:p>
    <w:sectPr>
      <w:type w:val="nextPage"/>
      <w:pgSz w:w="11906" w:h="16838"/>
      <w:pgMar w:left="993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4"/>
      <w:pStyle w:val="1"/>
      <w:numFmt w:val="decimal"/>
      <w:lvlText w:val="%1."/>
      <w:lvlJc w:val="left"/>
      <w:pPr>
        <w:ind w:left="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•"/>
      <w:lvlJc w:val="left"/>
      <w:pPr>
        <w:ind w:left="1195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34"/>
        <w:sz w:val="34"/>
        <w:i w:val="false"/>
        <w:u w:val="none" w:color="000000"/>
        <w:b w:val="false"/>
        <w:shd w:fill="auto" w:val="clear"/>
        <w:szCs w:val="34"/>
        <w:rFonts w:cs="Times New Roman"/>
        <w:color w:val="000000"/>
        <w:lang w:val="ru-RU"/>
      </w:rPr>
    </w:lvl>
  </w:abstractNum>
  <w:abstractNum w:abstractNumId="3">
    <w:lvl w:ilvl="0">
      <w:start w:val="3"/>
      <w:numFmt w:val="decimal"/>
      <w:lvlText w:val="%1."/>
      <w:lvlJc w:val="left"/>
      <w:pPr>
        <w:ind w:left="245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2"/>
      <w:numFmt w:val="decimal"/>
      <w:lvlText w:val="%1.%2."/>
      <w:lvlJc w:val="left"/>
      <w:pPr>
        <w:ind w:left="417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bullet"/>
      <w:lvlText w:val="•"/>
      <w:lvlJc w:val="left"/>
      <w:pPr>
        <w:tabs>
          <w:tab w:val="num" w:pos="720"/>
        </w:tabs>
        <w:ind w:left="1492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cs="Times New Roman"/>
        <w:color w:val="000000"/>
      </w:rPr>
    </w:lvl>
    <w:lvl w:ilvl="3">
      <w:start w:val="1"/>
      <w:numFmt w:val="bullet"/>
      <w:lvlText w:val="•"/>
      <w:lvlJc w:val="left"/>
      <w:pPr>
        <w:ind w:left="1435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cs="Times New Roman"/>
        <w:color w:val="000000"/>
      </w:rPr>
    </w:lvl>
    <w:lvl w:ilvl="4">
      <w:start w:val="1"/>
      <w:numFmt w:val="bullet"/>
      <w:lvlText w:val="o"/>
      <w:lvlJc w:val="left"/>
      <w:pPr>
        <w:ind w:left="2155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cs="Times New Roman"/>
        <w:color w:val="000000"/>
      </w:rPr>
    </w:lvl>
    <w:lvl w:ilvl="5">
      <w:start w:val="1"/>
      <w:numFmt w:val="bullet"/>
      <w:lvlText w:val="▪"/>
      <w:lvlJc w:val="left"/>
      <w:pPr>
        <w:ind w:left="2875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cs="Times New Roman"/>
        <w:color w:val="000000"/>
      </w:rPr>
    </w:lvl>
    <w:lvl w:ilvl="6">
      <w:start w:val="1"/>
      <w:numFmt w:val="bullet"/>
      <w:lvlText w:val="•"/>
      <w:lvlJc w:val="left"/>
      <w:pPr>
        <w:ind w:left="3595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cs="Times New Roman"/>
        <w:color w:val="000000"/>
      </w:rPr>
    </w:lvl>
    <w:lvl w:ilvl="7">
      <w:start w:val="1"/>
      <w:numFmt w:val="bullet"/>
      <w:lvlText w:val="o"/>
      <w:lvlJc w:val="left"/>
      <w:pPr>
        <w:ind w:left="4315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cs="Times New Roman"/>
        <w:color w:val="000000"/>
      </w:rPr>
    </w:lvl>
    <w:lvl w:ilvl="8">
      <w:start w:val="1"/>
      <w:numFmt w:val="bullet"/>
      <w:lvlText w:val="▪"/>
      <w:lvlJc w:val="left"/>
      <w:pPr>
        <w:ind w:left="5035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6"/>
        <w:sz w:val="26"/>
        <w:i w:val="false"/>
        <w:u w:val="none" w:color="000000"/>
        <w:b w:val="false"/>
        <w:shd w:fill="auto" w:val="clear"/>
        <w:szCs w:val="26"/>
        <w:rFonts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44" w:before="0" w:after="4"/>
      <w:ind w:left="408" w:hanging="0"/>
      <w:jc w:val="both"/>
    </w:pPr>
    <w:rPr>
      <w:rFonts w:ascii="Times New Roman" w:hAnsi="Times New Roman" w:eastAsia="Times New Roman" w:cs="Times New Roman"/>
      <w:color w:val="000000"/>
      <w:sz w:val="24"/>
      <w:szCs w:val="22"/>
      <w:lang w:val="en-US" w:bidi="ar-SA" w:eastAsia="zh-CN"/>
    </w:rPr>
  </w:style>
  <w:style w:type="paragraph" w:styleId="1">
    <w:name w:val="Heading 1"/>
    <w:next w:val="Normal"/>
    <w:qFormat/>
    <w:pPr>
      <w:keepNext w:val="true"/>
      <w:keepLines/>
      <w:widowControl/>
      <w:numPr>
        <w:ilvl w:val="0"/>
        <w:numId w:val="1"/>
      </w:numPr>
      <w:spacing w:lineRule="auto" w:line="256"/>
      <w:ind w:left="10" w:right="67" w:hanging="10"/>
      <w:jc w:val="center"/>
      <w:outlineLvl w:val="0"/>
    </w:pPr>
    <w:rPr>
      <w:rFonts w:ascii="Times New Roman" w:hAnsi="Times New Roman" w:eastAsia="Times New Roman" w:cs="Times New Roman"/>
      <w:color w:val="000000"/>
      <w:sz w:val="22"/>
      <w:szCs w:val="22"/>
      <w:lang w:val="en-US" w:bidi="ar-SA" w:eastAsia="zh-CN"/>
    </w:rPr>
  </w:style>
  <w:style w:type="character" w:styleId="WW8Num1z0">
    <w:name w:val="WW8Num1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z0">
    <w:name w:val="WW8Num4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4z1">
    <w:name w:val="WW8Num4z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0"/>
      <w:sz w:val="20"/>
      <w:szCs w:val="20"/>
      <w:u w:val="none" w:color="000000"/>
      <w:shd w:fill="auto" w:val="clear"/>
      <w:vertAlign w:val="baseline"/>
    </w:rPr>
  </w:style>
  <w:style w:type="character" w:styleId="WW8Num5z0">
    <w:name w:val="WW8Num5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34"/>
      <w:sz w:val="34"/>
      <w:szCs w:val="34"/>
      <w:u w:val="none" w:color="000000"/>
      <w:shd w:fill="auto" w:val="clear"/>
      <w:vertAlign w:val="baseline"/>
      <w:lang w:val="ru-RU"/>
    </w:rPr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4"/>
      <w:sz w:val="24"/>
      <w:szCs w:val="24"/>
      <w:u w:val="none" w:color="000000"/>
      <w:shd w:fill="auto" w:val="clear"/>
      <w:vertAlign w:val="baseline"/>
    </w:rPr>
  </w:style>
  <w:style w:type="character" w:styleId="WW8Num7z1">
    <w:name w:val="WW8Num7z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 w:color="000000"/>
      <w:shd w:fill="auto" w:val="clear"/>
      <w:vertAlign w:val="baseline"/>
    </w:rPr>
  </w:style>
  <w:style w:type="character" w:styleId="Style13">
    <w:name w:val="Основной шрифт абзаца"/>
    <w:qFormat/>
    <w:rPr/>
  </w:style>
  <w:style w:type="character" w:styleId="11">
    <w:name w:val="Заголовок 1 Знак"/>
    <w:qFormat/>
    <w:rPr>
      <w:rFonts w:ascii="Times New Roman" w:hAnsi="Times New Roman" w:eastAsia="Times New Roman" w:cs="Times New Roman"/>
      <w:color w:val="000000"/>
      <w:sz w:val="22"/>
    </w:rPr>
  </w:style>
  <w:style w:type="character" w:styleId="Style14">
    <w:name w:val="Основной текст Знак"/>
    <w:qFormat/>
    <w:rPr>
      <w:rFonts w:ascii="Cambria" w:hAnsi="Cambria" w:eastAsia="Cambria" w:cs="Cambria"/>
      <w:sz w:val="24"/>
      <w:szCs w:val="24"/>
      <w:lang w:val="en-US"/>
    </w:rPr>
  </w:style>
  <w:style w:type="character" w:styleId="Style15">
    <w:name w:val="Текст выноски Знак"/>
    <w:qFormat/>
    <w:rPr>
      <w:rFonts w:ascii="Segoe UI" w:hAnsi="Segoe UI" w:cs="Segoe UI"/>
      <w:color w:val="000000"/>
      <w:sz w:val="18"/>
      <w:szCs w:val="18"/>
      <w:lang w:val="en-US"/>
    </w:rPr>
  </w:style>
  <w:style w:type="character" w:styleId="Style16">
    <w:name w:val="Интернет-ссылка"/>
    <w:rPr>
      <w:color w:val="0563C1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40" w:before="180" w:after="180"/>
      <w:ind w:left="0" w:hanging="0"/>
      <w:jc w:val="left"/>
    </w:pPr>
    <w:rPr>
      <w:rFonts w:ascii="Cambria" w:hAnsi="Cambria" w:eastAsia="Cambria" w:cs="Times New Roman"/>
      <w:color w:val="000000"/>
      <w:szCs w:val="24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onsPlusNormal">
    <w:name w:val="ConsPlusNormal"/>
    <w:qFormat/>
    <w:pPr>
      <w:widowControl/>
      <w:autoSpaceDE w:val="false"/>
      <w:ind w:firstLine="720"/>
    </w:pPr>
    <w:rPr>
      <w:rFonts w:ascii="Arial" w:hAnsi="Arial" w:eastAsia="Times New Roman" w:cs="Arial"/>
      <w:color w:val="auto"/>
      <w:sz w:val="18"/>
      <w:szCs w:val="18"/>
      <w:lang w:val="ru-RU" w:bidi="ar-SA" w:eastAsia="zh-CN"/>
    </w:rPr>
  </w:style>
  <w:style w:type="paragraph" w:styleId="Style22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hyperlink" Target="mailto:ves@vdgbu.ru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Application>LibreOffice/5.4.4.2$Windows_X86_64 LibreOffice_project/2524958677847fb3bb44820e40380acbe820f960</Application>
  <Pages>4</Pages>
  <Words>1547</Words>
  <Characters>11470</Characters>
  <CharactersWithSpaces>13084</CharactersWithSpaces>
  <Paragraphs>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2019-11-12T13:04:00Z</dcterms:created>
  <dc:creator>word</dc:creator>
  <dc:description/>
  <dc:language>ru-RU</dc:language>
  <cp:lastModifiedBy>Ксения Михайлова</cp:lastModifiedBy>
  <cp:lastPrinted>2026-07-27T11:38:00Z</cp:lastPrinted>
  <dcterms:modified xsi:type="dcterms:W3CDTF">2026-07-27T11:39:00Z</dcterms:modified>
  <cp:revision>8</cp:revision>
  <dc:subject/>
  <dc:title/>
</cp:coreProperties>
</file>